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Decoupling the Clinical Attachment from Gamified Fall Risk Assessment: Between-Cohort Evidence for a Frame-Sensitive Account of Elderly Abandonment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Earlier work in this programme documented rapid, permanent abandonment of a gamified, AI-assisted Fall Risk Assessment (FRA) by elderly residents after first failure: 70.0% disengaged at or before three game cycles and none returned,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remote deployment in which the game was ported to an HTML build and distributed by e-mail. Participants played unsupervised on their own computers, using a trackpad, arrow keys or, where available, a foot-pad sensor; the skiing mechanic, five-attempt rule and session structure were retained in the port, while the participant-facing clinical attachment was removed as a package — the clinical apparatus and setting, recruitment language, pre-session clinical scan, clinical labels and participant-facing clinical outputs — and the activity was framed as an eye-leg coordination challenge. One hundred and twenty community-dwelling adults aged 25-80 were recruited through the authors' Hong Kong-based networks across three age bands (38 aged 25-44, 41 aged 45-64, 41 aged 65-80). In the preliminary aggregate record, compiled from the results files and questionnaire responses each participant returned by e-mail, retention at the end of the study window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in which platform, input device, setting and supervision changed alongside framing. A residual 29.3-percentage-point gap between session retention and regular-use intention in the oldest band motivates adaptive learning — trajectory-oriented feedback with calibrated challenge — as the design response, and a pre-specified within-cohort randomised study as the confirmatory test.</w:t>
      </w:r>
    </w:p>
    <w:p>
      <w:r>
        <w:t>Keywords: fall risk assessment, gamification, elderly technology abandonment, FIAS, decoupling, framing, endowment effect, adaptive learning.</w:t>
      </w:r>
    </w:p>
    <w:p>
      <w:pPr>
        <w:pStyle w:val="Heading1"/>
      </w:pPr>
      <w:r>
        <w:t>I. Introduction</w:t>
      </w:r>
    </w:p>
    <w:p>
      <w: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disengaged at or before three cycles, 26.7% exited after a single session, and none of the 21 disengaged participants re-engaged during the study window (95% CI 0.0-15.5%) [2]. Most strikingly, three of the six participants in the strongest-abandonment cluster recorded a positive change in the balance index during their single session and still did not return.</w:t>
      </w:r>
    </w:p>
    <w:p>
      <w: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Heading1"/>
      </w:pPr>
      <w:r>
        <w:t>II. Theoretical Background</w:t>
      </w:r>
    </w:p>
    <w:p>
      <w:pPr>
        <w:pStyle w:val="Heading2"/>
      </w:pPr>
      <w:r>
        <w:t>A. The FIAS Account and the Endowment Mechanism</w:t>
      </w:r>
    </w:p>
    <w:p>
      <w: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t>B. Two Appraisal Regimes</w:t>
      </w:r>
    </w:p>
    <w:p>
      <w: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t>III. Method: A Participant-Facing Decoupling Package in a Separate Cohort</w:t>
      </w:r>
    </w:p>
    <w:p>
      <w:pPr>
        <w:pStyle w:val="Heading2"/>
      </w:pPr>
      <w:r>
        <w:t>A. Design Logic of the Coordination-Challenge Framing</w:t>
      </w:r>
    </w:p>
    <w:p>
      <w: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t>B. The Decoupling Package</w:t>
      </w:r>
    </w:p>
    <w:p>
      <w:r>
        <w:t>Relative to the coupled deployment of [2], the participant-facing clinical attachment was removed as a package, and the removal was implemented by re-platforming: the game was ported to an HTML build and sent to participants by e-mail, so that play occurred away from the clinical station altogether. The package comprised presentation of the activity as a purely-fun coordination game (the invitation disclosed the doctoral research context, including its fall-risk origin, but the game and its instructions carried no medical or fall-prevention vocabulary); the absence of any pre-session clinical scan; the absence of clinical labels, and of any clinical station or setting; and the absence of participant-facing clinical outputs, with no balance score or risk index shown at any point. The skiing mechanic, five-attempt rule and session structure were retained in the ported build; the pressure-panel apparatus and in-person supervision were not — participants played unsupervised on their own computers using a trackpad, arrow keys or, where available, a foot-pad sensor. In-run difficulty adaptation in the ported build operated through the game's built-in rule agent; no external model calls are possible from a distributed HTML file, so no large-language-model adaptation operated in any Stage-3 session. Participant-level clinical balance telemetry was not collected. Because cohort, setting, platform, input device, supervision and recruitment channel also differed, the design estimates the combined association of the decoupled condition and its context with behaviour. Figure 1 shows the ported build at five staged difficulty levels.</w:t>
      </w:r>
    </w:p>
    <w:p>
      <w:r>
        <w:drawing>
          <wp:inline xmlns:a="http://schemas.openxmlformats.org/drawingml/2006/main" xmlns:pic="http://schemas.openxmlformats.org/drawingml/2006/pictur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r>
        <w:t>Figure 1. The coordination-challenge game (archived HTML build, Stage-3 design lineage) at staged difficulty multipliers x0.40-x1.40. Obstacle density and scroll speed scale with the difficulty multiplier; the interface carries no clinical labels, scores or risk outputs.</w:t>
      </w:r>
    </w:p>
    <w:p>
      <w:pPr>
        <w:pStyle w:val="Heading2"/>
      </w:pPr>
      <w:r>
        <w:t>C. Participants</w:t>
      </w:r>
    </w:p>
    <w:p>
      <w:r>
        <w:t>One hundred and twenty community-dwelling adults aged 25-80 were recruited through the authors' Hong Kong-based networks — family and personal contacts, work contacts, a charity community network, university support channels and working peers in medical centres: 38 aged 25-44, 41 aged 45-64 and 41 aged 65-80; 48 men and 72 women; all reported high-school education or above. The invitation e-mails disclosed the research context, including the programme's fall-risk origin, while presenting the activity itself as a purely-fun coordination game; the game and its instructions used no medical or fall-prevention vocabulary. Recruiting three age bands builds the comparison group into the study and licenses a second null hypothesis, H0-age: that under the decoupled condition there is no difference between age groups. Data collection is complete: each participant returned, by e-mail, the results file logged by the HTML build (including the session score and game-logged data) together with their questionnaire responses. This paper reports the preliminary aggregate record compiled from those returns; participant-level compilation continues beyond it. Participation was voluntary and unpaid, by informed, implied consent: the distribution e-mails explained the purpose of the game and questionnaire and the use of replies, and returning the results file and responses constituted consent; no written consent instrument was administered, which is acknowledged in Section VII. Identities were separated from the analysed records, which retain only a participant code, age band, gender and education. The programme operates under the ethics policy of The Hong Kong Polytechnic University; the programme was approved by the university's Human Subjects Ethics Sub-Committee (application reference HSEARS20260805008; Principal Investigator: Prof. C. F. Cheung; approved August 2026).</w:t>
      </w:r>
    </w:p>
    <w:p>
      <w:r>
        <w:t>Two recruitment decisions were deliberate. The Stage-2 facility of [2] was not re-used: its residents already carried direct experience of the coupled system, and prior exposure would have contaminated a first-contact test of the decoupled frame, so a separate cohort was a design choice rather than only a constraint. Distribution also extended beyond the authors' immediate circle through onward (snowball) forwarding by the receiving organisations and contacts, so that a portion of participants were personally unknown to the authors, reducing the risk that participation reflected personal obligation to the researcher.</w:t>
      </w:r>
    </w:p>
    <w:p>
      <w:pPr>
        <w:pStyle w:val="Heading2"/>
      </w:pPr>
      <w:r>
        <w:t>D. Outcomes and Analysis</w:t>
      </w:r>
    </w:p>
    <w:p>
      <w:r>
        <w:t>Outcomes are behavioural and stated, observed from the returned game logs and questionnaire responses: initial dropout (exit before completing the five-attempt protocol), voluntary return after initial dropout, observed non-return at the end of the study window, coordination-challenge endorsement (a manipulation check on the intended frame), and stated regular-use intention. Proportions carry Wilson score 95% confidence intervals; band contrasts use Fisher's exact and chi-square tests. No time-to-event modelling is used.</w:t>
      </w:r>
    </w:p>
    <w:p>
      <w:pPr>
        <w:pStyle w:val="Heading1"/>
      </w:pPr>
      <w:r>
        <w:t>IV. Results (Preliminary Aggregate Record)</w:t>
      </w:r>
    </w:p>
    <w:p>
      <w:r>
        <w:t>Overall, 23 of 120 participants (19.2%) dropped out before completing the protocol; 15 of the 23 (65.2%; 95% CI 44.9-81.2%) returned voluntarily; 8 (6.7%) did not return, giving end-of-window retention of 93.3% (Table 1). Figure 2 traces the flow.</w:t>
      </w:r>
    </w:p>
    <w:p>
      <w:r>
        <w:rPr>
          <w:i/>
          <w:sz w:val="18"/>
        </w:rPr>
        <w:t>Table 1. Overall engagement and dropout (N = 120).</w:t>
      </w:r>
    </w:p>
    <w:p>
      <w:r>
        <w:drawing>
          <wp:inline xmlns:a="http://schemas.openxmlformats.org/drawingml/2006/main" xmlns:pic="http://schemas.openxmlformats.org/drawingml/2006/pictur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r>
        <w:t>Figure 2. Participant flow in the preliminary aggregate record (N = 120). Voluntary return after initial dropout is the study's central behavioural outcome; in the coupled Stage-2 deployment the corresponding return count was zero.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n</w:t>
            </w:r>
          </w:p>
        </w:tc>
        <w:tc>
          <w:tcPr>
            <w:tcW w:type="dxa" w:w="2880"/>
          </w:tcPr>
          <w:p>
            <w:r>
              <w:rPr>
                <w:b/>
                <w:sz w:val="18"/>
              </w:rPr>
              <w:t>%</w:t>
            </w:r>
          </w:p>
        </w:tc>
      </w:tr>
      <w:tr>
        <w:tc>
          <w:tcPr>
            <w:tcW w:type="dxa" w:w="2880"/>
          </w:tcPr>
          <w:p>
            <w:r>
              <w:rPr>
                <w:sz w:val="18"/>
              </w:rPr>
              <w:t>Initial dropout before completing the protocol</w:t>
            </w:r>
          </w:p>
        </w:tc>
        <w:tc>
          <w:tcPr>
            <w:tcW w:type="dxa" w:w="2880"/>
          </w:tcPr>
          <w:p>
            <w:r>
              <w:rPr>
                <w:sz w:val="18"/>
              </w:rPr>
              <w:t>23</w:t>
            </w:r>
          </w:p>
        </w:tc>
        <w:tc>
          <w:tcPr>
            <w:tcW w:type="dxa" w:w="2880"/>
          </w:tcPr>
          <w:p>
            <w:r>
              <w:rPr>
                <w:sz w:val="18"/>
              </w:rPr>
              <w:t>19.2</w:t>
            </w:r>
          </w:p>
        </w:tc>
      </w:tr>
      <w:tr>
        <w:tc>
          <w:tcPr>
            <w:tcW w:type="dxa" w:w="2880"/>
          </w:tcPr>
          <w:p>
            <w:r>
              <w:rPr>
                <w:sz w:val="18"/>
              </w:rPr>
              <w:t>Voluntary return after initial dropout</w:t>
            </w:r>
          </w:p>
        </w:tc>
        <w:tc>
          <w:tcPr>
            <w:tcW w:type="dxa" w:w="2880"/>
          </w:tcPr>
          <w:p>
            <w:r>
              <w:rPr>
                <w:sz w:val="18"/>
              </w:rPr>
              <w:t>15</w:t>
            </w:r>
          </w:p>
        </w:tc>
        <w:tc>
          <w:tcPr>
            <w:tcW w:type="dxa" w:w="2880"/>
          </w:tcPr>
          <w:p>
            <w:r>
              <w:rPr>
                <w:sz w:val="18"/>
              </w:rPr>
              <w:t>65.2 of dropouts</w:t>
            </w:r>
          </w:p>
        </w:tc>
      </w:tr>
      <w:tr>
        <w:tc>
          <w:tcPr>
            <w:tcW w:type="dxa" w:w="2880"/>
          </w:tcPr>
          <w:p>
            <w:r>
              <w:rPr>
                <w:sz w:val="18"/>
              </w:rPr>
              <w:t>Observed non-return at end of window</w:t>
            </w:r>
          </w:p>
        </w:tc>
        <w:tc>
          <w:tcPr>
            <w:tcW w:type="dxa" w:w="2880"/>
          </w:tcPr>
          <w:p>
            <w:r>
              <w:rPr>
                <w:sz w:val="18"/>
              </w:rPr>
              <w:t>8</w:t>
            </w:r>
          </w:p>
        </w:tc>
        <w:tc>
          <w:tcPr>
            <w:tcW w:type="dxa" w:w="2880"/>
          </w:tcPr>
          <w:p>
            <w:r>
              <w:rPr>
                <w:sz w:val="18"/>
              </w:rPr>
              <w:t>6.7</w:t>
            </w:r>
          </w:p>
        </w:tc>
      </w:tr>
      <w:tr>
        <w:tc>
          <w:tcPr>
            <w:tcW w:type="dxa" w:w="2880"/>
          </w:tcPr>
          <w:p>
            <w:r>
              <w:rPr>
                <w:sz w:val="18"/>
              </w:rPr>
              <w:t>Retention at end of window</w:t>
            </w:r>
          </w:p>
        </w:tc>
        <w:tc>
          <w:tcPr>
            <w:tcW w:type="dxa" w:w="2880"/>
          </w:tcPr>
          <w:p>
            <w:r>
              <w:rPr>
                <w:sz w:val="18"/>
              </w:rPr>
              <w:t>112</w:t>
            </w:r>
          </w:p>
        </w:tc>
        <w:tc>
          <w:tcPr>
            <w:tcW w:type="dxa" w:w="2880"/>
          </w:tcPr>
          <w:p>
            <w:r>
              <w:rPr>
                <w:sz w:val="18"/>
              </w:rPr>
              <w:t>93.3</w:t>
            </w:r>
          </w:p>
        </w:tc>
      </w:tr>
    </w:tbl>
    <w:p>
      <w: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 Figure 3 shows the divergence of the two rates.</w:t>
      </w:r>
    </w:p>
    <w:p>
      <w:r>
        <w:rPr>
          <w:i/>
          <w:sz w:val="18"/>
        </w:rPr>
        <w:t>Table 2. Age-stratified engagement.</w:t>
      </w:r>
    </w:p>
    <w:p>
      <w:r>
        <w:drawing>
          <wp:inline xmlns:a="http://schemas.openxmlformats.org/drawingml/2006/main" xmlns:pic="http://schemas.openxmlformats.org/drawingml/2006/pictur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r>
        <w:t>Figure 3. The age gradient: initial dropout climbs steeply with age (0.0%, 17.1%, 39.0%) while non-return at the window end stays low in every band (0.0%, 4.9%, 14.6%) - most older participants who drop out come back under the decoupled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Age band</w:t>
            </w:r>
          </w:p>
        </w:tc>
        <w:tc>
          <w:tcPr>
            <w:tcW w:type="dxa" w:w="1440"/>
          </w:tcPr>
          <w:p>
            <w:r>
              <w:rPr>
                <w:b/>
                <w:sz w:val="18"/>
              </w:rPr>
              <w:t>n</w:t>
            </w:r>
          </w:p>
        </w:tc>
        <w:tc>
          <w:tcPr>
            <w:tcW w:type="dxa" w:w="1440"/>
          </w:tcPr>
          <w:p>
            <w:r>
              <w:rPr>
                <w:b/>
                <w:sz w:val="18"/>
              </w:rPr>
              <w:t>Initial dropout</w:t>
            </w:r>
          </w:p>
        </w:tc>
        <w:tc>
          <w:tcPr>
            <w:tcW w:type="dxa" w:w="1440"/>
          </w:tcPr>
          <w:p>
            <w:r>
              <w:rPr>
                <w:b/>
                <w:sz w:val="18"/>
              </w:rPr>
              <w:t>Returned</w:t>
            </w:r>
          </w:p>
        </w:tc>
        <w:tc>
          <w:tcPr>
            <w:tcW w:type="dxa" w:w="1440"/>
          </w:tcPr>
          <w:p>
            <w:r>
              <w:rPr>
                <w:b/>
                <w:sz w:val="18"/>
              </w:rPr>
              <w:t>Non-return</w:t>
            </w:r>
          </w:p>
        </w:tc>
        <w:tc>
          <w:tcPr>
            <w:tcW w:type="dxa" w:w="1440"/>
          </w:tcPr>
          <w:p>
            <w:r>
              <w:rPr>
                <w:b/>
                <w:sz w:val="18"/>
              </w:rPr>
              <w:t>Retention</w:t>
            </w:r>
          </w:p>
        </w:tc>
      </w:tr>
      <w:tr>
        <w:tc>
          <w:tcPr>
            <w:tcW w:type="dxa" w:w="1440"/>
          </w:tcPr>
          <w:p>
            <w:r>
              <w:rPr>
                <w:sz w:val="18"/>
              </w:rPr>
              <w:t>25–44</w:t>
            </w:r>
          </w:p>
        </w:tc>
        <w:tc>
          <w:tcPr>
            <w:tcW w:type="dxa" w:w="1440"/>
          </w:tcPr>
          <w:p>
            <w:r>
              <w:rPr>
                <w:sz w:val="18"/>
              </w:rPr>
              <w:t>38</w:t>
            </w:r>
          </w:p>
        </w:tc>
        <w:tc>
          <w:tcPr>
            <w:tcW w:type="dxa" w:w="1440"/>
          </w:tcPr>
          <w:p>
            <w:r>
              <w:rPr>
                <w:sz w:val="18"/>
              </w:rPr>
              <w:t>0 (0.0%)</w:t>
            </w:r>
          </w:p>
        </w:tc>
        <w:tc>
          <w:tcPr>
            <w:tcW w:type="dxa" w:w="1440"/>
          </w:tcPr>
          <w:p>
            <w:r>
              <w:rPr>
                <w:sz w:val="18"/>
              </w:rPr>
              <w:t>0</w:t>
            </w:r>
          </w:p>
        </w:tc>
        <w:tc>
          <w:tcPr>
            <w:tcW w:type="dxa" w:w="1440"/>
          </w:tcPr>
          <w:p>
            <w:r>
              <w:rPr>
                <w:sz w:val="18"/>
              </w:rPr>
              <w:t>0 (0.0%)</w:t>
            </w:r>
          </w:p>
        </w:tc>
        <w:tc>
          <w:tcPr>
            <w:tcW w:type="dxa" w:w="1440"/>
          </w:tcPr>
          <w:p>
            <w:r>
              <w:rPr>
                <w:sz w:val="18"/>
              </w:rPr>
              <w:t>100.0%</w:t>
            </w:r>
          </w:p>
        </w:tc>
      </w:tr>
      <w:tr>
        <w:tc>
          <w:tcPr>
            <w:tcW w:type="dxa" w:w="1440"/>
          </w:tcPr>
          <w:p>
            <w:r>
              <w:rPr>
                <w:sz w:val="18"/>
              </w:rPr>
              <w:t>45–64</w:t>
            </w:r>
          </w:p>
        </w:tc>
        <w:tc>
          <w:tcPr>
            <w:tcW w:type="dxa" w:w="1440"/>
          </w:tcPr>
          <w:p>
            <w:r>
              <w:rPr>
                <w:sz w:val="18"/>
              </w:rPr>
              <w:t>41</w:t>
            </w:r>
          </w:p>
        </w:tc>
        <w:tc>
          <w:tcPr>
            <w:tcW w:type="dxa" w:w="1440"/>
          </w:tcPr>
          <w:p>
            <w:r>
              <w:rPr>
                <w:sz w:val="18"/>
              </w:rPr>
              <w:t>7 (17.1%)</w:t>
            </w:r>
          </w:p>
        </w:tc>
        <w:tc>
          <w:tcPr>
            <w:tcW w:type="dxa" w:w="1440"/>
          </w:tcPr>
          <w:p>
            <w:r>
              <w:rPr>
                <w:sz w:val="18"/>
              </w:rPr>
              <w:t>5</w:t>
            </w:r>
          </w:p>
        </w:tc>
        <w:tc>
          <w:tcPr>
            <w:tcW w:type="dxa" w:w="1440"/>
          </w:tcPr>
          <w:p>
            <w:r>
              <w:rPr>
                <w:sz w:val="18"/>
              </w:rPr>
              <w:t>2 (4.9%)</w:t>
            </w:r>
          </w:p>
        </w:tc>
        <w:tc>
          <w:tcPr>
            <w:tcW w:type="dxa" w:w="1440"/>
          </w:tcPr>
          <w:p>
            <w:r>
              <w:rPr>
                <w:sz w:val="18"/>
              </w:rPr>
              <w:t>95.1%</w:t>
            </w:r>
          </w:p>
        </w:tc>
      </w:tr>
      <w:tr>
        <w:tc>
          <w:tcPr>
            <w:tcW w:type="dxa" w:w="1440"/>
          </w:tcPr>
          <w:p>
            <w:r>
              <w:rPr>
                <w:sz w:val="18"/>
              </w:rPr>
              <w:t>65–80</w:t>
            </w:r>
          </w:p>
        </w:tc>
        <w:tc>
          <w:tcPr>
            <w:tcW w:type="dxa" w:w="1440"/>
          </w:tcPr>
          <w:p>
            <w:r>
              <w:rPr>
                <w:sz w:val="18"/>
              </w:rPr>
              <w:t>41</w:t>
            </w:r>
          </w:p>
        </w:tc>
        <w:tc>
          <w:tcPr>
            <w:tcW w:type="dxa" w:w="1440"/>
          </w:tcPr>
          <w:p>
            <w:r>
              <w:rPr>
                <w:sz w:val="18"/>
              </w:rPr>
              <w:t>16 (39.0%)</w:t>
            </w:r>
          </w:p>
        </w:tc>
        <w:tc>
          <w:tcPr>
            <w:tcW w:type="dxa" w:w="1440"/>
          </w:tcPr>
          <w:p>
            <w:r>
              <w:rPr>
                <w:sz w:val="18"/>
              </w:rPr>
              <w:t>10</w:t>
            </w:r>
          </w:p>
        </w:tc>
        <w:tc>
          <w:tcPr>
            <w:tcW w:type="dxa" w:w="1440"/>
          </w:tcPr>
          <w:p>
            <w:r>
              <w:rPr>
                <w:sz w:val="18"/>
              </w:rPr>
              <w:t>6 (14.6%)</w:t>
            </w:r>
          </w:p>
        </w:tc>
        <w:tc>
          <w:tcPr>
            <w:tcW w:type="dxa" w:w="1440"/>
          </w:tcPr>
          <w:p>
            <w:r>
              <w:rPr>
                <w:sz w:val="18"/>
              </w:rPr>
              <w:t>85.4%</w:t>
            </w:r>
          </w:p>
        </w:tc>
      </w:tr>
      <w:tr>
        <w:tc>
          <w:tcPr>
            <w:tcW w:type="dxa" w:w="1440"/>
          </w:tcPr>
          <w:p>
            <w:r>
              <w:rPr>
                <w:sz w:val="18"/>
              </w:rPr>
              <w:t>Total</w:t>
            </w:r>
          </w:p>
        </w:tc>
        <w:tc>
          <w:tcPr>
            <w:tcW w:type="dxa" w:w="1440"/>
          </w:tcPr>
          <w:p>
            <w:r>
              <w:rPr>
                <w:sz w:val="18"/>
              </w:rPr>
              <w:t>120</w:t>
            </w:r>
          </w:p>
        </w:tc>
        <w:tc>
          <w:tcPr>
            <w:tcW w:type="dxa" w:w="1440"/>
          </w:tcPr>
          <w:p>
            <w:r>
              <w:rPr>
                <w:sz w:val="18"/>
              </w:rPr>
              <w:t>23 (19.2%)</w:t>
            </w:r>
          </w:p>
        </w:tc>
        <w:tc>
          <w:tcPr>
            <w:tcW w:type="dxa" w:w="1440"/>
          </w:tcPr>
          <w:p>
            <w:r>
              <w:rPr>
                <w:sz w:val="18"/>
              </w:rPr>
              <w:t>15</w:t>
            </w:r>
          </w:p>
        </w:tc>
        <w:tc>
          <w:tcPr>
            <w:tcW w:type="dxa" w:w="1440"/>
          </w:tcPr>
          <w:p>
            <w:r>
              <w:rPr>
                <w:sz w:val="18"/>
              </w:rPr>
              <w:t>8 (6.7%)</w:t>
            </w:r>
          </w:p>
        </w:tc>
        <w:tc>
          <w:tcPr>
            <w:tcW w:type="dxa" w:w="1440"/>
          </w:tcPr>
          <w:p>
            <w:r>
              <w:rPr>
                <w:sz w:val="18"/>
              </w:rPr>
              <w:t>93.3%</w:t>
            </w:r>
          </w:p>
        </w:tc>
      </w:tr>
    </w:tbl>
    <w:p>
      <w: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w:t>
      </w:r>
    </w:p>
    <w:p>
      <w:r>
        <w:rPr>
          <w:i/>
          <w:sz w:val="18"/>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25–44</w:t>
            </w:r>
          </w:p>
        </w:tc>
        <w:tc>
          <w:tcPr>
            <w:tcW w:type="dxa" w:w="1728"/>
          </w:tcPr>
          <w:p>
            <w:r>
              <w:rPr>
                <w:b/>
                <w:sz w:val="18"/>
              </w:rPr>
              <w:t>45–64</w:t>
            </w:r>
          </w:p>
        </w:tc>
        <w:tc>
          <w:tcPr>
            <w:tcW w:type="dxa" w:w="1728"/>
          </w:tcPr>
          <w:p>
            <w:r>
              <w:rPr>
                <w:b/>
                <w:sz w:val="18"/>
              </w:rPr>
              <w:t>65–80</w:t>
            </w:r>
          </w:p>
        </w:tc>
        <w:tc>
          <w:tcPr>
            <w:tcW w:type="dxa" w:w="1728"/>
          </w:tcPr>
          <w:p>
            <w:r>
              <w:rPr>
                <w:b/>
                <w:sz w:val="18"/>
              </w:rPr>
              <w:t>Total</w:t>
            </w:r>
          </w:p>
        </w:tc>
      </w:tr>
      <w:tr>
        <w:tc>
          <w:tcPr>
            <w:tcW w:type="dxa" w:w="1728"/>
          </w:tcPr>
          <w:p>
            <w:r>
              <w:rPr>
                <w:sz w:val="18"/>
              </w:rPr>
              <w:t>Coordination-challenge endorsement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71.7%</w:t>
            </w:r>
          </w:p>
        </w:tc>
      </w:tr>
      <w:tr>
        <w:tc>
          <w:tcPr>
            <w:tcW w:type="dxa" w:w="1728"/>
          </w:tcPr>
          <w:p>
            <w:r>
              <w:rPr>
                <w:sz w:val="18"/>
              </w:rPr>
              <w:t>Would use regularly if accessible</w:t>
            </w:r>
          </w:p>
        </w:tc>
        <w:tc>
          <w:tcPr>
            <w:tcW w:type="dxa" w:w="1728"/>
          </w:tcPr>
          <w:p>
            <w:r>
              <w:rPr>
                <w:sz w:val="18"/>
              </w:rPr>
              <w:t>65.8%</w:t>
            </w:r>
          </w:p>
        </w:tc>
        <w:tc>
          <w:tcPr>
            <w:tcW w:type="dxa" w:w="1728"/>
          </w:tcPr>
          <w:p>
            <w:r>
              <w:rPr>
                <w:sz w:val="18"/>
              </w:rPr>
              <w:t>68.3%</w:t>
            </w:r>
          </w:p>
        </w:tc>
        <w:tc>
          <w:tcPr>
            <w:tcW w:type="dxa" w:w="1728"/>
          </w:tcPr>
          <w:p>
            <w:r>
              <w:rPr>
                <w:sz w:val="18"/>
              </w:rPr>
              <w:t>56.1%</w:t>
            </w:r>
          </w:p>
        </w:tc>
        <w:tc>
          <w:tcPr>
            <w:tcW w:type="dxa" w:w="1728"/>
          </w:tcPr>
          <w:p>
            <w:r>
              <w:rPr>
                <w:sz w:val="18"/>
              </w:rPr>
              <w:t>63.3%</w:t>
            </w:r>
          </w:p>
        </w:tc>
      </w:tr>
    </w:tbl>
    <w:p>
      <w:pPr>
        <w:pStyle w:val="Heading1"/>
      </w:pPr>
      <w:r>
        <w:t>V. Discussion</w:t>
      </w:r>
    </w:p>
    <w:p>
      <w:pPr>
        <w:pStyle w:val="Heading2"/>
      </w:pPr>
      <w:r>
        <w:t>A. Frame-Sensitive Versus Dispositional Accounts</w:t>
      </w:r>
    </w:p>
    <w:p>
      <w:r>
        <w:t>The pattern is one-sided between the two rival readings. The decoupled game was accepted by the elderly cohort at levels consistent with what the gamification literature predicts for non-clinical technologies — 85.4% end-of-window retention in the 65-80 band (returned dropouts counted as retained),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The causal interpretation remains bounded: the cohorts differed in setting, platform, input device, supervision, recruitment, residential status, age distribution, health profile and prior exposure, and the decoupling was a package rather than a single variable — indeed, the decoupled condition was delivered by re-platforming the game entirely. The decisive confirmation is a within-cohort randomised comparison, which is specified as future work.</w:t>
      </w:r>
      <w:r>
        <w:rPr/>
        <w:t xml:space="preserve"> Stated at the level of theory, the joint pattern is a candidate boundary condition for gamification theory: the theory holds for this population until the gamified activity is attached to a clinical verdict frame that touches identity-level value, and at that attachment the failure pattern of [2] appears. The randomised comparison is the test that can convert the boundary from candidate to claim.</w:t>
      </w:r>
    </w:p>
    <w:p>
      <w:pPr>
        <w:pStyle w:val="Heading2"/>
      </w:pPr>
      <w:r>
        <w:t>B. The Age Gradient Read Through the WTA/WTP Account</w:t>
      </w:r>
    </w:p>
    <w:p>
      <w: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t>C. The Commitment Gap and the Adaptive-Learning Direction</w:t>
      </w:r>
    </w:p>
    <w:p>
      <w:r>
        <w:t>Decoupling did not answer every engagement question. Half of the older participants who happily completed the session saw no place for the game in their weekly lives: the 29.3-point gap between end-of-window retention and stated intention marks the boundary of what removing the threat can achieve. Decoupling removes a reason to leave; it does not add a reason to return.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1"/>
      </w:pPr>
      <w:r>
        <w:t>VI. Design Implications for Practitioners</w:t>
      </w:r>
    </w:p>
    <w:p>
      <w:r>
        <w:t>The account and the present associations translate into four design levers for any gamified health technology serving older users. They are stated as design guidance derived from the programme's evidence and theory; their causal confirmation belongs to the study of Section VIII.</w:t>
      </w:r>
    </w:p>
    <w:p>
      <w: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r>
        <w:t>Second, keep the belief structure open. Present performance as inherently variable ('your response will differ each session — that is normal'), emphasise ranges rather than single summary scores, and never let one failure read as a verdict.</w:t>
      </w:r>
    </w:p>
    <w:p>
      <w: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and a return path that requires no renewed self-justification.</w:t>
      </w:r>
    </w:p>
    <w:p>
      <w: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Heading1"/>
      </w:pPr>
      <w:r>
        <w:t>VII. Limitations</w:t>
      </w:r>
    </w:p>
    <w:p>
      <w:r>
        <w:t>The comparison with [2] is between-cycle and between-cohort, without randomisation; the decoupling is a multi-component package that includes a change of platform, input device, setting and supervision (an e-mailed HTML build played unsupervised on participants' own computers, rather than the supervised pressure-panel station of [2]); the proposed mechanisms (endowment, mental accounting, stereotype threat) were not directly measured; regular-use intention is stated, not longitudinal behaviour; this paper reports the preliminary aggregate record compiled from participants' e-mailed returns, with participant-level compilation continuing beyond it; input device varied by participant and was not centrally standardised; remote unsupervised play means session conditions were not controlled; participants were volunteers in Chinese-cultural settings, and generalisation beyond these contexts is untested; consent was informed but implied rather than written; the invitation disclosed the programme's fall-risk research origin, so Stage 3 tests artefact-level decoupling rather than concealment of purpose; and no clinical telemetry was collected, so no claim about clinical outcomes under decoupling is made.</w:t>
      </w:r>
      <w:r>
        <w:rPr/>
        <w:t xml:space="preserve"> Two further rivals are named rather than left implicit. Ordinary attrition is frame-indifferent and therefore does not predict the between-cohort difference in post-failure return, though the package confounds above bound that inference. And because the [2] cohort lived with the station - a common-room setting in which a shared narrative about what the machine signifies can circulate - while the present participants played dispersed and alone, the decoupling package also removed the group narrative environment; a collective-narrative account of non-use is therefore conceded as an untested, plausible component of the between-cohort difference, and group-level instrumentation is added to the requirements of the confirmatory study.</w:t>
      </w:r>
    </w:p>
    <w:p>
      <w:pPr>
        <w:pStyle w:val="Heading1"/>
      </w:pPr>
      <w:r>
        <w:t>VIII. Future Work: The Within-Cohort Confirmatory Study</w:t>
      </w:r>
    </w:p>
    <w:p>
      <w: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Hypotheses and endpoints will be pre-registered before data collection begins.</w:t>
      </w:r>
      <w:r>
        <w:rPr/>
        <w:t xml:space="preserve"> Since this manuscript was drafted, a first pre-registered element of the wider programme has been launched: a 2x2 field experiment crossing adaptive against static presentation with zero-failure against failure-possible modes in a new community cohort. It tests the adaptive-learning direction of Section V-C rather than the coupling claim; the three-arm study above remains the decisive test of coupling, and its instrumentation now includes a group-level component in response to the collective-narrative rival.</w:t>
      </w:r>
    </w:p>
    <w:p>
      <w:pPr>
        <w:pStyle w:val="Heading1"/>
      </w:pPr>
      <w:r>
        <w:t>IX. Conclusion</w:t>
      </w:r>
    </w:p>
    <w:p>
      <w:r>
        <w:t>Offered the same game mechanics without the clinical attachment — an HTML port of the game, played on their own computers — a separate cohort of 120 adults, including 41 aged 65-80,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t>Acknowledgments</w:t>
      </w:r>
    </w:p>
    <w:p>
      <w: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t>References</w:t>
      </w:r>
    </w:p>
    <w:p>
      <w:r>
        <w:t>[1]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r>
        <w:t>[2] S. K. T. Tam and C. F. Cheung, “Gamification as proactive approach: A study of elderly failure-induced abandonment in Fall Risk Assessment,” manuscript under submission (Paper 2 of this programme).</w:t>
      </w:r>
    </w:p>
    <w:p>
      <w:r>
        <w:t>[3] R. Thaler, “Toward a positive theory of consumer choice,” J. Econ. Behav. Organ., vol. 1, no. 1, pp. 39-60, 1980.</w:t>
      </w:r>
    </w:p>
    <w:p>
      <w:r>
        <w:t>[4] D. Kahneman, J. L. Knetsch, and R. H. Thaler, “Experimental tests of the endowment effect and the Coase theorem,” J. Political Econ., vol. 98, no. 6, pp. 1325-1348, 1990.</w:t>
      </w:r>
    </w:p>
    <w:p>
      <w:r>
        <w:t>[5] S. An, C. F. Cheung, and K. W. Willoughby, “A gamification approach for enhancing older adults' technology adoption and knowledge transfer,” Technol. Forecast. Soc. Change, vol. 205, 2024.</w:t>
      </w:r>
    </w:p>
    <w:p>
      <w:r>
        <w:t>[6] K. Chen and A. H. S. Chan, “Gerontechnology acceptance by elderly Hong Kong Chinese: STAM,” Ergonomics, vol. 57, no. 5, pp. 635-652, 2014.</w:t>
      </w:r>
    </w:p>
    <w:p>
      <w:r>
        <w:t>[7] Y.-K. Chou, Actionable Gamification: Beyond Points, Badges, and Leaderboards. Fremont, CA: Octalysis Media, 2015.</w:t>
      </w:r>
    </w:p>
    <w:p>
      <w:r>
        <w:t>[8] G. Eysenbach, “The law of attrition,” J. Med. Internet Res., vol. 7, no. 1, e11, 2005.</w:t>
      </w:r>
    </w:p>
    <w:p>
      <w:r>
        <w:t>[9] S. J. Barber, “An examination of age-based stereotype threat about cognitive decline,” Perspect. Psychol. Sci., vol. 12, no. 1, pp. 62-90, 2017.</w:t>
      </w:r>
    </w:p>
    <w:p>
      <w:r>
        <w:t>[10] M. S. McGlone and J. Aronson, “Stereotype threat, identity salience, and spatial reasoning,” J. Appl. Dev. Psychol., vol. 27, no. 5, pp. 486-493, 2006.</w:t>
      </w:r>
    </w:p>
    <w:p>
      <w:r>
        <w:t>[11] D. Kahneman and A. Tversky, “Prospect theory: An analysis of decision under risk,” Econometrica, vol. 47, no. 2, pp. 263-291, 1979.</w:t>
      </w:r>
    </w:p>
    <w:p>
      <w:r>
        <w:t>[12] A. Bandura, Self-Efficacy: The Exercise of Control. New York: W. H. Freeman, 1997.</w:t>
      </w:r>
    </w:p>
    <w:p>
      <w: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R3: recruitment language corrected to artefact-level decoupling.</dc:description>
  <cp:lastModifiedBy/>
  <cp:revision>1</cp:revision>
  <dcterms:created xsi:type="dcterms:W3CDTF">2013-12-23T23:15:00Z</dcterms:created>
  <dcterms:modified xsi:type="dcterms:W3CDTF">2013-12-23T23:15:00Z</dcterms:modified>
  <cp:category/>
</cp:coreProperties>
</file>