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280</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280</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54</w:t>
      </w:r>
    </w:p>
    <w:p>
      <w:pPr>
        <w:pStyle w:val="TOC2"/>
        <w:keepNext w:val="0"/>
        <w:keepLines/>
        <w:tabs>
          <w:tab w:pos="8496" w:val="right" w:leader="dot"/>
        </w:tabs>
        <w:spacing w:before="0" w:after="80" w:line="276" w:lineRule="auto"/>
        <w:ind w:right="374"/>
      </w:pPr>
      <w:r>
        <w:rPr>
          <w:rFonts w:ascii="Times New Roman" w:hAnsi="Times New Roman"/>
          <w:sz w:val="22"/>
        </w:rPr>
        <w:t>4.1 Purpose</w:t>
        <w:tab/>
        <w:t>54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60</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61</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62</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62</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63</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63</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65</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65</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66</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66</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71</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72</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79</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82</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85</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92</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280</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225</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225</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229</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232</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244</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67</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91</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232</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242</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60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62</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78</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239</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240</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243</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formal written per-participant records during the deployment; the individual attribution of the symptom entries in the Stage-2 dataset was therefore performed by the researcher when compiling the field notes. A single page, typed later by a therapist in a handwriting typeface from the centre's informal notes at the author's request and covering ten of the thirty participants, agrees with the register row for row for those ten, as do three per-participant forms supplied by a therapist on 3 October 2026 as exported page images whose creation date is not established (Appendix G, item G.16); these are secondary records, not contemporaneous logs, and whether they or the field notes were the source of any given symptom entry is not recorded.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(foot pad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did not read the InBody COP stream.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and the footplate driving the InBody FRA measurement, and each system recorded its own data set (author's account, 3 October 2026). The first version of the Stage-2 build had been tested by keyboard before the foot pad was adopted.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translated lateral weight shifts into left/right movement of the on-screen skier and forward/backward shifts into trail scrolling speed; the FRA510S exposes no application programming interface, so the game never read the panel's COP stream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specified as the InBody pressure panel with a stream of COP coordinates as output; in the deployed Stage-2 build it was an FSR pressure-sensor mat placed on the footplate and read over a serial connection, because the FRA510S exposes no application programming interface (§5.2A). Layer 1 (Game Engine) is the Pygame skiing task; it consumes the input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as specified; in the deployed Stage-2 configuration the recorded index was produced by the InBody FRA software running in parallel from the same footplate, not by the game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as specified; in the deployed Stage-2 build no data passed between the game and the InBody system, and the clinical index was read by the therapist from the InBody terminal (§5.2A). The data movement between layers is described in §5.3.4. As specified,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Two methodological points follow from this development pattern. First, the use of Claude Code did not change the engineering content of the system. The five-layer architecture, the dual-purpose mechanic, the weight-shift-to-control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the same reversed direction appears in the legend of the therapist's transcription of the centre's notes (Appendix G, item G.16), so the error appears to have entered at the centre.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as specified, the InBody pressure-panel sensor stream (calibrated by InBody engineers; COP sampled at vendor-default rate). As deployed in Stage 2, a generic FSR plantar-pressure mat (64 × 64 points, about 3 mm; item G.15) placed on top of the FRA510S footplate and read by the game over a serial connection; the footplate drove the InBody FRA software in parallel, with no application programming interface between the two (§5.2A); the first version was tested by keyboard.</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input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(as specified; in deployment the recorded index came from the InBody FRA software measuring from the footplate beneath the game's foot pad, read and logged by the therapist, §5.2A);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centre register page 1, therapist's typed transcription (G.16)</w:t>
            </w:r>
          </w:p>
        </w:tc>
        <w:tc>
          <w:tcPr>
            <w:tcW w:type="dxa" w:w="2340"/>
          </w:tcPr>
          <w:p>
            <w:r>
              <w:rPr>
                <w:sz w:val="15"/>
              </w:rPr>
              <w:t>docs/thesis/evidence/stage2_centre_register/</w:t>
            </w:r>
          </w:p>
        </w:tc>
        <w:tc>
          <w:tcPr>
            <w:tcW w:type="dxa" w:w="1029"/>
          </w:tcPr>
          <w:p>
            <w:r>
              <w:rPr>
                <w:sz w:val="15"/>
              </w:rPr>
              <w:t>Received 3 Oct 2026; preparation date not stated</w:t>
            </w:r>
          </w:p>
        </w:tc>
        <w:tc>
          <w:tcPr>
            <w:tcW w:type="dxa" w:w="1029"/>
          </w:tcPr>
          <w:p>
            <w:r>
              <w:rPr>
                <w:sz w:val="15"/>
              </w:rPr>
              <w:t>10 of 30 Stage-2 participants (secondary record)</w:t>
            </w:r>
          </w:p>
        </w:tc>
        <w:tc>
          <w:tcPr>
            <w:tcW w:type="dxa" w:w="1123"/>
          </w:tcPr>
          <w:p>
            <w:r>
              <w:rPr>
                <w:sz w:val="15"/>
              </w:rPr>
              <w:t>Agrees with G.2 row for row for the ten</w:t>
            </w:r>
          </w:p>
        </w:tc>
        <w:tc>
          <w:tcPr>
            <w:tcW w:type="dxa" w:w="1123"/>
          </w:tcPr>
          <w:p>
            <w:r>
              <w:rPr>
                <w:sz w:val="15"/>
              </w:rPr>
              <w:t>§3.4, §5.5 (corroboration only; no number rests on it)</w:t>
            </w:r>
          </w:p>
        </w:tc>
        <w:tc>
          <w:tcPr>
            <w:tcW w:type="dxa" w:w="1123"/>
          </w:tcPr>
          <w:p>
            <w:r>
              <w:rPr>
                <w:sz w:val="15"/>
              </w:rPr>
              <w:t>Held in repository</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the HUR-type balance platform (coupling method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the numbers follow the facility's own running numbers 0001–0030 with the stage prefix added at the author's request, so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Stage-2 centre register, page 1 (image received 3 October 2026; docs/thesis/evidence/stage2_centre_register/). On the author's account, a page typed later by a facility therapist in a handwriting typeface from the centre's informal notes, prepared to assist the author; the informal originals were not supplied, the date of preparation is not stated, and page 1 covers ten of the thirty participants. Its ten entries (sex, age, cycle count, before and after index, symptom and self-report notes, under five dates in July 2025) agree with the Stage-2 ID register row for row. It is a secondary transcription, not a contemporaneous session log: each entry carries the participant's final cycle count and final index under a single date, so the meaning of the dates is not established. Its legend states the index direction in the reversed sense later identified as an error (§5.5). Also under this item: three per-participant record forms (S2-001, S2-0022, S2-0025) on a printed template, supplied by a facility therapist on 3 October 2026 as exported page images; the date and system in which they were first created are not established from the files, and one date field was corrected at the author's request on 3 October 2026 (both versions and a pixel-comparison image are held). Each agrees with the register in every field the register holds and adds a session date and a therapist's note that appear in no earlier record. Used only as corroboration that the register's values for these participants have a centre-side counterpart; no number in this thesis rests on these records.</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V76 - 3 October 2026 (centre record forms). Three per-participant record forms supplied by a facility therapist on 3 October 2026 as exported page images (creation date not established; one date corrected at the author's request, both versions kept) are added to item G.16 with that status and noted in §3.4; corroboration only.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