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r>
        <w:t xml:space="preserve"> RUN STRUCTURE (locked 9 Aug 2026 after author play-testing): every run lasts a fixed 30 seconds — the 200 m distance goal is a mid-run bonus, not an early end — so all participants and both arms receive equal exposure time per run, standardising the arm comparison. Languages: Traditional Chinese, Simplified Chinese and English, participant-selected at first launch.</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