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Sidney K. T. Tam</w:t>
        <w:br/>
        <w:t>Behaviour and Knowledge Engineering Research Centre</w:t>
        <w:br/>
        <w:t>Department of Industrial and Systems Engineering</w:t>
        <w:br/>
        <w:t>The Hong Kong Polytechnic University, Hong Kong, China</w:t>
        <w:br/>
        <w:t>sidney.tam@connect.polyu.hk</w:t>
      </w:r>
    </w:p>
    <w:p>
      <w:r>
        <w:t>11 September 2026</w:t>
      </w:r>
    </w:p>
    <w:p>
      <w:r>
        <w:t>The Editor-in-Chief</w:t>
        <w:br/>
        <w:t>IEEE Access</w:t>
      </w:r>
    </w:p>
    <w:p>
      <w:r>
        <w:rPr>
          <w:b/>
        </w:rPr>
        <w:t>Re: Submission — “Decoupling the Clinical Attachment from Gamified Fall Risk Assessment: Between-Cohort Evidence for a Frame-Sensitive Account of Elderly Abandonment”</w:t>
      </w:r>
    </w:p>
    <w:p>
      <w:pPr>
        <w:jc w:val="both"/>
      </w:pPr>
      <w:r>
        <w:t>Dear Editor-in-Chief,</w:t>
      </w:r>
    </w:p>
    <w:p>
      <w:pPr>
        <w:jc w:val="both"/>
      </w:pPr>
      <w:r>
        <w:t>We are pleased to submit the above manuscript to IEEE Access. Earlier work in our programme documented rapid abandonment, without documented return, of a gamified, AI-assisted Fall Risk Assessment (FRA) by elderly residents after early failure — even where the recorded balance index had improved. Two rival readings of that result make opposite predictions: a dispositional reading (gamification does not transfer to frail older adults) and a coupling reading (the attachment of the game to a clinical verdict carried the failure). This paper reports the evaluation that separates them: a between-cohort quasi-experimental remote deployment with 120 community-dwelling adults aged 25–80, in which the same game was ported to an HTML build, the participant-facing clinical attachment removed as a package, and the activity framed as an eye–leg coordination challenge.</w:t>
      </w:r>
    </w:p>
    <w:p>
      <w:pPr>
        <w:jc w:val="both"/>
      </w:pPr>
      <w:r>
        <w:t>In the preliminary aggregate record, end-of-window retention was 93.3% overall and 85.4% in the 65–80 band, 15 of 23 initial dropouts returned voluntarily, and initial dropout climbed steeply with age while observed non-return converged to low levels in every band. The pattern is consistent with the coupling account and inconsistent with the dispositional account, within the stated limits of a between-cohort, multi-component design. The paper contributes the decoupling package as a reproducible engineering intervention, a candidate boundary condition for gamification theory, and a pre-specified within-cohort randomised design as the confirmatory test.</w:t>
      </w:r>
    </w:p>
    <w:p>
      <w:pPr>
        <w:jc w:val="both"/>
      </w:pPr>
      <w:r>
        <w:t>Declarations. The manuscript is original, has not been published, and is not under consideration elsewhere. A conference paper (Tam &amp; Cheung, ICMSS 2026) reports the programme's Stage-1 review and a companion manuscript reports the Stage-2 coupled deployment; no results are duplicated. The programme was approved by The Hong Kong Polytechnic University's Human Subjects Ethics Sub-Committee (application HSEARS20260805008); this study used an informed, implied-consent model, stated with its limitation in the manuscript. Funding, conflicts, data availability and AI-use declarations appear in the manuscript's Declarations section.</w:t>
      </w:r>
    </w:p>
    <w:p>
      <w:pPr>
        <w:jc w:val="both"/>
      </w:pPr>
      <w:r>
        <w:t>Thank you for considering the manuscript.</w:t>
      </w:r>
    </w:p>
    <w:p>
      <w:pPr>
        <w:jc w:val="both"/>
      </w:pPr>
      <w:r>
        <w:t>Yours faithfully,</w:t>
      </w:r>
    </w:p>
    <w:p>
      <w:pPr>
        <w:jc w:val="both"/>
      </w:pPr>
      <w:r>
        <w:t>Sidney K. T. Tam (corresponding author)</w:t>
        <w:br/>
        <w:t>Prof. Chi Fai Cheung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