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Sidney K. T. Tam</w:t>
        <w:br/>
        <w:t>Behaviour and Knowledge Engineering Research Centre</w:t>
        <w:br/>
        <w:t>Department of Industrial and Systems Engineering</w:t>
        <w:br/>
        <w:t>The Hong Kong Polytechnic University, Hong Kong, China</w:t>
        <w:br/>
        <w:t>sidney.tam@connect.polyu.hk</w:t>
      </w:r>
    </w:p>
    <w:p>
      <w:r>
        <w:t>10 September 2026</w:t>
      </w:r>
    </w:p>
    <w:p>
      <w:r>
        <w:t>The Editor-in-Chief</w:t>
        <w:br/>
        <w:t>JMIR Serious Games</w:t>
      </w:r>
    </w:p>
    <w:p>
      <w:r>
        <w:rPr>
          <w:b/>
        </w:rPr>
        <w:t>Re: Submission — “Gamification as a Proactive Approach: A Study of Elderly Failure-Induced Abandonment in Gamified Fall Risk Assessment”</w:t>
      </w:r>
    </w:p>
    <w:p>
      <w:pPr>
        <w:jc w:val="both"/>
      </w:pPr>
      <w:r>
        <w:t>Dear Editor-in-Chief,</w:t>
      </w:r>
    </w:p>
    <w:p>
      <w:pPr>
        <w:jc w:val="both"/>
      </w:pPr>
      <w:r>
        <w:t>We are pleased to submit the above manuscript to JMIR Serious Games. The paper reports an eight-week action-research deployment (June–August 2025) of a gamified, AI-assisted Fall Risk Assessment (FRA) with thirty elderly residents of a residential care facility in Southern China. A serious game built on the FRA's own pressure panel made one physical action both play and clinical measurement; the deployment documents what followed: 70.0% of participants had three or fewer recorded completed game runs, 26.7% had one, and none of the 21 low-engagement participants had a later recorded run within the observation window — including three whose recorded balance index improved in their only recorded run.</w:t>
      </w:r>
    </w:p>
    <w:p>
      <w:pPr>
        <w:jc w:val="both"/>
      </w:pPr>
      <w:r>
        <w:t>The manuscript contributes a verified statistical record of this pattern (every statistic recalculated from the archived participant-level dataset, with a data dictionary, a transparently reported unverified record and a sensitivity analysis); a provisional two-step behavioural account (FIDS/FIAS — self-efficacy collapse at first failure, then loss aversion over further identity-relevant evidence), stated throughout as proposed mechanisms with four falsifiable predictions and positioned against the NASSS framework; a systematically tabulated qualitative record; and design implications for serious games that double as clinical measurement, with a pre-specified three-arm confirmatory design. Reporting follows the observational-study discipline of distinguishing recorded variables, missing information and follow-up status.</w:t>
      </w:r>
    </w:p>
    <w:p>
      <w:pPr>
        <w:jc w:val="both"/>
      </w:pPr>
      <w:r>
        <w:t>Declarations. The manuscript is original, has not been published, and is not under consideration elsewhere. A conference paper (Tam &amp; Cheung, ICMSS 2026) reports the programme's separate Stage-1 critical review, and a companion manuscript reports a separate later-stage deployment; no results are duplicated. The programme was approved by The Hong Kong Polytechnic University's Human Subjects Ethics Sub-Committee (application HSEARS20260805008); the Stage-2 consent arrangement as conducted — incomplete disclosure with a scientific rationale, gatekeeper consent, and retrospective written consent from sustained participants — is characterised in the manuscript's Ethical Considerations. Anthropic's Claude Code served as an engineering assistant in system development, and AI-assisted drafting tools were used in manuscript preparation under full author review and responsibility. One Multimedia Appendix accompanies the submission (interview instrument, free-text responses with translations, and the sensitivity-analysis computation note).</w:t>
      </w:r>
    </w:p>
    <w:p>
      <w:pPr>
        <w:jc w:val="both"/>
      </w:pPr>
      <w:r>
        <w:t>Thank you for considering the manuscript.</w:t>
      </w:r>
    </w:p>
    <w:p>
      <w:pPr>
        <w:jc w:val="both"/>
      </w:pPr>
      <w:r>
        <w:t>Yours faithfully,</w:t>
      </w:r>
    </w:p>
    <w:p>
      <w:pPr>
        <w:jc w:val="both"/>
      </w:pPr>
      <w:r>
        <w:t>Sidney K. T. Tam (corresponding author)</w:t>
        <w:br/>
        <w:t>Prof. Chi Fai Cheung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