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sz w:val="20"/>
        </w:rPr>
        <w:t>Table 4. Engagement pattern (N = 30).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Measure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 (95% CI)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Low engagement (≤ 3 cycles)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21/30, 70.0% (52.1–83.3%)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Sustained (≥ 4 cycles)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9/30, 30.0%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Single-session exits (1 cycle)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8/30, 26.7% (14.2–44.4%)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Re-engagement after disengagement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0/21, 0.0% (0.0–15.5%)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