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r>
        <w:rPr>
          <w:highlight w:val="yellow"/>
        </w:rPr>
        <w:t>REVIEW COPY V37 - AUTHOR INPUT CHECKLIST (this page and every yellow mark must be resolved and removed before submission). Outstanding inputs: (1) exact HSESC approval date from the approval memo (s3.4 says 'August 2026'); (2) SS-293 camera-ready text for the consent-statement check; (3) the as-sent Mar-Apr 2026 participant invitation original (Appendix D/G.5); (4) photos of the two Stage-2 paper instruments (Appendix C); (5) verbatim Mandarin Stage-1 survey items + response CSV (Appendix A, G.1); (6) FIAS thirteen-attribute coding table + inter-coder kappa (Appendix B); (7) D1-D2 response scale (5 vs 7) + bilingual wording (Appendix D); (8) Stage-2 AI endpoint record - vendor/model/prompts/config (G.7) and whether session telemetry/AI-call logs were retained (G.2 or one disclosed sentence); (9) control person's written consent for Figure 5.1A (G.8); (10) Stage-3 participant-level logbook: distributor wrappers + questionnaire returns, or the disclosure sentence that compilation remains partial (s6.4); (11) Stage 3B results when the window closes (s8.8); (12) Dr Lau second consultation: game feedback, Mirror clearance, member-check (s8.5A, H.6); (13) member-checks for Dr Choy's and Dr Lau's summaries; (14) screenshots to re-send as files (dated invitations, Choy/Wong/Lau WhatsApp chains, HSEARS dashboard, ICMSS acceptance letter); (15) final Word field refresh (Ctrl+A, F9) + full verification sweep + proofread.</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surveyed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4 Stage 1 — From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 Purpose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4.1A What is Fall Risk Assessment (FRA)? Basic System Design and Features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4.2 The Guangzhou Survey (N = 200 of 280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4.3 TAM, STAM and the Limitation for Retired Users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4.4 Octalysis and the In-Game Loss Assumption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4.5 Behavioural Science Lenses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4.6 Terminological Correction: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4.7 Cross-Cultural Reference Point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4.8 Output and Stage-1 Limitations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5 Stage 2 — Action Research with Gamified FRA</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5.1 Research Questions and Hypotheses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 Setting and Action-Research Approach</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5.2A Integrating the FRA into the Skiing Game: The Dual-Purpose Mechanic in Detail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5.3 The Gamified Intervention — Skiing Game on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5.3.2 Game Concept and Gameplay Loop</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5.3.3 On-Screen Display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5.3.4 Five-Layer Architecture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5.3.5 Automatic Difficulty Adjustment System</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5.3.6 Data Structures and Telemetry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5.3.7 Sample User Profile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5.3.8 Why a Skiing Game?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5.3.9 Development Methodology: The Claude Code-Assisted Workflow</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5.3.10 Dynamic Game States: An Agentic-AI-Driven, Loss-Free Game Mechanic (Secondary Contribution)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5.4 Participants and Data Governance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5.5 Quantitative Findings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5.6 The F4 Cluster and the Objective-Score-Improvement/Non-Return Paradox</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50</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5.7 Theoretical Extension: Endowment, Stereotype Threat, Domain Reframing</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5.8 Information-Entropy Lens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5.9 Limitations and What Stage 2 Establishes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6 Stage 3 — Participant-Facing Decoupling: Between-Cohort Evidence for a Frame-Sensitive Account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 Why a Decoupling Stage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6.2 Research Question and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6.3 Methodology: A Participant-Facing Decoupling Package in a Separate Cohort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6.4 Participants and Apparatus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6.5 Findings: A Substantial Behavioural Shift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6.6 The Objective-Score-Improvement/Non-Return Paradox Reconsidered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6.7 Frame-Sensitive versus Dispositional Accounts: Calibrated Inference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6.8 The Commitment Gap and Its Design Implication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pPr>
      <w:r>
        <w:rPr>
          <w:szCs w:val="22"/>
          <w:lang w:val="en-US" w:eastAsia="en-US" w:bidi="ar-SA"/>
          <w:rFonts w:ascii="Times New Roman" w:hAnsi="Times New Roman" w:eastAsia="Times New Roman" w:cs="Times New Roman"/>
          <w:sz w:val="24"/>
        </w:rPr>
        <w:t>6.8A The Commitment Gap Read Through Group Dynamics: An Expert Consultation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6.9 Limitations of Stage 3</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6.10 Quantitative Comparison Against Existing Models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6.10.1 Three-Tier Nested Model Specification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6.10.2 Statistical Comparison Plan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6.10.3 Decision-Curve Analysis and Practical Significance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6.10.4 Pre-Specified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6.10.5 Provisional Estimates from the Existing Datasets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6.11 Consolidated Statistical Results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7 Discussion: Adaptive Learning as the Behavioural-Change Driver</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9.7 Theoretical Contributions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 Practical Contributions for Industry and Practice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9.8A A Secondary Contribution to Gamification: Agentic-AI-Driven Dynamic Game States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9.8B Future Research Proposition: From Telemetry-Conditioned to Person-Conditioned Adaptation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9.8C Bounded Implications for AI Evaluation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9.9 Limits of What Has Been Shown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9.10 Natural Extensions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9.11 Returning to the Three F4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9.12 Closing Synthesis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93</w:t>
      </w:r>
    </w:p>
    <w:p>
      <w:pPr>
        <w:pStyle w:val="TOC1"/>
        <w:tabs>
          <w:tab w:val="right" w:leader="dot" w:pos="8495"/>
        </w:tabs>
        <w:rPr>
          <w:noProof/>
        </w:rPr>
      </w:pPr>
      <w:r>
        <w:rPr>
          <w:szCs w:val="22"/>
          <w:lang w:val="en-US" w:eastAsia="en-US" w:bidi="ar-SA"/>
          <w:rFonts w:ascii="Times New Roman" w:hAnsi="Times New Roman" w:eastAsia="Times New Roman" w:cs="Times New Roman"/>
          <w:sz w:val="24"/>
        </w:rPr>
        <w:t>References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Appendices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A · Stage-1 Survey Instrument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A.1 · Survey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B · Stage-2 FIAS Coding Scheme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C · Stage-2 Qualitative Record and the F4 Interview Protocol (Designed, Not Administered)</w:t>
        <w:tab/>
        <w:t>104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C.1 · Question Set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D · Stage-3 Decoupling Questionnaire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D.1 · Post-Session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D.2 · Demographic Block (At Enrolment)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E · Five-Layer Architecture and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E.1 · Layers L0–L4 (Stage-2 Operational)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E.2 · Layers L5–L7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E.3 · AI Safety Provisions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107</w:t>
      </w:r>
    </w:p>
    <w:p>
      <w:pPr>
        <w:pStyle w:val="TOC2"/>
      </w:pPr>
      <w:r>
        <w:rPr>
          <w:szCs w:val="22"/>
          <w:lang w:val="en-US" w:eastAsia="en-US" w:bidi="ar-SA"/>
          <w:rFonts w:ascii="Times New Roman" w:hAnsi="Times New Roman" w:eastAsia="Times New Roman" w:cs="Times New Roman"/>
          <w:sz w:val="24"/>
        </w:rPr>
        <w:t>Appendix F · Glossary of Key Constructs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108</w:t>
      </w:r>
    </w:p>
    <w:p>
      <w:pPr>
        <w:pStyle w:val="TOC2"/>
        <w:spacing w:after="200" w:line="276" w:lineRule="auto"/>
        <w:rPr>
          <w:rFonts w:asciiTheme="majorHAnsi" w:eastAsiaTheme="majorEastAsia" w:hAnsiTheme="majorHAnsi" w:cstheme="majorBidi"/>
          <w:b/>
          <w:bCs/>
          <w:color w:val="000000"/>
          <w:sz w:val="32"/>
          <w:szCs w:val="32"/>
        </w:rPr>
      </w:pPr>
      <w:r>
        <w:rPr>
          <w:rFonts w:asciiTheme="majorHAnsi" w:eastAsiaTheme="majorEastAsia" w:hAnsiTheme="majorHAnsi" w:cstheme="majorBidi" w:ascii="Times New Roman" w:hAnsi="Times New Roman" w:eastAsia="Times New Roman" w:cs="Times New Roman"/>
          <w:b/>
          <w:color w:val="000000"/>
          <w:sz w:val="32"/>
          <w:szCs w:val="28"/>
        </w:rPr>
        <w:t>Appendix G · Raw Data, Photographs and Supplementary Materials</w:t>
      </w:r>
      <w:r>
        <w:rPr>
          <w:rFonts w:asciiTheme="majorHAnsi" w:eastAsiaTheme="majorEastAsia" w:hAnsiTheme="majorHAnsi" w:cstheme="majorBidi"/>
          <w:b/>
          <w:color w:val="000000"/>
          <w:sz w:val="32"/>
          <w:szCs w:val="32"/>
        </w:rPr>
        <w:tab/>
      </w:r>
      <w:r>
        <w:rPr>
          <w:rFonts w:asciiTheme="majorHAnsi" w:eastAsiaTheme="majorEastAsia" w:hAnsiTheme="majorHAnsi" w:cstheme="majorBidi" w:ascii="Times New Roman" w:hAnsi="Times New Roman" w:eastAsia="Times New Roman" w:cs="Times New Roman"/>
          <w:b/>
          <w:color w:val="000000"/>
          <w:sz w:val="32"/>
          <w:szCs w:val="28"/>
        </w:rPr>
        <w:t>110</w:t>
      </w:r>
    </w:p>
    <w:p>
      <w:pPr>
        <w:pStyle w:val="TOC2"/>
      </w:pPr>
      <w:r>
        <w:rPr>
          <w:szCs w:val="22"/>
          <w:lang w:val="en-US" w:eastAsia="en-US" w:bidi="ar-SA"/>
          <w:rFonts w:ascii="Times New Roman" w:hAnsi="Times New Roman" w:eastAsia="Times New Roman" w:cs="Times New Roman"/>
          <w:sz w:val="24"/>
        </w:rPr>
        <w:t>Appendix H · Expert Consultation Record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112</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Figures</w:t>
      </w:r>
    </w:p>
    <w:p>
      <w:pPr>
        <w:pStyle w:val="TOC1"/>
      </w:pPr>
      <w:r>
        <w:rPr>
          <w:szCs w:val="22"/>
          <w:lang w:val="en-US" w:eastAsia="en-US" w:bidi="ar-SA"/>
          <w:rFonts w:ascii="Times New Roman" w:hAnsi="Times New Roman" w:eastAsia="Times New Roman" w:cs="Times New Roman"/>
          <w:sz w:val="24"/>
        </w:rPr>
        <w:t>Figure 1.1. The intellectual structure of the thesis: from industrial problem through FIAS, the adaptive-learning framework and the dynamic game-state engine to the industrial outcome.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3.1. Three-stage action research programme. Each stage produces an empirical output and a theoretical revision; the three stages converge on the adaptive-learning framework design framework and the future-work programme.</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26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30</w:t>
      </w:r>
    </w:p>
    <w:p>
      <w:pPr>
        <w:pStyle w:val="TOC1"/>
      </w:pPr>
      <w:r>
        <w:rPr>
          <w:szCs w:val="22"/>
          <w:lang w:val="en-US" w:eastAsia="en-US" w:bidi="ar-SA"/>
          <w:rFonts w:ascii="Times New Roman" w:hAnsi="Times New Roman" w:eastAsia="Times New Roman" w:cs="Times New Roman"/>
          <w:sz w:val="24"/>
        </w:rPr>
        <w:t>Figure 4.1B. The FRA balance station as deployed in the rehabilitation room of the Guangzhou facility.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 xml:space="preserve">Figure 5.0. Integration of the FRA system into the skiing game. The four-load-cell footplate is shared; the COP stream feeds a player-facing pipeline (skiing-game engine, design parameters, adaptive difficulty engine, telemetry logger) on the left and a </w:t>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5.1. Skiing game on-screen display. The skier is controlled through Centre-of-Pressure shifts on the InBody panel; trees and rocks act as obstacles, gold coins reward forward play, and a level-and-score display is anchored to the top of the screen.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40</w:t>
      </w:r>
    </w:p>
    <w:p>
      <w:pPr>
        <w:pStyle w:val="TOC1"/>
      </w:pPr>
      <w:r>
        <w:rPr>
          <w:szCs w:val="22"/>
          <w:lang w:val="en-US" w:eastAsia="en-US" w:bidi="ar-SA"/>
          <w:rFonts w:ascii="Times New Roman" w:hAnsi="Times New Roman" w:eastAsia="Times New Roman" w:cs="Times New Roman"/>
          <w:sz w:val="24"/>
        </w:rPr>
        <w:t>Figure 5.1A. The platform-game coupling demonstrated by a control person (development office, August 2024).</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pPr>
      <w:r>
        <w:rPr>
          <w:szCs w:val="22"/>
          <w:lang w:val="en-US" w:eastAsia="en-US" w:bidi="ar-SA"/>
          <w:rFonts w:ascii="Times New Roman" w:hAnsi="Times New Roman" w:eastAsia="Times New Roman" w:cs="Times New Roman"/>
          <w:sz w:val="24"/>
        </w:rPr>
        <w:t>Figure 5.1B. The deployed game artefact across difficulty levels 1–5 (screenshots from the archived game build).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5.2. Five-layer architecture of the gamified FRA system. The dual-purpose mechanic links Layer 0 (sensor input) and Layer 4 (clinical output) through the gameplay layers without exposing clinical numbers to the user during play.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5.4. Participant-level pre/post recorded FRA index for the Stage-2 cohort (N = 30), by engagement group.</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5.5. Participant flow diagram (Stage 2, N = 30): no re-engagement was observed among the twenty-one low-engagement participants during the eight-week study window.</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5.6. Distribution of provisional FIAS composite scores across all 30 participants. The composite includes engagement-outcome attributes, so the separation of the F4 cluster is expected by construction; the figure is descriptive case identification, not evidence (§5.6).</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6.1. Stage-3 retention and observed non-return at the end of the study window by age band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6.2. Return behaviour after initial dropout, by age band: 62.5% return rate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6.3. Retention versus regular-use intention by age band: the 29.3-pp commitment gap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7.1. adaptive-learning reference stack: existing five-layer FRA architecture (L0–L4) extended with three additional layers (L5 User-Facing Trajectory; L6 Staff Coaching Protocol; L7 Adaptive-Learning Telemetry).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68</w:t>
      </w:r>
    </w:p>
    <w:p>
      <w:pPr>
        <w:pStyle w:val="TOC1"/>
      </w:pPr>
      <w:r>
        <w:t>Figure 8.1. The gerontechnology design space: measurement versus engagement, and the occupied middle ground.</w:t>
        <w:tab/>
        <w:t>79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90</w:t>
      </w:r>
    </w:p>
    <w:p>
      <w:pPr>
        <w:pStyle w:val="Normal"/>
      </w:pPr>
    </w:p>
    <w:p>
      <w:pPr>
        <w:pStyle w:val="Heading1"/>
      </w:pPr>
      <w:bookmarkStart w:id="3" w:name="_Toc232024494"/>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Tables</w:t>
      </w:r>
      <w:bookmarkEnd w:id="3"/>
    </w:p>
    <w:p>
      <w:pPr>
        <w:pStyle w:val="TOC1"/>
      </w:pPr>
      <w:r>
        <w:rPr>
          <w:szCs w:val="22"/>
          <w:lang w:val="en-US" w:eastAsia="en-US" w:bidi="ar-SA"/>
          <w:rFonts w:ascii="Times New Roman" w:hAnsi="Times New Roman" w:eastAsia="Times New Roman" w:cs="Times New Roman"/>
          <w:sz w:val="24"/>
        </w:rPr>
        <w:t>Table 2.1. From the rejected null hypothesis to candidate mechanisms: the structure of the FIAS account.</w:t>
      </w:r>
    </w:p>
    <w:p>
      <w:pPr>
        <w:pStyle w:val="TOC1"/>
      </w:pPr>
      <w:r>
        <w:rPr>
          <w:szCs w:val="22"/>
          <w:lang w:val="en-US" w:eastAsia="en-US" w:bidi="ar-SA"/>
          <w:rFonts w:ascii="Times New Roman" w:hAnsi="Times New Roman" w:eastAsia="Times New Roman" w:cs="Times New Roman"/>
          <w:sz w:val="24"/>
        </w:rPr>
        <w:t>Table 3.1. The hypothesis architecture of the programme: where each claim originates, is stated, is tested, and stands.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4.1. Stage-1 survey results (N = 200 residents surveyed, of a resident population of 280).</w:t>
        <w:tab/>
        <w:t>31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4.2. TAM limitations for elderly FRA users.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4.3. Octalysis drives contextualised against STAM characteristics.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5.0. Skiing-game parameters by which the FRA COP signal is integrated into gameplay (extract; full specification in Game_States_and_Parameters.xlsx).</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5.1. Skiing game data structure summary.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5.2. Stage-2 engagement pattern (N = 30).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48</w:t>
      </w:r>
    </w:p>
    <w:p>
      <w:pPr>
        <w:pStyle w:val="TOC1"/>
      </w:pPr>
      <w:r>
        <w:rPr>
          <w:szCs w:val="22"/>
          <w:lang w:val="en-US" w:eastAsia="en-US" w:bidi="ar-SA"/>
          <w:rFonts w:ascii="Times New Roman" w:hAnsi="Times New Roman" w:eastAsia="Times New Roman" w:cs="Times New Roman"/>
          <w:sz w:val="24"/>
        </w:rPr>
        <w:t>Table 5.3. QFD deployment matrix: user needs mapped onto game technical characteristics.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6.1. Stage-3 overall engagement and dropout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6.2. Stage-3 age-stratified engagement.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6.3. Stage-3 coordination endorsement and regular-use intention by age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6.4. Three-tier nested model specification for the FIAS-vs-TAM/STAM quantitative comparison.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6.5. Consolidated statistical results for the key contrasts of Stages 2 and 3.</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7.1. Adaptive-learning principles, function and empirical anchor.</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8.0. The four contribution registers and where each is stated.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72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7.2. Adaptive-learning reference stack (L0–L7) mapped to adaptive-learning principles.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Abbreviations</w:t>
      </w:r>
    </w:p>
    <w:tbl>
      <w:tblPr>
        <w:tblStyle w:val="TableGrid"/>
        <w:tblW w:w="0" w:type="auto"/>
        <w:jc w:val="center"/>
        <w:tblLook w:val="04A0" w:firstRow="1" w:lastRow="0" w:firstColumn="1" w:lastColumn="0" w:noHBand="0" w:noVBand="1"/>
      </w:tblPr>
      <w:tblGrid>
        <w:gridCol w:w="4247"/>
        <w:gridCol w:w="4248"/>
      </w:tblGrid>
      <w:tr>
        <w:trPr>
          <w:jc w:val="center"/>
        </w:trPr>
        <w:tc>
          <w:tcPr>
            <w:tcW w:w="4247" w:type="dxa"/>
          </w:tcPr>
          <w:p>
            <w:pPr>
              <w:pStyle w:val="Normal"/>
            </w:pPr>
            <w:r>
              <w:rPr>
                <w:b/>
                <w:sz w:val="20"/>
                <w:szCs w:val="22"/>
                <w:lang w:val="en-US" w:eastAsia="en-US" w:bidi="ar-SA"/>
                <w:rFonts w:ascii="Times New Roman" w:hAnsi="Times New Roman" w:eastAsia="Times New Roman" w:cs="Times New Roman"/>
              </w:rPr>
              <w:t>AI</w:t>
            </w:r>
          </w:p>
        </w:tc>
        <w:tc>
          <w:tcPr>
            <w:tcW w:w="4248" w:type="dxa"/>
          </w:tcPr>
          <w:p>
            <w:pPr>
              <w:pStyle w:val="Normal"/>
            </w:pPr>
            <w:r>
              <w:rPr>
                <w:b/>
                <w:sz w:val="20"/>
                <w:szCs w:val="22"/>
                <w:lang w:val="en-US" w:eastAsia="en-US" w:bidi="ar-SA"/>
                <w:rFonts w:ascii="Times New Roman" w:hAnsi="Times New Roman" w:eastAsia="Times New Roman" w:cs="Times New Roman"/>
              </w:rPr>
              <w:t>Artificial Intelligence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AIC / BIC</w:t>
            </w:r>
          </w:p>
        </w:tc>
        <w:tc>
          <w:tcPr>
            <w:tcW w:w="4248"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AUC</w:t>
            </w:r>
          </w:p>
        </w:tc>
        <w:tc>
          <w:tcPr>
            <w:tcW w:w="4248"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CI</w:t>
            </w:r>
          </w:p>
        </w:tc>
        <w:tc>
          <w:tcPr>
            <w:tcW w:w="4248"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COP</w:t>
            </w:r>
          </w:p>
        </w:tc>
        <w:tc>
          <w:tcPr>
            <w:tcW w:w="4248"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FES-I</w:t>
            </w:r>
          </w:p>
        </w:tc>
        <w:tc>
          <w:tcPr>
            <w:tcW w:w="4248"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FIAS</w:t>
            </w:r>
          </w:p>
        </w:tc>
        <w:tc>
          <w:tcPr>
            <w:tcW w:w="4248"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FIDS</w:t>
            </w:r>
          </w:p>
        </w:tc>
        <w:tc>
          <w:tcPr>
            <w:tcW w:w="4248"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FRA</w:t>
            </w:r>
          </w:p>
        </w:tc>
        <w:tc>
          <w:tcPr>
            <w:tcW w:w="4248"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PEOU</w:t>
            </w:r>
          </w:p>
        </w:tc>
        <w:tc>
          <w:tcPr>
            <w:tcW w:w="4248"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PIPL</w:t>
            </w:r>
          </w:p>
        </w:tc>
        <w:tc>
          <w:tcPr>
            <w:tcW w:w="4248"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trPr>
        <w:tc>
          <w:tcPr>
            <w:tcW w:w="4247" w:type="dxa"/>
          </w:tcPr>
          <w:p>
            <w:pPr>
              <w:pStyle w:val="Normal"/>
            </w:pPr>
            <w:r>
              <w:rPr>
                <w:szCs w:val="22"/>
                <w:lang w:val="en-US" w:eastAsia="en-US" w:bidi="ar-SA"/>
                <w:rFonts w:ascii="Times New Roman" w:hAnsi="Times New Roman" w:eastAsia="Times New Roman" w:cs="Times New Roman"/>
                <w:sz w:val="20"/>
              </w:rPr>
              <w:t>PU</w:t>
            </w:r>
          </w:p>
        </w:tc>
        <w:tc>
          <w:tcPr>
            <w:tcW w:w="4248"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STAM</w:t>
            </w:r>
          </w:p>
        </w:tc>
        <w:tc>
          <w:tcPr>
            <w:tcW w:w="4248"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TAM</w:t>
            </w:r>
          </w:p>
        </w:tc>
        <w:tc>
          <w:tcPr>
            <w:tcW w:w="4248"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UTAUT</w:t>
            </w:r>
          </w:p>
        </w:tc>
        <w:tc>
          <w:tcPr>
            <w:tcW w:w="4248"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WTA</w:t>
            </w:r>
          </w:p>
        </w:tc>
        <w:tc>
          <w:tcPr>
            <w:tcW w:w="4248"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WTP</w:t>
            </w:r>
          </w:p>
        </w:tc>
        <w:tc>
          <w:tcPr>
            <w:tcW w:w="4248"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spacing w:after="40"/>
      </w:pPr>
    </w:p>
    <w:p>
      <w:pPr>
        <w:pStyle w:val="Normal"/>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Chapter 1 Introduction</w:t>
      </w:r>
      <w:bookmarkEnd w:id="4"/>
    </w:p>
    <w:p>
      <w:pPr>
        <w:pStyle w:val="Heading2"/>
      </w:pPr>
      <w:bookmarkStart w:id="5" w:name="_Toc23202449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pStyle w:val="Normal"/>
        <w:jc w:val="both"/>
      </w:pPr>
      <w:r>
        <w:rPr>
          <w:szCs w:val="22"/>
          <w:lang w:val="en-US" w:eastAsia="en-US" w:bidi="ar-SA"/>
          <w:rFonts w:ascii="Times New Roman" w:hAnsi="Times New Roman" w:eastAsia="Times New Roman" w:cs="Times New Roman"/>
          <w:sz w:val="24"/>
        </w:rP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pPr>
        <w:pStyle w:val="Heading2"/>
      </w:pPr>
      <w:bookmarkStart w:id="6" w:name="_Toc23202449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1.2 Why the Empty Station Is an Industry Problem, Not a Local Problem</w:t>
      </w:r>
      <w:bookmarkEnd w:id="6"/>
    </w:p>
    <w:p>
      <w:pPr>
        <w:pStyle w:val="Normal"/>
        <w:jc w:val="both"/>
      </w:pPr>
      <w:r>
        <w:rPr>
          <w:szCs w:val="22"/>
          <w:lang w:val="en-US" w:eastAsia="en-US" w:bidi="ar-SA"/>
          <w:rFonts w:ascii="Times New Roman" w:hAnsi="Times New Roman" w:eastAsia="Times New Roman" w:cs="Times New Roman"/>
          <w:sz w:val="24"/>
        </w:rPr>
        <w:t xml:space="preserve">The Guangzhou facility is not anomalous. Across the elderly residential care sector in Hong Kong, Mainland China and several comparable economies, sensor-based health </w:t>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pPr>
        <w:pStyle w:val="Normal"/>
        <w:jc w:val="both"/>
      </w:pPr>
      <w:r>
        <w:rPr>
          <w:szCs w:val="22"/>
          <w:lang w:val="en-US" w:eastAsia="en-US" w:bidi="ar-SA"/>
          <w:rFonts w:ascii="Times New Roman" w:hAnsi="Times New Roman" w:eastAsia="Times New Roman" w:cs="Times New Roman"/>
          <w:sz w:val="24"/>
        </w:rP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pPr>
        <w:pStyle w:val="Heading2"/>
      </w:pPr>
      <w:bookmarkStart w:id="7" w:name="_Toc23202449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t>of acute mental-health conditions. Whatever drives their abandonment is operating within a population that the standard non-use framings do not reach.</w:t>
      </w:r>
    </w:p>
    <w:p>
      <w:pPr>
        <w:pStyle w:val="Heading2"/>
      </w:pPr>
      <w:bookmarkStart w:id="8" w:name="_Toc23202450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t>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pPr>
        <w:pStyle w:val="Heading2"/>
      </w:pPr>
      <w:bookmarkStart w:id="10" w:name="_Toc23202450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Working tables from the survey period also suggested favourable physical-access and perceived-benefit estimates; because those figures cannot be traced to items in the archived six-item instrument (Appendix A), they are not reported as survey results in this thesis. The survey therefore provides a strong descriptive problem signature, but its wording does not allow every negative first experience to be treated unambiguously as task failure.</w:t>
      </w:r>
    </w:p>
    <w:p>
      <w:pPr>
        <w:pStyle w:val="Normal"/>
        <w:jc w:val="both"/>
      </w:pPr>
      <w:r>
        <w:rPr>
          <w:szCs w:val="22"/>
          <w:lang w:val="en-US" w:eastAsia="en-US" w:bidi="ar-SA"/>
          <w:rFonts w:ascii="Times New Roman" w:hAnsi="Times New Roman" w:eastAsia="Times New Roman" w:cs="Times New Roman"/>
          <w:sz w:val="24"/>
        </w:rPr>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game and its instructions carried no clinical or fall-risk terminology and delivered no participant-facing clinical output; the activity was presented as a purely-fun coordination game; and the interface was re-skinned. The invitation e-mail itself openly disclosed the doctoral research context, including the programme's fall-risk origin — the decoupling operated at the artefact level, not by concealment.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pPr>
        <w:pStyle w:val="Normal"/>
        <w:jc w:val="both"/>
      </w:pPr>
      <w:r>
        <w:rPr>
          <w:szCs w:val="22"/>
          <w:lang w:val="en-US" w:eastAsia="en-US" w:bidi="ar-SA"/>
          <w:rFonts w:ascii="Times New Roman" w:hAnsi="Times New Roman" w:eastAsia="Times New Roman" w:cs="Times New Roman"/>
          <w:sz w:val="24"/>
        </w:rP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pPr>
        <w:pStyle w:val="Normal"/>
        <w:jc w:val="both"/>
      </w:pPr>
      <w:r>
        <w:rPr>
          <w:szCs w:val="22"/>
          <w:lang w:val="en-US" w:eastAsia="en-US" w:bidi="ar-SA"/>
          <w:rFonts w:ascii="Times New Roman" w:hAnsi="Times New Roman" w:eastAsia="Times New Roman" w:cs="Times New Roman"/>
          <w:sz w:val="24"/>
        </w:rP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pPr>
        <w:pStyle w:val="Heading3"/>
      </w:pPr>
      <w:bookmarkStart w:id="27" w:name="_Toc23202452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t>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2.3.5 The Null Hypothesis Built From Stages One and Two</w:t>
      </w:r>
    </w:p>
    <w:p>
      <w:pPr>
        <w:pStyle w:val="Normal"/>
      </w:pPr>
      <w:r>
        <w:rPr>
          <w:szCs w:val="22"/>
          <w:lang w:val="en-US" w:eastAsia="en-US" w:bidi="ar-SA"/>
          <w:rFonts w:ascii="Times New Roman" w:hAnsi="Times New Roman" w:eastAsia="Times New Roman" w:cs="Times New Roman"/>
          <w:sz w:val="24"/>
        </w:rP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pPr>
        <w:pStyle w:val="Normal"/>
      </w:pPr>
      <w:r>
        <w:rPr>
          <w:b/>
          <w:szCs w:val="22"/>
          <w:lang w:val="en-US" w:eastAsia="en-US" w:bidi="ar-SA"/>
          <w:rFonts w:ascii="Times New Roman" w:hAnsi="Times New Roman" w:eastAsia="Times New Roman" w:cs="Times New Roman"/>
          <w:sz w:val="24"/>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pPr>
        <w:pStyle w:val="Normal"/>
      </w:pPr>
      <w:r>
        <w:rPr>
          <w:szCs w:val="22"/>
          <w:lang w:val="en-US" w:eastAsia="en-US" w:bidi="ar-SA"/>
          <w:rFonts w:ascii="Times New Roman" w:hAnsi="Times New Roman" w:eastAsia="Times New Roman" w:cs="Times New Roman"/>
          <w:sz w:val="24"/>
        </w:rP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pPr>
        <w:pStyle w:val="Normal"/>
      </w:pPr>
      <w:r>
        <w:rPr>
          <w:szCs w:val="22"/>
          <w:lang w:val="en-US" w:eastAsia="en-US" w:bidi="ar-SA"/>
          <w:rFonts w:ascii="Times New Roman" w:hAnsi="Times New Roman" w:eastAsia="Times New Roman" w:cs="Times New Roman"/>
          <w:sz w:val="24"/>
        </w:rP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pPr>
        <w:pStyle w:val="Heading2"/>
      </w:pPr>
      <w:bookmarkStart w:id="28" w:name="_Toc23202452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2.4 Stage Three: Self-Efficacy as the First Diagnostic Layer</w:t>
      </w:r>
      <w:bookmarkEnd w:id="28"/>
    </w:p>
    <w:p>
      <w:pPr>
        <w:pStyle w:val="Heading3"/>
      </w:pPr>
      <w:bookmarkStart w:id="29" w:name="_Toc232024523"/>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pPr>
        <w:pStyle w:val="Heading3"/>
      </w:pPr>
      <w:bookmarkStart w:id="30" w:name="_Toc232024524"/>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pPr>
        <w:pStyle w:val="Heading3"/>
      </w:pPr>
      <w:bookmarkStart w:id="31" w:name="_Toc23202452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2.4.3 The Fear-and-Failure Cycle</w:t>
      </w:r>
      <w:bookmarkEnd w:id="31"/>
    </w:p>
    <w:p>
      <w:pPr>
        <w:pStyle w:val="Normal"/>
        <w:jc w:val="both"/>
      </w:pPr>
      <w:r>
        <w:rPr>
          <w:szCs w:val="22"/>
          <w:lang w:val="en-US" w:eastAsia="en-US" w:bidi="ar-SA"/>
          <w:rFonts w:ascii="Times New Roman" w:hAnsi="Times New Roman" w:eastAsia="Times New Roman" w:cs="Times New Roman"/>
          <w:sz w:val="24"/>
        </w:rPr>
        <w:t>Tsai et al. (2020) studied older adults' acceptance of a wearable health device through an extended technology-acceptance model and documented the roles of technology anxiety and resistance to change in suppressing engagement. Anxiety about using the technology reduced intended and actual use, and early difficulty further lowered the confidence with which users approached subsequent attempts. The Tsai et al. findings are the closest published precedent for the withdrawal dynamics the present thesis observes in the F4 cluster of Stage 2, although their study is cross-sectional and does not track whether withdrawal becomes permanent.</w:t>
      </w:r>
    </w:p>
    <w:p>
      <w:pPr>
        <w:pStyle w:val="Heading3"/>
      </w:pPr>
      <w:bookmarkStart w:id="32" w:name="_Toc23202452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2.5 Stage Four: Behavioural Science as a Candidate FIAS Account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2.5.1 Why Behavioural Science Is Required</w:t>
      </w:r>
    </w:p>
    <w:p>
      <w:pPr>
        <w:pStyle w:val="Normal"/>
        <w:jc w:val="both"/>
      </w:pPr>
      <w:r>
        <w:rPr>
          <w:szCs w:val="22"/>
          <w:lang w:val="en-US" w:eastAsia="en-US" w:bidi="ar-SA"/>
          <w:rFonts w:ascii="Times New Roman" w:hAnsi="Times New Roman" w:eastAsia="Times New Roman" w:cs="Times New Roman"/>
          <w:sz w:val="24"/>
        </w:rP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FigureCaption"/>
      </w:pPr>
      <w:r>
        <w:rPr>
          <w:sz w:val="22"/>
          <w:szCs w:val="22"/>
          <w:lang w:val="en-US" w:eastAsia="en-US" w:bidi="ar-SA"/>
          <w:rFonts w:ascii="Times New Roman" w:hAnsi="Times New Roman" w:eastAsia="Times New Roman" w:cs="Times New Roman"/>
          <w:i/>
        </w:rP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pStyle w:val="Normal"/>
            </w:pPr>
            <w:r>
              <w:rPr>
                <w:b/>
                <w:sz w:val="20"/>
                <w:szCs w:val="22"/>
                <w:lang w:val="en-US" w:eastAsia="en-US" w:bidi="ar-SA"/>
                <w:rFonts w:ascii="Times New Roman" w:hAnsi="Times New Roman" w:eastAsia="Times New Roman" w:cs="Times New Roman"/>
              </w:rPr>
              <w:t>Observation H0 cannot explain</w:t>
            </w:r>
          </w:p>
        </w:tc>
        <w:tc>
          <w:tcPr>
            <w:tcW w:type="dxa" w:w="2126"/>
          </w:tcPr>
          <w:p>
            <w:pPr>
              <w:pStyle w:val="Normal"/>
            </w:pPr>
            <w:r>
              <w:rPr>
                <w:b/>
                <w:sz w:val="20"/>
                <w:szCs w:val="22"/>
                <w:lang w:val="en-US" w:eastAsia="en-US" w:bidi="ar-SA"/>
                <w:rFonts w:ascii="Times New Roman" w:hAnsi="Times New Roman" w:eastAsia="Times New Roman" w:cs="Times New Roman"/>
              </w:rPr>
              <w:t>Behavioural theory</w:t>
            </w:r>
          </w:p>
        </w:tc>
        <w:tc>
          <w:tcPr>
            <w:tcW w:type="dxa" w:w="2126"/>
          </w:tcPr>
          <w:p>
            <w:pPr>
              <w:pStyle w:val="Normal"/>
            </w:pPr>
            <w:r>
              <w:rPr>
                <w:b/>
                <w:sz w:val="20"/>
                <w:szCs w:val="22"/>
                <w:lang w:val="en-US" w:eastAsia="en-US" w:bidi="ar-SA"/>
                <w:rFonts w:ascii="Times New Roman" w:hAnsi="Times New Roman" w:eastAsia="Times New Roman" w:cs="Times New Roman"/>
              </w:rPr>
              <w:t>Construct contributed to FIAS</w:t>
            </w:r>
          </w:p>
        </w:tc>
        <w:tc>
          <w:tcPr>
            <w:tcW w:type="dxa" w:w="2126"/>
          </w:tcPr>
          <w:p>
            <w:pPr>
              <w:pStyle w:val="Normal"/>
            </w:pPr>
            <w:r>
              <w:rPr>
                <w:b/>
                <w:sz w:val="20"/>
                <w:szCs w:val="22"/>
                <w:lang w:val="en-US" w:eastAsia="en-US" w:bidi="ar-SA"/>
                <w:rFonts w:ascii="Times New Roman" w:hAnsi="Times New Roman" w:eastAsia="Times New Roman" w:cs="Times New Roman"/>
              </w:rPr>
              <w:t>Prediction generated</w:t>
            </w:r>
          </w:p>
        </w:tc>
      </w:tr>
      <w:tr>
        <w:tc>
          <w:tcPr>
            <w:tcW w:type="dxa" w:w="2126"/>
          </w:tcPr>
          <w:p>
            <w:pPr>
              <w:pStyle w:val="Normal"/>
            </w:pPr>
            <w:r>
              <w:rPr>
                <w:sz w:val="20"/>
                <w:szCs w:val="22"/>
                <w:lang w:val="en-US" w:eastAsia="en-US" w:bidi="ar-SA"/>
                <w:rFonts w:ascii="Times New Roman" w:hAnsi="Times New Roman" w:eastAsia="Times New Roman" w:cs="Times New Roman"/>
              </w:rPr>
              <w:t>A single adverse first experience outweighs the design's motivational pull</w:t>
            </w:r>
          </w:p>
        </w:tc>
        <w:tc>
          <w:tcPr>
            <w:tcW w:type="dxa" w:w="2126"/>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26"/>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126"/>
          </w:tcPr>
          <w:p>
            <w:pPr>
              <w:pStyle w:val="Normal"/>
            </w:pPr>
            <w:r>
              <w:rPr>
                <w:sz w:val="20"/>
                <w:szCs w:val="22"/>
                <w:lang w:val="en-US" w:eastAsia="en-US" w:bidi="ar-SA"/>
                <w:rFonts w:ascii="Times New Roman" w:hAnsi="Times New Roman" w:eastAsia="Times New Roman" w:cs="Times New Roman"/>
              </w:rPr>
              <w:t>First failure is associated with early disengagement (H1, Chapter 5)</w:t>
            </w:r>
          </w:p>
        </w:tc>
      </w:tr>
      <w:tr>
        <w:tc>
          <w:tcPr>
            <w:tcW w:type="dxa" w:w="2126"/>
          </w:tcPr>
          <w:p>
            <w:pPr>
              <w:pStyle w:val="Normal"/>
            </w:pPr>
            <w:r>
              <w:rPr>
                <w:sz w:val="20"/>
                <w:szCs w:val="22"/>
                <w:lang w:val="en-US" w:eastAsia="en-US" w:bidi="ar-SA"/>
                <w:rFonts w:ascii="Times New Roman" w:hAnsi="Times New Roman" w:eastAsia="Times New Roman" w:cs="Times New Roman"/>
              </w:rPr>
              <w:t>Exit persists even when the recorded score improves</w:t>
            </w:r>
          </w:p>
        </w:tc>
        <w:tc>
          <w:tcPr>
            <w:tcW w:type="dxa" w:w="2126"/>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26"/>
          </w:tcPr>
          <w:p>
            <w:pPr>
              <w:pStyle w:val="Normal"/>
            </w:pPr>
            <w:r>
              <w:rPr>
                <w:sz w:val="20"/>
                <w:szCs w:val="22"/>
                <w:lang w:val="en-US" w:eastAsia="en-US" w:bidi="ar-SA"/>
                <w:rFonts w:ascii="Times New Roman" w:hAnsi="Times New Roman" w:eastAsia="Times New Roman" w:cs="Times New Roman"/>
              </w:rPr>
              <w:t>Identity-relevant endowment: exit protects a valued self-description from revaluation</w:t>
            </w:r>
          </w:p>
        </w:tc>
        <w:tc>
          <w:tcPr>
            <w:tcW w:type="dxa" w:w="2126"/>
          </w:tcPr>
          <w:p>
            <w:pPr>
              <w:pStyle w:val="Normal"/>
            </w:pPr>
            <w:r>
              <w:rPr>
                <w:sz w:val="20"/>
                <w:szCs w:val="22"/>
                <w:lang w:val="en-US" w:eastAsia="en-US" w:bidi="ar-SA"/>
                <w:rFonts w:ascii="Times New Roman" w:hAnsi="Times New Roman" w:eastAsia="Times New Roman" w:cs="Times New Roman"/>
              </w:rPr>
              <w:t>Objective improvement does not by itself produce return (H4 — the improvement/non-return paradox)</w:t>
            </w:r>
          </w:p>
        </w:tc>
      </w:tr>
      <w:tr>
        <w:tc>
          <w:tcPr>
            <w:tcW w:type="dxa" w:w="2126"/>
          </w:tcPr>
          <w:p>
            <w:pPr>
              <w:pStyle w:val="Normal"/>
            </w:pPr>
            <w:r>
              <w:rPr>
                <w:sz w:val="20"/>
                <w:szCs w:val="22"/>
                <w:lang w:val="en-US" w:eastAsia="en-US" w:bidi="ar-SA"/>
                <w:rFonts w:ascii="Times New Roman" w:hAnsi="Times New Roman" w:eastAsia="Times New Roman" w:cs="Times New Roman"/>
              </w:rPr>
              <w:t>The same event means different things under different frames</w:t>
            </w:r>
          </w:p>
        </w:tc>
        <w:tc>
          <w:tcPr>
            <w:tcW w:type="dxa" w:w="2126"/>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26"/>
          </w:tcPr>
          <w:p>
            <w:pPr>
              <w:pStyle w:val="Normal"/>
            </w:pPr>
            <w:r>
              <w:rPr>
                <w:sz w:val="20"/>
                <w:szCs w:val="22"/>
                <w:lang w:val="en-US" w:eastAsia="en-US" w:bidi="ar-SA"/>
                <w:rFonts w:ascii="Times New Roman" w:hAnsi="Times New Roman" w:eastAsia="Times New Roman" w:cs="Times New Roman"/>
              </w:rPr>
              <w:t>Clinical framing sorts the session into a high-stakes health account</w:t>
            </w:r>
          </w:p>
        </w:tc>
        <w:tc>
          <w:tcPr>
            <w:tcW w:type="dxa" w:w="2126"/>
          </w:tcPr>
          <w:p>
            <w:pPr>
              <w:pStyle w:val="Normal"/>
            </w:pPr>
            <w:r>
              <w:rPr>
                <w:sz w:val="20"/>
                <w:szCs w:val="22"/>
                <w:lang w:val="en-US" w:eastAsia="en-US" w:bidi="ar-SA"/>
                <w:rFonts w:ascii="Times New Roman" w:hAnsi="Times New Roman" w:eastAsia="Times New Roman" w:cs="Times New Roman"/>
              </w:rPr>
              <w:t>Removing participant-facing clinical framing increases post-failure return (H5, Stage 3)</w:t>
            </w:r>
          </w:p>
        </w:tc>
      </w:tr>
      <w:tr>
        <w:tc>
          <w:tcPr>
            <w:tcW w:type="dxa" w:w="2126"/>
          </w:tcPr>
          <w:p>
            <w:pPr>
              <w:pStyle w:val="Normal"/>
            </w:pPr>
            <w:r>
              <w:rPr>
                <w:sz w:val="20"/>
                <w:szCs w:val="22"/>
                <w:lang w:val="en-US" w:eastAsia="en-US" w:bidi="ar-SA"/>
                <w:rFonts w:ascii="Times New Roman" w:hAnsi="Times New Roman" w:eastAsia="Times New Roman" w:cs="Times New Roman"/>
              </w:rPr>
              <w:t>Clinical and age-related cues amplify the meaning of failure</w:t>
            </w:r>
          </w:p>
        </w:tc>
        <w:tc>
          <w:tcPr>
            <w:tcW w:type="dxa" w:w="2126"/>
          </w:tcPr>
          <w:p>
            <w:pPr>
              <w:pStyle w:val="Normal"/>
            </w:pPr>
            <w:r>
              <w:rPr>
                <w:sz w:val="20"/>
                <w:szCs w:val="22"/>
                <w:lang w:val="en-US" w:eastAsia="en-US" w:bidi="ar-SA"/>
                <w:rFonts w:ascii="Times New Roman" w:hAnsi="Times New Roman" w:eastAsia="Times New Roman" w:cs="Times New Roman"/>
              </w:rPr>
              <w:t>Stereotype threat (Steele &amp; Aronson, 1995; Levy et al., 2002)</w:t>
            </w:r>
          </w:p>
        </w:tc>
        <w:tc>
          <w:tcPr>
            <w:tcW w:type="dxa" w:w="2126"/>
          </w:tcPr>
          <w:p>
            <w:pPr>
              <w:pStyle w:val="Normal"/>
            </w:pPr>
            <w:r>
              <w:rPr>
                <w:sz w:val="20"/>
                <w:szCs w:val="22"/>
                <w:lang w:val="en-US" w:eastAsia="en-US" w:bidi="ar-SA"/>
                <w:rFonts w:ascii="Times New Roman" w:hAnsi="Times New Roman" w:eastAsia="Times New Roman" w:cs="Times New Roman"/>
              </w:rPr>
              <w:t>Salience of age-related decline as the trigger of identity-relevant appraisal</w:t>
            </w:r>
          </w:p>
        </w:tc>
        <w:tc>
          <w:tcPr>
            <w:tcW w:type="dxa" w:w="2126"/>
          </w:tcPr>
          <w:p>
            <w:pPr>
              <w:pStyle w:val="Normal"/>
            </w:pPr>
            <w:r>
              <w:rPr>
                <w:sz w:val="20"/>
                <w:szCs w:val="22"/>
                <w:lang w:val="en-US" w:eastAsia="en-US" w:bidi="ar-SA"/>
                <w:rFonts w:ascii="Times New Roman" w:hAnsi="Times New Roman" w:eastAsia="Times New Roman" w:cs="Times New Roman"/>
              </w:rPr>
              <w:t>Threat-reduced framing and coaching improve retry and return (the adaptive-learning framework, Chapter 7)</w:t>
            </w:r>
          </w:p>
        </w:tc>
      </w:tr>
      <w:tr>
        <w:tc>
          <w:tcPr>
            <w:tcW w:type="dxa" w:w="2126"/>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2126"/>
          </w:tcPr>
          <w:p>
            <w:pPr>
              <w:pStyle w:val="Normal"/>
            </w:pPr>
            <w:r>
              <w:rPr>
                <w:sz w:val="20"/>
                <w:szCs w:val="22"/>
                <w:lang w:val="en-US" w:eastAsia="en-US" w:bidi="ar-SA"/>
                <w:rFonts w:ascii="Times New Roman" w:hAnsi="Times New Roman" w:eastAsia="Times New Roman" w:cs="Times New Roman"/>
              </w:rPr>
              <w:t>Octalysis D8 inverted: zero-failure design (§2.6.2C, from this research's observations)</w:t>
            </w:r>
          </w:p>
        </w:tc>
        <w:tc>
          <w:tcPr>
            <w:tcW w:type="dxa" w:w="2126"/>
          </w:tcPr>
          <w:p>
            <w:pPr>
              <w:pStyle w:val="Normal"/>
            </w:pPr>
            <w:r>
              <w:rPr>
                <w:sz w:val="20"/>
                <w:szCs w:val="22"/>
                <w:lang w:val="en-US" w:eastAsia="en-US" w:bidi="ar-SA"/>
                <w:rFonts w:ascii="Times New Roman" w:hAnsi="Times New Roman" w:eastAsia="Times New Roman" w:cs="Times New Roman"/>
              </w:rPr>
              <w:t>The operative loss is identity-level, outside the game's ledger; verdict cues, not in-game losses, carry it</w:t>
            </w:r>
          </w:p>
        </w:tc>
        <w:tc>
          <w:tcPr>
            <w:tcW w:type="dxa" w:w="2126"/>
          </w:tcPr>
          <w:p>
            <w:pPr>
              <w:pStyle w:val="Normal"/>
            </w:pPr>
            <w:r>
              <w:rPr>
                <w:sz w:val="20"/>
                <w:szCs w:val="22"/>
                <w:lang w:val="en-US" w:eastAsia="en-US" w:bidi="ar-SA"/>
                <w:rFonts w:ascii="Times New Roman" w:hAnsi="Times New Roman" w:eastAsia="Times New Roman" w:cs="Times New Roman"/>
              </w:rPr>
              <w:t>Removing terminal failure verdicts (zero-failure states, §5.3.10) plus decoupling increases retry and return (the adaptive-learning framework, Chapter 7; isolated test in §8.8)</w:t>
            </w:r>
          </w:p>
        </w:tc>
      </w:tr>
    </w:tbl>
    <w:p>
      <w:pPr>
        <w:pStyle w:val="Heading3"/>
      </w:pPr>
      <w:bookmarkStart w:id="33" w:name="_Toc232024529"/>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2.5.6 A Four-Layer Behavioural Integration Proposed for FIAS</w:t>
      </w:r>
    </w:p>
    <w:p>
      <w:pPr>
        <w:pStyle w:val="Normal"/>
        <w:jc w:val="both"/>
      </w:pPr>
      <w:r>
        <w:rPr>
          <w:szCs w:val="22"/>
          <w:lang w:val="en-US" w:eastAsia="en-US" w:bidi="ar-SA"/>
          <w:rFonts w:ascii="Times New Roman" w:hAnsi="Times New Roman" w:eastAsia="Times New Roman" w:cs="Times New Roman"/>
          <w:sz w:val="24"/>
        </w:rP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2.6 Stage Five: Positioning Decoupled Gameplay and Adaptive Learning as Design Responses</w:t>
      </w:r>
    </w:p>
    <w:p>
      <w:pPr>
        <w:pStyle w:val="Heading3"/>
      </w:pPr>
      <w:bookmarkStart w:id="37" w:name="_Toc23202453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pPr>
        <w:pStyle w:val="Heading3"/>
      </w:pPr>
      <w:bookmarkStart w:id="39" w:name="_Toc232024537"/>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pPr>
        <w:pStyle w:val="Normal"/>
        <w:jc w:val="both"/>
      </w:pPr>
      <w:r>
        <w:rPr>
          <w:szCs w:val="22"/>
          <w:lang w:val="en-US" w:eastAsia="en-US" w:bidi="ar-SA"/>
          <w:rFonts w:ascii="Times New Roman" w:hAnsi="Times New Roman" w:eastAsia="Times New Roman" w:cs="Times New Roman"/>
          <w:sz w:val="24"/>
        </w:rP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2.6.2C Zero-Failure Design: A Research-Generated Concept That Inverts Octalysis D8</w:t>
      </w:r>
    </w:p>
    <w:p>
      <w:pPr>
        <w:pStyle w:val="Normal"/>
      </w:pPr>
      <w:r>
        <w:rPr>
          <w:szCs w:val="22"/>
          <w:lang w:val="en-US" w:eastAsia="en-US" w:bidi="ar-SA"/>
          <w:rFonts w:ascii="Times New Roman" w:hAnsi="Times New Roman" w:eastAsia="Times New Roman" w:cs="Times New Roman"/>
          <w:sz w:val="24"/>
        </w:rP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pPr>
        <w:pStyle w:val="Normal"/>
      </w:pPr>
      <w:r>
        <w:rPr>
          <w:szCs w:val="22"/>
          <w:lang w:val="en-US" w:eastAsia="en-US" w:bidi="ar-SA"/>
          <w:rFonts w:ascii="Times New Roman" w:hAnsi="Times New Roman" w:eastAsia="Times New Roman" w:cs="Times New Roman"/>
          <w:sz w:val="24"/>
        </w:rP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pPr>
        <w:pStyle w:val="Normal"/>
      </w:pPr>
      <w:r>
        <w:rPr>
          <w:szCs w:val="26"/>
          <w:lang w:val="en-US" w:eastAsia="en-US" w:bidi="ar-SA"/>
          <w:rFonts w:ascii="Times New Roman" w:hAnsi="Times New Roman" w:eastAsia="Times New Roman" w:cs="Times New Roman"/>
          <w:sz w:val="28"/>
          <w:b/>
        </w:rP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8"/>
          <w:b/>
        </w:rP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8"/>
          <w:b/>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8"/>
          <w:b/>
        </w:rP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pPr>
        <w:pStyle w:val="Heading2"/>
      </w:pPr>
      <w:bookmarkStart w:id="40" w:name="_Toc2320245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2.7 Supporting Evidence and Adjacent Frameworks</w:t>
      </w:r>
      <w:bookmarkEnd w:id="40"/>
    </w:p>
    <w:p>
      <w:pPr>
        <w:pStyle w:val="Heading3"/>
      </w:pPr>
      <w:bookmarkStart w:id="41" w:name="_Toc232024541"/>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8"/>
          <w:b/>
        </w:rPr>
        <w:t>Koivisto and Malik (2021) reviewed the gamification-for-older-adults literature systematically across twelve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pPr>
        <w:pStyle w:val="Normal"/>
        <w:jc w:val="both"/>
      </w:pPr>
      <w:r>
        <w:rPr>
          <w:szCs w:val="26"/>
          <w:lang w:val="en-US" w:eastAsia="en-US" w:bidi="ar-SA"/>
          <w:rFonts w:ascii="Times New Roman" w:hAnsi="Times New Roman" w:eastAsia="Times New Roman" w:cs="Times New Roman"/>
          <w:sz w:val="28"/>
          <w:b/>
        </w:rP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pPr>
        <w:pStyle w:val="Heading3"/>
      </w:pPr>
      <w:bookmarkStart w:id="42" w:name="_Toc232024542"/>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2.7.2 The NASSS Framework: Documented Abandonment Without a Mechanism</w:t>
      </w:r>
      <w:bookmarkEnd w:id="42"/>
    </w:p>
    <w:p>
      <w:pPr>
        <w:pStyle w:val="Normal"/>
        <w:jc w:val="both"/>
      </w:pPr>
      <w:r>
        <w:rPr>
          <w:szCs w:val="26"/>
          <w:lang w:val="en-US" w:eastAsia="en-US" w:bidi="ar-SA"/>
          <w:rFonts w:ascii="Times New Roman" w:hAnsi="Times New Roman" w:eastAsia="Times New Roman" w:cs="Times New Roman"/>
          <w:sz w:val="28"/>
          <w:b/>
        </w:rP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pPr>
        <w:pStyle w:val="Heading3"/>
      </w:pPr>
      <w:bookmarkStart w:id="43" w:name="_Toc232024543"/>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8"/>
          <w:b/>
        </w:rP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pPr>
        <w:pStyle w:val="Heading3"/>
      </w:pPr>
      <w:bookmarkStart w:id="44" w:name="_Toc232024544"/>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8"/>
          <w:b/>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pStyle w:val="Heading2"/>
      </w:pPr>
      <w:bookmarkStart w:id="45" w:name="_Toc23202454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8"/>
          <w:b/>
        </w:rP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pPr>
        <w:pStyle w:val="Normal"/>
        <w:jc w:val="both"/>
      </w:pPr>
      <w:r>
        <w:rPr>
          <w:szCs w:val="26"/>
          <w:lang w:val="en-US" w:eastAsia="en-US" w:bidi="ar-SA"/>
          <w:rFonts w:ascii="Times New Roman" w:hAnsi="Times New Roman" w:eastAsia="Times New Roman" w:cs="Times New Roman"/>
          <w:sz w:val="28"/>
          <w:b/>
        </w:rP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pPr>
        <w:pStyle w:val="Normal"/>
        <w:spacing w:after="200" w:line="276"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3 Research Methodology</w:t>
      </w:r>
      <w:bookmarkEnd w:id="46"/>
    </w:p>
    <w:p>
      <w:pPr>
        <w:pStyle w:val="Heading2"/>
      </w:pPr>
      <w:bookmarkStart w:id="47" w:name="_Toc2320245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8"/>
          <w:b/>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pPr>
        <w:pStyle w:val="Heading2"/>
      </w:pPr>
      <w:bookmarkStart w:id="48" w:name="_Toc232024548"/>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8"/>
          <w:b/>
        </w:rP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8"/>
          <w:b/>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8"/>
          <w:b/>
        </w:rPr>
        <w:t>Stage 3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Normal"/>
      </w:pPr>
      <w:r>
        <w:rPr>
          <w:szCs w:val="26"/>
          <w:lang w:val="en-US" w:eastAsia="en-US" w:bidi="ar-SA"/>
          <w:rFonts w:ascii="Times New Roman" w:hAnsi="Times New Roman" w:eastAsia="Times New Roman" w:cs="Times New Roman"/>
          <w:sz w:val="28"/>
          <w:b/>
        </w:rPr>
        <w:t>A fourth evidence activity supplements the three stages: a series of four expert consultations, conducted after the empirical work as a distinct data-collection exercise - not literature review - to test the programme's behavioural interpretation and its design framework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is interpretation and practice validation of the findings and a confirmatory-design review of the Chapter 7 framework; it is not additional empirical evidence and does not bear on the hypothesis tests.</w:t>
      </w:r>
    </w:p>
    <w:p>
      <w:pPr>
        <w:pStyle w:val="FigureCaption"/>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pStyle w:val="Normal"/>
            </w:pPr>
            <w:r>
              <w:rPr>
                <w:b/>
                <w:sz w:val="32"/>
                <w:szCs w:val="28"/>
                <w:lang w:val="en-US" w:eastAsia="en-US" w:bidi="ar-SA"/>
                <w:rFonts w:ascii="Times New Roman" w:hAnsi="Times New Roman" w:eastAsia="Times New Roman" w:cs="Times New Roman"/>
              </w:rPr>
              <w:t>Claim</w:t>
            </w:r>
          </w:p>
        </w:tc>
        <w:tc>
          <w:tcPr>
            <w:tcW w:type="dxa" w:w="1701"/>
          </w:tcPr>
          <w:p>
            <w:pPr>
              <w:pStyle w:val="Normal"/>
            </w:pPr>
            <w:r>
              <w:rPr>
                <w:b/>
                <w:sz w:val="32"/>
                <w:szCs w:val="28"/>
                <w:lang w:val="en-US" w:eastAsia="en-US" w:bidi="ar-SA"/>
                <w:rFonts w:ascii="Times New Roman" w:hAnsi="Times New Roman" w:eastAsia="Times New Roman" w:cs="Times New Roman"/>
              </w:rPr>
              <w:t>Origin</w:t>
            </w:r>
          </w:p>
        </w:tc>
        <w:tc>
          <w:tcPr>
            <w:tcW w:type="dxa" w:w="1701"/>
          </w:tcPr>
          <w:p>
            <w:pPr>
              <w:pStyle w:val="Normal"/>
            </w:pPr>
            <w:r>
              <w:rPr>
                <w:b/>
                <w:sz w:val="32"/>
                <w:szCs w:val="28"/>
                <w:lang w:val="en-US" w:eastAsia="en-US" w:bidi="ar-SA"/>
                <w:rFonts w:ascii="Times New Roman" w:hAnsi="Times New Roman" w:eastAsia="Times New Roman" w:cs="Times New Roman"/>
              </w:rPr>
              <w:t>Stated</w:t>
            </w:r>
          </w:p>
        </w:tc>
        <w:tc>
          <w:tcPr>
            <w:tcW w:type="dxa" w:w="1701"/>
          </w:tcPr>
          <w:p>
            <w:pPr>
              <w:pStyle w:val="Normal"/>
            </w:pPr>
            <w:r>
              <w:rPr>
                <w:b/>
                <w:sz w:val="32"/>
                <w:szCs w:val="28"/>
                <w:lang w:val="en-US" w:eastAsia="en-US" w:bidi="ar-SA"/>
                <w:rFonts w:ascii="Times New Roman" w:hAnsi="Times New Roman" w:eastAsia="Times New Roman" w:cs="Times New Roman"/>
              </w:rPr>
              <w:t>Tested / examined</w:t>
            </w:r>
          </w:p>
        </w:tc>
        <w:tc>
          <w:tcPr>
            <w:tcW w:type="dxa" w:w="1701"/>
          </w:tcPr>
          <w:p>
            <w:pPr>
              <w:pStyle w:val="Normal"/>
            </w:pPr>
            <w:r>
              <w:rPr>
                <w:b/>
                <w:sz w:val="32"/>
                <w:szCs w:val="28"/>
                <w:lang w:val="en-US" w:eastAsia="en-US" w:bidi="ar-SA"/>
                <w:rFonts w:ascii="Times New Roman" w:hAnsi="Times New Roman" w:eastAsia="Times New Roman" w:cs="Times New Roman"/>
              </w:rPr>
              <w:t>Status in this thesis</w:t>
            </w:r>
          </w:p>
        </w:tc>
      </w:tr>
      <w:tr>
        <w:tc>
          <w:tcPr>
            <w:tcW w:type="dxa" w:w="1701"/>
          </w:tcPr>
          <w:p>
            <w:pPr>
              <w:pStyle w:val="Normal"/>
            </w:pPr>
            <w:r>
              <w:rPr>
                <w:sz w:val="24"/>
                <w:szCs w:val="22"/>
                <w:lang w:val="en-US" w:eastAsia="en-US" w:bidi="ar-SA"/>
                <w:rFonts w:ascii="Times New Roman" w:hAnsi="Times New Roman" w:eastAsia="Times New Roman" w:cs="Times New Roman"/>
                <w:b/>
              </w:rPr>
              <w:t>H0 — gamified FRA satisfying TAM/STAM + Octalysis sustains elderly acceptance; failure does not produce abandonment</w:t>
            </w:r>
          </w:p>
        </w:tc>
        <w:tc>
          <w:tcPr>
            <w:tcW w:type="dxa" w:w="1701"/>
          </w:tcPr>
          <w:p>
            <w:pPr>
              <w:pStyle w:val="Normal"/>
            </w:pPr>
            <w:r>
              <w:rPr>
                <w:sz w:val="24"/>
                <w:szCs w:val="22"/>
                <w:lang w:val="en-US" w:eastAsia="en-US" w:bidi="ar-SA"/>
                <w:rFonts w:ascii="Times New Roman" w:hAnsi="Times New Roman" w:eastAsia="Times New Roman" w:cs="Times New Roman"/>
                <w:b/>
              </w:rPr>
              <w:t>Literature (acceptance + gamification)</w:t>
            </w:r>
          </w:p>
        </w:tc>
        <w:tc>
          <w:tcPr>
            <w:tcW w:type="dxa" w:w="1701"/>
          </w:tcPr>
          <w:p>
            <w:pPr>
              <w:pStyle w:val="Normal"/>
            </w:pPr>
            <w:r>
              <w:rPr>
                <w:sz w:val="24"/>
                <w:szCs w:val="22"/>
                <w:lang w:val="en-US" w:eastAsia="en-US" w:bidi="ar-SA"/>
                <w:rFonts w:ascii="Times New Roman" w:hAnsi="Times New Roman" w:eastAsia="Times New Roman" w:cs="Times New Roman"/>
                <w:b/>
              </w:rPr>
              <w:t>§2.3.5; §5.1</w:t>
            </w:r>
          </w:p>
        </w:tc>
        <w:tc>
          <w:tcPr>
            <w:tcW w:type="dxa" w:w="1701"/>
          </w:tcPr>
          <w:p>
            <w:pPr>
              <w:pStyle w:val="Normal"/>
            </w:pPr>
            <w:r>
              <w:rPr>
                <w:sz w:val="24"/>
                <w:szCs w:val="22"/>
                <w:lang w:val="en-US" w:eastAsia="en-US" w:bidi="ar-SA"/>
                <w:rFonts w:ascii="Times New Roman" w:hAnsi="Times New Roman" w:eastAsia="Times New Roman" w:cs="Times New Roman"/>
                <w:b/>
              </w:rPr>
              <w:t>Stage 1 retrospectively (Ch 4); Stage 2 prospectively (Ch 5)</w:t>
            </w:r>
          </w:p>
        </w:tc>
        <w:tc>
          <w:tcPr>
            <w:tcW w:type="dxa" w:w="1701"/>
          </w:tcPr>
          <w:p>
            <w:pPr>
              <w:pStyle w:val="Normal"/>
            </w:pPr>
            <w:r>
              <w:rPr>
                <w:sz w:val="24"/>
                <w:szCs w:val="22"/>
                <w:lang w:val="en-US" w:eastAsia="en-US" w:bidi="ar-SA"/>
                <w:rFonts w:ascii="Times New Roman" w:hAnsi="Times New Roman" w:eastAsia="Times New Roman" w:cs="Times New Roman"/>
                <w:b/>
              </w:rPr>
              <w:t>Rejected</w:t>
            </w:r>
          </w:p>
        </w:tc>
      </w:tr>
      <w:tr>
        <w:tc>
          <w:tcPr>
            <w:tcW w:type="dxa" w:w="1701"/>
          </w:tcPr>
          <w:p>
            <w:pPr>
              <w:pStyle w:val="Normal"/>
            </w:pPr>
            <w:r>
              <w:rPr>
                <w:sz w:val="24"/>
                <w:szCs w:val="22"/>
                <w:lang w:val="en-US" w:eastAsia="en-US" w:bidi="ar-SA"/>
                <w:rFonts w:ascii="Times New Roman" w:hAnsi="Times New Roman" w:eastAsia="Times New Roman" w:cs="Times New Roman"/>
                <w:b/>
              </w:rPr>
              <w:t>H1, H2 and H4 — directional hypotheses on first failure, re-engagement and the improvement/non-return paradox</w:t>
            </w:r>
          </w:p>
        </w:tc>
        <w:tc>
          <w:tcPr>
            <w:tcW w:type="dxa" w:w="1701"/>
          </w:tcPr>
          <w:p>
            <w:pPr>
              <w:pStyle w:val="Normal"/>
            </w:pPr>
            <w:r>
              <w:rPr>
                <w:sz w:val="24"/>
                <w:szCs w:val="22"/>
                <w:lang w:val="en-US" w:eastAsia="en-US" w:bidi="ar-SA"/>
                <w:rFonts w:ascii="Times New Roman" w:hAnsi="Times New Roman" w:eastAsia="Times New Roman" w:cs="Times New Roman"/>
                <w:b/>
              </w:rPr>
              <w:t>Stage-1 observations</w:t>
            </w:r>
          </w:p>
        </w:tc>
        <w:tc>
          <w:tcPr>
            <w:tcW w:type="dxa" w:w="1701"/>
          </w:tcPr>
          <w:p>
            <w:pPr>
              <w:pStyle w:val="Normal"/>
            </w:pPr>
            <w:r>
              <w:rPr>
                <w:sz w:val="24"/>
                <w:szCs w:val="22"/>
                <w:lang w:val="en-US" w:eastAsia="en-US" w:bidi="ar-SA"/>
                <w:rFonts w:ascii="Times New Roman" w:hAnsi="Times New Roman" w:eastAsia="Times New Roman" w:cs="Times New Roman"/>
                <w:b/>
              </w:rPr>
              <w:t>§5.1</w:t>
            </w:r>
          </w:p>
        </w:tc>
        <w:tc>
          <w:tcPr>
            <w:tcW w:type="dxa" w:w="1701"/>
          </w:tcPr>
          <w:p>
            <w:pPr>
              <w:pStyle w:val="Normal"/>
            </w:pPr>
            <w:r>
              <w:rPr>
                <w:sz w:val="24"/>
                <w:szCs w:val="22"/>
                <w:lang w:val="en-US" w:eastAsia="en-US" w:bidi="ar-SA"/>
                <w:rFonts w:ascii="Times New Roman" w:hAnsi="Times New Roman" w:eastAsia="Times New Roman" w:cs="Times New Roman"/>
                <w:b/>
              </w:rPr>
              <w:t>Stage 2 (Ch 5)</w:t>
            </w:r>
          </w:p>
        </w:tc>
        <w:tc>
          <w:tcPr>
            <w:tcW w:type="dxa" w:w="1701"/>
          </w:tcPr>
          <w:p>
            <w:pPr>
              <w:pStyle w:val="Normal"/>
            </w:pPr>
            <w:r>
              <w:rPr>
                <w:sz w:val="24"/>
                <w:szCs w:val="22"/>
                <w:lang w:val="en-US" w:eastAsia="en-US" w:bidi="ar-SA"/>
                <w:rFonts w:ascii="Times New Roman" w:hAnsi="Times New Roman" w:eastAsia="Times New Roman" w:cs="Times New Roman"/>
                <w:b/>
              </w:rPr>
              <w:t>Directionally supported within a small single-site sample</w:t>
            </w:r>
          </w:p>
        </w:tc>
      </w:tr>
      <w:tr>
        <w:tc>
          <w:tcPr>
            <w:tcW w:type="dxa" w:w="1701"/>
          </w:tcPr>
          <w:p>
            <w:pPr>
              <w:pStyle w:val="Normal"/>
            </w:pPr>
            <w:r>
              <w:rPr>
                <w:sz w:val="24"/>
                <w:szCs w:val="22"/>
                <w:lang w:val="en-US" w:eastAsia="en-US" w:bidi="ar-SA"/>
                <w:rFonts w:ascii="Times New Roman" w:hAnsi="Times New Roman" w:eastAsia="Times New Roman" w:cs="Times New Roman"/>
                <w:b/>
              </w:rPr>
              <w:t>H5 and the Stage-3 predictions — decoupling is associated with lower non-return and post-failure return</w:t>
            </w:r>
          </w:p>
        </w:tc>
        <w:tc>
          <w:tcPr>
            <w:tcW w:type="dxa" w:w="1701"/>
          </w:tcPr>
          <w:p>
            <w:pPr>
              <w:pStyle w:val="Normal"/>
            </w:pPr>
            <w:r>
              <w:rPr>
                <w:sz w:val="24"/>
                <w:szCs w:val="22"/>
                <w:lang w:val="en-US" w:eastAsia="en-US" w:bidi="ar-SA"/>
                <w:rFonts w:ascii="Times New Roman" w:hAnsi="Times New Roman" w:eastAsia="Times New Roman" w:cs="Times New Roman"/>
                <w:b/>
              </w:rPr>
              <w:t>Stage-2 findings (mental-accounting row of Table 2.1)</w:t>
            </w:r>
          </w:p>
        </w:tc>
        <w:tc>
          <w:tcPr>
            <w:tcW w:type="dxa" w:w="1701"/>
          </w:tcPr>
          <w:p>
            <w:pPr>
              <w:pStyle w:val="Normal"/>
            </w:pPr>
            <w:r>
              <w:rPr>
                <w:sz w:val="24"/>
                <w:szCs w:val="22"/>
                <w:lang w:val="en-US" w:eastAsia="en-US" w:bidi="ar-SA"/>
                <w:rFonts w:ascii="Times New Roman" w:hAnsi="Times New Roman" w:eastAsia="Times New Roman" w:cs="Times New Roman"/>
                <w:b/>
              </w:rPr>
              <w:t>§5.1; §6.2</w:t>
            </w:r>
          </w:p>
        </w:tc>
        <w:tc>
          <w:tcPr>
            <w:tcW w:type="dxa" w:w="1701"/>
          </w:tcPr>
          <w:p>
            <w:pPr>
              <w:pStyle w:val="Normal"/>
            </w:pPr>
            <w:r>
              <w:rPr>
                <w:sz w:val="24"/>
                <w:szCs w:val="22"/>
                <w:lang w:val="en-US" w:eastAsia="en-US" w:bidi="ar-SA"/>
                <w:rFonts w:ascii="Times New Roman" w:hAnsi="Times New Roman" w:eastAsia="Times New Roman" w:cs="Times New Roman"/>
                <w:b/>
              </w:rPr>
              <w:t>Stage 3 (Ch 6)</w:t>
            </w:r>
          </w:p>
        </w:tc>
        <w:tc>
          <w:tcPr>
            <w:tcW w:type="dxa" w:w="1701"/>
          </w:tcPr>
          <w:p>
            <w:pPr>
              <w:pStyle w:val="Normal"/>
            </w:pPr>
            <w:r>
              <w:rPr>
                <w:sz w:val="24"/>
                <w:szCs w:val="22"/>
                <w:lang w:val="en-US" w:eastAsia="en-US" w:bidi="ar-SA"/>
                <w:rFonts w:ascii="Times New Roman" w:hAnsi="Times New Roman" w:eastAsia="Times New Roman" w:cs="Times New Roman"/>
                <w:b/>
              </w:rPr>
              <w:t>Supported as association; attribution bounded by the between-cohort design</w:t>
            </w:r>
          </w:p>
        </w:tc>
      </w:tr>
      <w:tr>
        <w:tc>
          <w:tcPr>
            <w:tcW w:type="dxa" w:w="1701"/>
          </w:tcPr>
          <w:p>
            <w:pPr>
              <w:pStyle w:val="Normal"/>
            </w:pPr>
            <w:r>
              <w:rPr>
                <w:sz w:val="24"/>
                <w:szCs w:val="22"/>
                <w:lang w:val="en-US" w:eastAsia="en-US" w:bidi="ar-SA"/>
                <w:rFonts w:ascii="Times New Roman" w:hAnsi="Times New Roman" w:eastAsia="Times New Roman" w:cs="Times New Roman"/>
                <w:b/>
              </w:rPr>
              <w:t>Adaptive-learning proposition — individual-level continuous improvement as the behavioural-change driver that can re-attach clinical purpose</w:t>
            </w:r>
          </w:p>
        </w:tc>
        <w:tc>
          <w:tcPr>
            <w:tcW w:type="dxa" w:w="1701"/>
          </w:tcPr>
          <w:p>
            <w:pPr>
              <w:pStyle w:val="Normal"/>
            </w:pPr>
            <w:r>
              <w:rPr>
                <w:sz w:val="24"/>
                <w:szCs w:val="22"/>
                <w:lang w:val="en-US" w:eastAsia="en-US" w:bidi="ar-SA"/>
                <w:rFonts w:ascii="Times New Roman" w:hAnsi="Times New Roman" w:eastAsia="Times New Roman" w:cs="Times New Roman"/>
                <w:b/>
              </w:rPr>
              <w:t>Discovery: forced by the H0 rejection and the Stage-3 commitment gap</w:t>
            </w:r>
          </w:p>
        </w:tc>
        <w:tc>
          <w:tcPr>
            <w:tcW w:type="dxa" w:w="1701"/>
          </w:tcPr>
          <w:p>
            <w:pPr>
              <w:pStyle w:val="Normal"/>
            </w:pPr>
            <w:r>
              <w:rPr>
                <w:sz w:val="24"/>
                <w:szCs w:val="22"/>
                <w:lang w:val="en-US" w:eastAsia="en-US" w:bidi="ar-SA"/>
                <w:rFonts w:ascii="Times New Roman" w:hAnsi="Times New Roman" w:eastAsia="Times New Roman" w:cs="Times New Roman"/>
                <w:b/>
              </w:rPr>
              <w:t>§6.8; Ch 7 (the adaptive-learning framework)</w:t>
            </w:r>
          </w:p>
        </w:tc>
        <w:tc>
          <w:tcPr>
            <w:tcW w:type="dxa" w:w="1701"/>
          </w:tcPr>
          <w:p>
            <w:pPr>
              <w:pStyle w:val="Normal"/>
            </w:pPr>
            <w:r>
              <w:rPr>
                <w:sz w:val="24"/>
                <w:szCs w:val="22"/>
                <w:lang w:val="en-US" w:eastAsia="en-US" w:bidi="ar-SA"/>
                <w:rFonts w:ascii="Times New Roman" w:hAnsi="Times New Roman" w:eastAsia="Times New Roman" w:cs="Times New Roman"/>
                <w:b/>
              </w:rPr>
              <w:t>Not yet tested in isolation</w:t>
            </w:r>
          </w:p>
        </w:tc>
        <w:tc>
          <w:tcPr>
            <w:tcW w:type="dxa" w:w="1701"/>
          </w:tcPr>
          <w:p>
            <w:pPr>
              <w:pStyle w:val="Normal"/>
            </w:pPr>
            <w:r>
              <w:rPr>
                <w:sz w:val="24"/>
                <w:szCs w:val="22"/>
                <w:lang w:val="en-US" w:eastAsia="en-US" w:bidi="ar-SA"/>
                <w:rFonts w:ascii="Times New Roman" w:hAnsi="Times New Roman" w:eastAsia="Times New Roman" w:cs="Times New Roman"/>
                <w:b/>
              </w:rPr>
              <w:t>Proposed; isolated evaluation pre-specified in §8.8 and instrumented in §3.6</w:t>
            </w:r>
          </w:p>
        </w:tc>
      </w:tr>
      <w:tr>
        <w:tc>
          <w:tcPr>
            <w:tcW w:type="dxa" w:w="1701"/>
          </w:tcPr>
          <w:p>
            <w:pPr>
              <w:pStyle w:val="Normal"/>
            </w:pPr>
            <w:r>
              <w:rPr>
                <w:sz w:val="24"/>
                <w:szCs w:val="22"/>
                <w:lang w:val="en-US" w:eastAsia="en-US" w:bidi="ar-SA"/>
                <w:rFonts w:ascii="Times New Roman" w:hAnsi="Times New Roman" w:eastAsia="Times New Roman" w:cs="Times New Roman"/>
                <w:b/>
              </w:rPr>
              <w:t>H0-age — under the decoupled condition, no difference between age groups</w:t>
            </w:r>
          </w:p>
        </w:tc>
        <w:tc>
          <w:tcPr>
            <w:tcW w:type="dxa" w:w="1701"/>
          </w:tcPr>
          <w:p>
            <w:pPr>
              <w:pStyle w:val="Normal"/>
            </w:pPr>
            <w:r>
              <w:rPr>
                <w:sz w:val="24"/>
                <w:szCs w:val="22"/>
                <w:lang w:val="en-US" w:eastAsia="en-US" w:bidi="ar-SA"/>
                <w:rFonts w:ascii="Times New Roman" w:hAnsi="Times New Roman" w:eastAsia="Times New Roman" w:cs="Times New Roman"/>
                <w:b/>
              </w:rPr>
              <w:t>Stage-3 cohort design (three age bands as built-in comparison groups)</w:t>
            </w:r>
          </w:p>
        </w:tc>
        <w:tc>
          <w:tcPr>
            <w:tcW w:type="dxa" w:w="1701"/>
          </w:tcPr>
          <w:p>
            <w:pPr>
              <w:pStyle w:val="Normal"/>
            </w:pPr>
            <w:r>
              <w:rPr>
                <w:sz w:val="24"/>
                <w:szCs w:val="22"/>
                <w:lang w:val="en-US" w:eastAsia="en-US" w:bidi="ar-SA"/>
                <w:rFonts w:ascii="Times New Roman" w:hAnsi="Times New Roman" w:eastAsia="Times New Roman" w:cs="Times New Roman"/>
                <w:b/>
              </w:rPr>
              <w:t>§3.2; §6.2</w:t>
            </w:r>
          </w:p>
        </w:tc>
        <w:tc>
          <w:tcPr>
            <w:tcW w:type="dxa" w:w="1701"/>
          </w:tcPr>
          <w:p>
            <w:pPr>
              <w:pStyle w:val="Normal"/>
            </w:pPr>
            <w:r>
              <w:rPr>
                <w:sz w:val="24"/>
                <w:szCs w:val="22"/>
                <w:lang w:val="en-US" w:eastAsia="en-US" w:bidi="ar-SA"/>
                <w:rFonts w:ascii="Times New Roman" w:hAnsi="Times New Roman" w:eastAsia="Times New Roman" w:cs="Times New Roman"/>
                <w:b/>
              </w:rPr>
              <w:t>Stage 3 (Ch 6): age-stratified engagement</w:t>
            </w:r>
          </w:p>
        </w:tc>
        <w:tc>
          <w:tcPr>
            <w:tcW w:type="dxa" w:w="1701"/>
          </w:tcPr>
          <w:p>
            <w:pPr>
              <w:pStyle w:val="Normal"/>
            </w:pPr>
            <w:r>
              <w:rPr>
                <w:szCs w:val="26"/>
                <w:lang w:val="en-US" w:eastAsia="en-US" w:bidi="ar-SA"/>
                <w:rFonts w:ascii="Times New Roman" w:hAnsi="Times New Roman" w:eastAsia="Times New Roman" w:cs="Times New Roman"/>
                <w:sz w:val="28"/>
                <w:b/>
              </w:rPr>
              <w:t>Nullified: initial dropout 0.0% (25-44) vs 39.0% (65-80), Fisher's exact p &lt; 0.0001; non-return converges low in all bands</w:t>
            </w:r>
          </w:p>
        </w:tc>
      </w:tr>
    </w:tbl>
    <w:p>
      <w:pPr>
        <w:pStyle w:val="Heading2"/>
      </w:pPr>
      <w:bookmarkStart w:id="49" w:name="_Toc2320245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8"/>
          <w:b/>
        </w:rP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p>
    <w:p>
      <w:pPr>
        <w:pStyle w:val="Normal"/>
        <w:keepNext/>
        <w:spacing w:before="160" w:after="40"/>
        <w:jc w:val="center"/>
      </w:pPr>
      <w:r>
        <w:drawing>
          <wp:inlin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pPr>
        <w:pStyle w:val="Heading2"/>
      </w:pPr>
      <w:bookmarkStart w:id="50" w:name="_Toc2320245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8"/>
          <w:b/>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approved by the PolyU Human Subjects Ethics Sub-Committee (application reference HSEARS20260805008; Principal Investigator: Prof. Chi Fai Cheung, Department of Industrial and Systems Engineering; approved August 2026); the application described the procedures of all three stages and the expert consultations as conducted, and the approval memo is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highlight w:val="yellow"/>
        </w:rPr>
        <w:t xml:space="preserve"> [AUTHOR INPUT NEEDED: exact approval date from the memo]</w:t>
      </w:r>
    </w:p>
    <w:p>
      <w:r>
        <w:t>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8"/>
          <w:b/>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8"/>
          <w:b/>
        </w:rP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pPr>
        <w:pStyle w:val="Normal"/>
      </w:pPr>
      <w:r>
        <w:rPr>
          <w:i w:val="0"/>
          <w:szCs w:val="26"/>
          <w:lang w:val="en-US" w:eastAsia="en-US" w:bidi="ar-SA"/>
          <w:rFonts w:ascii="Times New Roman" w:hAnsi="Times New Roman" w:eastAsia="Times New Roman" w:cs="Times New Roman"/>
          <w:sz w:val="28"/>
          <w:b/>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pPr>
        <w:pStyle w:val="Normal"/>
      </w:pPr>
      <w:r>
        <w:rPr>
          <w:szCs w:val="26"/>
          <w:lang w:val="en-US" w:eastAsia="en-US" w:bidi="ar-SA"/>
          <w:rFonts w:ascii="Times New Roman" w:hAnsi="Times New Roman" w:eastAsia="Times New Roman" w:cs="Times New Roman"/>
          <w:sz w:val="28"/>
          <w:b/>
        </w:rP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pPr>
        <w:pStyle w:val="Heading2"/>
      </w:pPr>
      <w:bookmarkStart w:id="52" w:name="_Toc23202455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8"/>
          <w:b/>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pPr>
        <w:pStyle w:val="Normal"/>
        <w:jc w:val="both"/>
      </w:pPr>
      <w:r>
        <w:rPr>
          <w:szCs w:val="26"/>
          <w:lang w:val="en-US" w:eastAsia="en-US" w:bidi="ar-SA"/>
          <w:rFonts w:ascii="Times New Roman" w:hAnsi="Times New Roman" w:eastAsia="Times New Roman" w:cs="Times New Roman"/>
          <w:sz w:val="28"/>
          <w:b/>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8"/>
          <w:b/>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b/>
          <w:color w:val="000000"/>
          <w:sz w:val="28"/>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4 Stage 1 — From FIDS to FIAS</w:t>
      </w:r>
    </w:p>
    <w:p>
      <w:pPr>
        <w:pStyle w:val="Normal"/>
        <w:jc w:val="both"/>
      </w:pPr>
      <w:r>
        <w:rPr>
          <w:szCs w:val="26"/>
          <w:lang w:val="en-US" w:eastAsia="en-US" w:bidi="ar-SA"/>
          <w:rFonts w:ascii="Times New Roman" w:hAnsi="Times New Roman" w:eastAsia="Times New Roman" w:cs="Times New Roman"/>
          <w:sz w:val="28"/>
          <w:b/>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4.1 Purpose</w:t>
      </w:r>
      <w:bookmarkEnd w:id="53"/>
    </w:p>
    <w:p>
      <w:pPr>
        <w:pStyle w:val="Normal"/>
        <w:jc w:val="both"/>
      </w:pPr>
      <w:r>
        <w:rPr>
          <w:szCs w:val="26"/>
          <w:lang w:val="en-US" w:eastAsia="en-US" w:bidi="ar-SA"/>
          <w:rFonts w:ascii="Times New Roman" w:hAnsi="Times New Roman" w:eastAsia="Times New Roman" w:cs="Times New Roman"/>
          <w:sz w:val="28"/>
          <w:b/>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pPr>
        <w:pStyle w:val="Heading2"/>
      </w:pPr>
      <w:bookmarkStart w:id="54" w:name="_Toc23202455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pStyle w:val="Heading2"/>
      </w:pPr>
      <w:bookmarkStart w:id="56" w:name="_Toc23202455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pPr>
        <w:pStyle w:val="FigureCaption"/>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0" w:type="auto"/>
        <w:jc w:val="center"/>
        <w:tblLook w:val="04A0" w:firstRow="1" w:lastRow="0" w:firstColumn="1" w:lastColumn="0" w:noHBand="0" w:noVBand="1"/>
      </w:tblPr>
      <w:tblGrid>
        <w:gridCol w:w="5665"/>
        <w:gridCol w:w="1848"/>
      </w:tblGrid>
      <w:tr>
        <w:trPr>
          <w:jc w:val="center"/>
        </w:trPr>
        <w:tc>
          <w:tcPr>
            <w:tcW w:w="5665" w:type="dxa"/>
          </w:tcPr>
          <w:p>
            <w:pPr>
              <w:pStyle w:val="Normal"/>
            </w:pPr>
            <w:r>
              <w:rPr>
                <w:b/>
                <w:sz w:val="20"/>
                <w:szCs w:val="22"/>
                <w:lang w:val="en-US" w:eastAsia="en-US" w:bidi="ar-SA"/>
                <w:rFonts w:ascii="Times New Roman" w:hAnsi="Times New Roman" w:eastAsia="Times New Roman" w:cs="Times New Roman"/>
              </w:rPr>
              <w:t>Survey item</w:t>
            </w:r>
          </w:p>
        </w:tc>
        <w:tc>
          <w:tcPr>
            <w:tcW w:w="1848" w:type="dxa"/>
          </w:tcPr>
          <w:p>
            <w:pPr>
              <w:pStyle w:val="Normal"/>
            </w:pPr>
            <w:r>
              <w:rPr>
                <w:b/>
                <w:sz w:val="20"/>
                <w:szCs w:val="22"/>
                <w:lang w:val="en-US" w:eastAsia="en-US" w:bidi="ar-SA"/>
                <w:rFonts w:ascii="Times New Roman" w:hAnsi="Times New Roman" w:eastAsia="Times New Roman" w:cs="Times New Roman"/>
              </w:rPr>
              <w:t>Result</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Ever used FRA</w:t>
            </w:r>
          </w:p>
        </w:tc>
        <w:tc>
          <w:tcPr>
            <w:tcW w:w="1848" w:type="dxa"/>
          </w:tcPr>
          <w:p>
            <w:pPr>
              <w:pStyle w:val="Normal"/>
            </w:pPr>
            <w:r>
              <w:rPr>
                <w:sz w:val="20"/>
                <w:szCs w:val="22"/>
                <w:lang w:val="en-US" w:eastAsia="en-US" w:bidi="ar-SA"/>
                <w:rFonts w:ascii="Times New Roman" w:hAnsi="Times New Roman" w:eastAsia="Times New Roman" w:cs="Times New Roman"/>
              </w:rPr>
              <w:t>39%</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Never used FRA</w:t>
            </w:r>
          </w:p>
        </w:tc>
        <w:tc>
          <w:tcPr>
            <w:tcW w:w="1848" w:type="dxa"/>
          </w:tcPr>
          <w:p>
            <w:pPr>
              <w:pStyle w:val="Normal"/>
            </w:pPr>
            <w:r>
              <w:rPr>
                <w:sz w:val="20"/>
                <w:szCs w:val="22"/>
                <w:lang w:val="en-US" w:eastAsia="en-US" w:bidi="ar-SA"/>
                <w:rFonts w:ascii="Times New Roman" w:hAnsi="Times New Roman" w:eastAsia="Times New Roman" w:cs="Times New Roman"/>
              </w:rPr>
              <w:t>61%</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48" w:type="dxa"/>
          </w:tcPr>
          <w:p>
            <w:pPr>
              <w:pStyle w:val="Normal"/>
            </w:pPr>
            <w:r>
              <w:rPr>
                <w:sz w:val="20"/>
                <w:szCs w:val="22"/>
                <w:lang w:val="en-US" w:eastAsia="en-US" w:bidi="ar-SA"/>
                <w:rFonts w:ascii="Times New Roman" w:hAnsi="Times New Roman" w:eastAsia="Times New Roman" w:cs="Times New Roman"/>
              </w:rPr>
              <w:t>~74%</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48" w:type="dxa"/>
          </w:tcPr>
          <w:p>
            <w:pPr>
              <w:pStyle w:val="Normal"/>
            </w:pPr>
            <w:r>
              <w:rPr>
                <w:sz w:val="20"/>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pPr>
        <w:pStyle w:val="FigureCaption"/>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trPr>
          <w:jc w:val="center"/>
        </w:trPr>
        <w:tc>
          <w:tcPr>
            <w:tcW w:w="2689" w:type="dxa"/>
          </w:tcPr>
          <w:p>
            <w:pPr>
              <w:pStyle w:val="Normal"/>
            </w:pPr>
            <w:r>
              <w:rPr>
                <w:b/>
                <w:sz w:val="20"/>
                <w:szCs w:val="22"/>
                <w:lang w:val="en-US" w:eastAsia="en-US" w:bidi="ar-SA"/>
                <w:rFonts w:ascii="Times New Roman" w:hAnsi="Times New Roman" w:eastAsia="Times New Roman" w:cs="Times New Roman"/>
              </w:rPr>
              <w:t>TAM assumption</w:t>
            </w:r>
          </w:p>
        </w:tc>
        <w:tc>
          <w:tcPr>
            <w:tcW w:w="2974" w:type="dxa"/>
          </w:tcPr>
          <w:p>
            <w:pPr>
              <w:pStyle w:val="Normal"/>
            </w:pPr>
            <w:r>
              <w:rPr>
                <w:b/>
                <w:sz w:val="20"/>
                <w:szCs w:val="22"/>
                <w:lang w:val="en-US" w:eastAsia="en-US" w:bidi="ar-SA"/>
                <w:rFonts w:ascii="Times New Roman" w:hAnsi="Times New Roman" w:eastAsia="Times New Roman" w:cs="Times New Roman"/>
              </w:rPr>
              <w:t>Reality for elderly FRA users</w:t>
            </w:r>
          </w:p>
        </w:tc>
        <w:tc>
          <w:tcPr>
            <w:tcW w:w="2832" w:type="dxa"/>
          </w:tcPr>
          <w:p>
            <w:pPr>
              <w:pStyle w:val="Normal"/>
            </w:pPr>
            <w:r>
              <w:rPr>
                <w:b/>
                <w:sz w:val="20"/>
                <w:szCs w:val="22"/>
                <w:lang w:val="en-US" w:eastAsia="en-US" w:bidi="ar-SA"/>
                <w:rFonts w:ascii="Times New Roman" w:hAnsi="Times New Roman" w:eastAsia="Times New Roman" w:cs="Times New Roman"/>
              </w:rPr>
              <w:t>Consequence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Usefulness tied to job performance</w:t>
            </w:r>
          </w:p>
        </w:tc>
        <w:tc>
          <w:tcPr>
            <w:tcW w:w="2974" w:type="dxa"/>
          </w:tcPr>
          <w:p>
            <w:pPr>
              <w:pStyle w:val="Normal"/>
            </w:pPr>
            <w:r>
              <w:rPr>
                <w:sz w:val="20"/>
                <w:szCs w:val="22"/>
                <w:lang w:val="en-US" w:eastAsia="en-US" w:bidi="ar-SA"/>
                <w:rFonts w:ascii="Times New Roman" w:hAnsi="Times New Roman" w:eastAsia="Times New Roman" w:cs="Times New Roman"/>
              </w:rPr>
              <w:t>Users are retired</w:t>
            </w:r>
          </w:p>
        </w:tc>
        <w:tc>
          <w:tcPr>
            <w:tcW w:w="2832" w:type="dxa"/>
          </w:tcPr>
          <w:p>
            <w:pPr>
              <w:pStyle w:val="Normal"/>
            </w:pPr>
            <w:r>
              <w:rPr>
                <w:sz w:val="20"/>
                <w:szCs w:val="22"/>
                <w:lang w:val="en-US" w:eastAsia="en-US" w:bidi="ar-SA"/>
                <w:rFonts w:ascii="Times New Roman" w:hAnsi="Times New Roman" w:eastAsia="Times New Roman" w:cs="Times New Roman"/>
              </w:rPr>
              <w:t>PU needs redefining</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Positive perceptions predict adoption</w:t>
            </w:r>
          </w:p>
        </w:tc>
        <w:tc>
          <w:tcPr>
            <w:tcW w:w="2974" w:type="dxa"/>
          </w:tcPr>
          <w:p>
            <w:pPr>
              <w:pStyle w:val="Normal"/>
            </w:pPr>
            <w:r>
              <w:rPr>
                <w:szCs w:val="22"/>
                <w:lang w:val="en-US" w:eastAsia="en-US" w:bidi="ar-SA"/>
                <w:rFonts w:ascii="Times New Roman" w:hAnsi="Times New Roman" w:eastAsia="Times New Roman" w:cs="Times New Roman"/>
                <w:sz w:val="24"/>
              </w:rPr>
              <w:t>Reported favourable beliefs coexisted with low prior use</w:t>
            </w:r>
          </w:p>
        </w:tc>
        <w:tc>
          <w:tcPr>
            <w:tcW w:w="2832" w:type="dxa"/>
          </w:tcPr>
          <w:p>
            <w:pPr>
              <w:pStyle w:val="Normal"/>
            </w:pPr>
            <w:r>
              <w:rPr>
                <w:szCs w:val="22"/>
                <w:lang w:val="en-US" w:eastAsia="en-US" w:bidi="ar-SA"/>
                <w:rFonts w:ascii="Times New Roman" w:hAnsi="Times New Roman" w:eastAsia="Times New Roman" w:cs="Times New Roman"/>
                <w:sz w:val="24"/>
              </w:rPr>
              <w:t>Beliefs alone did not account for observed use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Negative experience reduces acceptance gradually</w:t>
            </w:r>
          </w:p>
        </w:tc>
        <w:tc>
          <w:tcPr>
            <w:tcW w:w="2974" w:type="dxa"/>
          </w:tcPr>
          <w:p>
            <w:pPr>
              <w:pStyle w:val="Normal"/>
            </w:pPr>
            <w:r>
              <w:rPr>
                <w:szCs w:val="22"/>
                <w:lang w:val="en-US" w:eastAsia="en-US" w:bidi="ar-SA"/>
                <w:rFonts w:ascii="Times New Roman" w:hAnsi="Times New Roman" w:eastAsia="Times New Roman" w:cs="Times New Roman"/>
                <w:sz w:val="24"/>
              </w:rPr>
              <w:t>Reported/observed non-return could occur abruptly within the study window</w:t>
            </w:r>
          </w:p>
        </w:tc>
        <w:tc>
          <w:tcPr>
            <w:tcW w:w="2832" w:type="dxa"/>
          </w:tcPr>
          <w:p>
            <w:pPr>
              <w:pStyle w:val="Normal"/>
            </w:pPr>
            <w:r>
              <w:rPr>
                <w:szCs w:val="22"/>
                <w:lang w:val="en-US" w:eastAsia="en-US" w:bidi="ar-SA"/>
                <w:rFonts w:ascii="Times New Roman" w:hAnsi="Times New Roman" w:eastAsia="Times New Roman" w:cs="Times New Roman"/>
                <w:sz w:val="24"/>
              </w:rPr>
              <w:t>Standard models do not explicitly represent event-triggered non-return</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No construct for failure response</w:t>
            </w:r>
          </w:p>
        </w:tc>
        <w:tc>
          <w:tcPr>
            <w:tcW w:w="2974" w:type="dxa"/>
          </w:tcPr>
          <w:p>
            <w:pPr>
              <w:pStyle w:val="Normal"/>
            </w:pPr>
            <w:r>
              <w:rPr>
                <w:szCs w:val="22"/>
                <w:lang w:val="en-US" w:eastAsia="en-US" w:bidi="ar-SA"/>
                <w:rFonts w:ascii="Times New Roman" w:hAnsi="Times New Roman" w:eastAsia="Times New Roman" w:cs="Times New Roman"/>
                <w:sz w:val="24"/>
              </w:rPr>
              <w:t>First failure was strongly associated with observed dropout in Stage 2</w:t>
            </w:r>
          </w:p>
        </w:tc>
        <w:tc>
          <w:tcPr>
            <w:tcW w:w="2832" w:type="dxa"/>
          </w:tcPr>
          <w:p>
            <w:pPr>
              <w:pStyle w:val="Normal"/>
            </w:pPr>
            <w:r>
              <w:rPr>
                <w:szCs w:val="22"/>
                <w:lang w:val="en-US" w:eastAsia="en-US" w:bidi="ar-SA"/>
                <w:rFonts w:ascii="Times New Roman" w:hAnsi="Times New Roman" w:eastAsia="Times New Roman" w:cs="Times New Roman"/>
                <w:sz w:val="24"/>
              </w:rPr>
              <w:t>Requires a post-contact, time-varying account</w:t>
            </w:r>
          </w:p>
        </w:tc>
      </w:tr>
    </w:tbl>
    <w:p>
      <w:pPr>
        <w:pStyle w:val="Normal"/>
        <w:spacing w:after="40"/>
      </w:pPr>
    </w:p>
    <w:p>
      <w:pPr>
        <w:pStyle w:val="Heading2"/>
      </w:pPr>
      <w:bookmarkStart w:id="60" w:name="_Toc23202455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trPr>
          <w:jc w:val="center"/>
        </w:trPr>
        <w:tc>
          <w:tcPr>
            <w:tcW w:w="2405" w:type="dxa"/>
          </w:tcPr>
          <w:p>
            <w:pPr>
              <w:pStyle w:val="Normal"/>
            </w:pPr>
            <w:r>
              <w:rPr>
                <w:b/>
                <w:sz w:val="20"/>
                <w:szCs w:val="22"/>
                <w:lang w:val="en-US" w:eastAsia="en-US" w:bidi="ar-SA"/>
                <w:rFonts w:ascii="Times New Roman" w:hAnsi="Times New Roman" w:eastAsia="Times New Roman" w:cs="Times New Roman"/>
              </w:rPr>
              <w:t>Octalysis drive</w:t>
            </w:r>
          </w:p>
        </w:tc>
        <w:tc>
          <w:tcPr>
            <w:tcW w:w="2977" w:type="dxa"/>
          </w:tcPr>
          <w:p>
            <w:pPr>
              <w:pStyle w:val="Normal"/>
            </w:pPr>
            <w:r>
              <w:rPr>
                <w:b/>
                <w:sz w:val="20"/>
                <w:szCs w:val="22"/>
                <w:lang w:val="en-US" w:eastAsia="en-US" w:bidi="ar-SA"/>
                <w:rFonts w:ascii="Times New Roman" w:hAnsi="Times New Roman" w:eastAsia="Times New Roman" w:cs="Times New Roman"/>
              </w:rPr>
              <w:t>Standard assumption</w:t>
            </w:r>
          </w:p>
        </w:tc>
        <w:tc>
          <w:tcPr>
            <w:tcW w:w="3113" w:type="dxa"/>
          </w:tcPr>
          <w:p>
            <w:pPr>
              <w:pStyle w:val="Normal"/>
            </w:pPr>
            <w:r>
              <w:rPr>
                <w:szCs w:val="22"/>
                <w:lang w:val="en-US" w:eastAsia="en-US" w:bidi="ar-SA"/>
                <w:rFonts w:ascii="Times New Roman" w:hAnsi="Times New Roman" w:eastAsia="Times New Roman" w:cs="Times New Roman"/>
                <w:sz w:val="24"/>
              </w:rPr>
              <w:t>Context-sensitive possibility in older clinical users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D2 Accomplishment</w:t>
            </w:r>
          </w:p>
        </w:tc>
        <w:tc>
          <w:tcPr>
            <w:tcW w:w="2977" w:type="dxa"/>
          </w:tcPr>
          <w:p>
            <w:pPr>
              <w:pStyle w:val="Normal"/>
            </w:pPr>
            <w:r>
              <w:rPr>
                <w:sz w:val="20"/>
                <w:szCs w:val="22"/>
                <w:lang w:val="en-US" w:eastAsia="en-US" w:bidi="ar-SA"/>
                <w:rFonts w:ascii="Times New Roman" w:hAnsi="Times New Roman" w:eastAsia="Times New Roman" w:cs="Times New Roman"/>
              </w:rPr>
              <w:t>Achievement challenges motivate</w:t>
            </w:r>
          </w:p>
        </w:tc>
        <w:tc>
          <w:tcPr>
            <w:tcW w:w="3113" w:type="dxa"/>
          </w:tcPr>
          <w:p>
            <w:pPr>
              <w:pStyle w:val="Normal"/>
            </w:pPr>
            <w:r>
              <w:rPr>
                <w:sz w:val="20"/>
                <w:szCs w:val="22"/>
                <w:lang w:val="en-US" w:eastAsia="en-US" w:bidi="ar-SA"/>
                <w:rFonts w:ascii="Times New Roman" w:hAnsi="Times New Roman" w:eastAsia="Times New Roman" w:cs="Times New Roman"/>
              </w:rPr>
              <w:t>May be undermined by failure</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D5 Social Influence</w:t>
            </w:r>
          </w:p>
        </w:tc>
        <w:tc>
          <w:tcPr>
            <w:tcW w:w="2977" w:type="dxa"/>
          </w:tcPr>
          <w:p>
            <w:pPr>
              <w:pStyle w:val="Normal"/>
            </w:pPr>
            <w:r>
              <w:rPr>
                <w:sz w:val="20"/>
                <w:szCs w:val="22"/>
                <w:lang w:val="en-US" w:eastAsia="en-US" w:bidi="ar-SA"/>
                <w:rFonts w:ascii="Times New Roman" w:hAnsi="Times New Roman" w:eastAsia="Times New Roman" w:cs="Times New Roman"/>
              </w:rPr>
              <w:t>Comparison drives engagement</w:t>
            </w:r>
          </w:p>
        </w:tc>
        <w:tc>
          <w:tcPr>
            <w:tcW w:w="3113"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D8 Loss and Avoidance</w:t>
            </w:r>
          </w:p>
        </w:tc>
        <w:tc>
          <w:tcPr>
            <w:tcW w:w="2977" w:type="dxa"/>
          </w:tcPr>
          <w:p>
            <w:pPr>
              <w:pStyle w:val="Normal"/>
            </w:pPr>
            <w:r>
              <w:rPr>
                <w:sz w:val="20"/>
                <w:szCs w:val="22"/>
                <w:lang w:val="en-US" w:eastAsia="en-US" w:bidi="ar-SA"/>
                <w:rFonts w:ascii="Times New Roman" w:hAnsi="Times New Roman" w:eastAsia="Times New Roman" w:cs="Times New Roman"/>
              </w:rPr>
              <w:t>Fear of losing progress sustains play</w:t>
            </w:r>
          </w:p>
        </w:tc>
        <w:tc>
          <w:tcPr>
            <w:tcW w:w="3113"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pPr>
        <w:pStyle w:val="Heading2"/>
      </w:pPr>
      <w:bookmarkStart w:id="65" w:name="_Toc23202456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2"/>
          <w:szCs w:val="28"/>
          <w:i/>
        </w:rPr>
        <w:t>Chapter 5 Stage 2 — Action Research with Gamified FRA</w:t>
      </w:r>
      <w:bookmarkEnd w:id="66"/>
    </w:p>
    <w:p>
      <w:pPr>
        <w:pStyle w:val="Heading2"/>
      </w:pPr>
      <w:bookmarkStart w:id="67" w:name="_Toc232024564"/>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pPr>
      <w:r>
        <w:rPr>
          <w:szCs w:val="22"/>
          <w:lang w:val="en-US" w:eastAsia="en-US" w:bidi="ar-SA"/>
          <w:rFonts w:ascii="Times New Roman" w:hAnsi="Times New Roman" w:eastAsia="Times New Roman" w:cs="Times New Roman"/>
          <w:sz w:val="24"/>
        </w:rP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 H2 and H4 are the directional hypotheses that structure that test.</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objective-score-improvement/non-return paradox).</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pPr>
        <w:pStyle w:val="Heading2"/>
      </w:pPr>
      <w:bookmarkStart w:id="68" w:name="_Toc23202456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pPr>
        <w:pStyle w:val="Heading2"/>
      </w:pPr>
      <w:bookmarkStart w:id="69" w:name="_Toc23202456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pPr>
        <w:pStyle w:val="Normal"/>
        <w:keepNext/>
        <w:spacing w:before="160" w:after="40"/>
        <w:jc w:val="center"/>
      </w:pPr>
      <w:r>
        <w:drawing>
          <wp:inlin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w:t>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trPr>
          <w:jc w:val="center"/>
        </w:trPr>
        <w:tc>
          <w:tcPr>
            <w:tcW w:w="1271" w:type="dxa"/>
          </w:tcPr>
          <w:p>
            <w:pPr>
              <w:pStyle w:val="Normal"/>
            </w:pPr>
            <w:r>
              <w:rPr>
                <w:b/>
                <w:sz w:val="20"/>
                <w:szCs w:val="22"/>
                <w:lang w:val="en-US" w:eastAsia="en-US" w:bidi="ar-SA"/>
                <w:rFonts w:ascii="Times New Roman" w:hAnsi="Times New Roman" w:eastAsia="Times New Roman" w:cs="Times New Roman"/>
              </w:rPr>
              <w:t>Category</w:t>
            </w:r>
          </w:p>
        </w:tc>
        <w:tc>
          <w:tcPr>
            <w:tcW w:w="2268" w:type="dxa"/>
          </w:tcPr>
          <w:p>
            <w:pPr>
              <w:pStyle w:val="Normal"/>
            </w:pPr>
            <w:r>
              <w:rPr>
                <w:b/>
                <w:sz w:val="20"/>
                <w:szCs w:val="22"/>
                <w:lang w:val="en-US" w:eastAsia="en-US" w:bidi="ar-SA"/>
                <w:rFonts w:ascii="Times New Roman" w:hAnsi="Times New Roman" w:eastAsia="Times New Roman" w:cs="Times New Roman"/>
              </w:rPr>
              <w:t>Parameter</w:t>
            </w:r>
          </w:p>
        </w:tc>
        <w:tc>
          <w:tcPr>
            <w:tcW w:w="2126" w:type="dxa"/>
          </w:tcPr>
          <w:p>
            <w:pPr>
              <w:pStyle w:val="Normal"/>
            </w:pPr>
            <w:r>
              <w:rPr>
                <w:b/>
                <w:sz w:val="20"/>
                <w:szCs w:val="22"/>
                <w:lang w:val="en-US" w:eastAsia="en-US" w:bidi="ar-SA"/>
                <w:rFonts w:ascii="Times New Roman" w:hAnsi="Times New Roman" w:eastAsia="Times New Roman" w:cs="Times New Roman"/>
              </w:rPr>
              <w:t>Value</w:t>
            </w:r>
          </w:p>
        </w:tc>
        <w:tc>
          <w:tcPr>
            <w:tcW w:w="2830" w:type="dxa"/>
          </w:tcPr>
          <w:p>
            <w:pPr>
              <w:pStyle w:val="Normal"/>
            </w:pPr>
            <w:r>
              <w:rPr>
                <w:b/>
                <w:sz w:val="20"/>
                <w:szCs w:val="22"/>
                <w:lang w:val="en-US" w:eastAsia="en-US" w:bidi="ar-SA"/>
                <w:rFonts w:ascii="Times New Roman" w:hAnsi="Times New Roman" w:eastAsia="Times New Roman" w:cs="Times New Roman"/>
              </w:rPr>
              <w:t>Role in FRA-game integration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Slope</w:t>
            </w:r>
          </w:p>
        </w:tc>
        <w:tc>
          <w:tcPr>
            <w:tcW w:w="2268" w:type="dxa"/>
          </w:tcPr>
          <w:p>
            <w:pPr>
              <w:pStyle w:val="Normal"/>
            </w:pPr>
            <w:r>
              <w:rPr>
                <w:sz w:val="20"/>
                <w:szCs w:val="22"/>
                <w:lang w:val="en-US" w:eastAsia="en-US" w:bidi="ar-SA"/>
                <w:rFonts w:ascii="Times New Roman" w:hAnsi="Times New Roman" w:eastAsia="Times New Roman" w:cs="Times New Roman"/>
              </w:rPr>
              <w:t>slopeWidth / Length / Angle</w:t>
            </w:r>
          </w:p>
        </w:tc>
        <w:tc>
          <w:tcPr>
            <w:tcW w:w="2126" w:type="dxa"/>
          </w:tcPr>
          <w:p>
            <w:pPr>
              <w:pStyle w:val="Normal"/>
            </w:pPr>
            <w:r>
              <w:rPr>
                <w:sz w:val="20"/>
                <w:szCs w:val="22"/>
                <w:lang w:val="en-US" w:eastAsia="en-US" w:bidi="ar-SA"/>
                <w:rFonts w:ascii="Times New Roman" w:hAnsi="Times New Roman" w:eastAsia="Times New Roman" w:cs="Times New Roman"/>
              </w:rPr>
              <w:t>30 m / 2000 m / 12°</w:t>
            </w:r>
          </w:p>
        </w:tc>
        <w:tc>
          <w:tcPr>
            <w:tcW w:w="2830"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Player</w:t>
            </w:r>
          </w:p>
        </w:tc>
        <w:tc>
          <w:tcPr>
            <w:tcW w:w="2268"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2126" w:type="dxa"/>
          </w:tcPr>
          <w:p>
            <w:pPr>
              <w:pStyle w:val="Normal"/>
            </w:pPr>
            <w:r>
              <w:rPr>
                <w:sz w:val="20"/>
                <w:szCs w:val="22"/>
                <w:lang w:val="en-US" w:eastAsia="en-US" w:bidi="ar-SA"/>
                <w:rFonts w:ascii="Times New Roman" w:hAnsi="Times New Roman" w:eastAsia="Times New Roman" w:cs="Times New Roman"/>
              </w:rPr>
              <w:t>8 / 12 / 30 m/s</w:t>
            </w:r>
          </w:p>
        </w:tc>
        <w:tc>
          <w:tcPr>
            <w:tcW w:w="2830"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Balance</w:t>
            </w:r>
          </w:p>
        </w:tc>
        <w:tc>
          <w:tcPr>
            <w:tcW w:w="2268"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2126"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2830"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Obstacles</w:t>
            </w:r>
          </w:p>
        </w:tc>
        <w:tc>
          <w:tcPr>
            <w:tcW w:w="2268"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2126" w:type="dxa"/>
          </w:tcPr>
          <w:p>
            <w:pPr>
              <w:pStyle w:val="Normal"/>
            </w:pPr>
            <w:r>
              <w:rPr>
                <w:sz w:val="20"/>
                <w:szCs w:val="22"/>
                <w:lang w:val="en-US" w:eastAsia="en-US" w:bidi="ar-SA"/>
                <w:rFonts w:ascii="Times New Roman" w:hAnsi="Times New Roman" w:eastAsia="Times New Roman" w:cs="Times New Roman"/>
              </w:rPr>
              <w:t>0.4/m; 120 m / 30 m; 0.4–1.0 m</w:t>
            </w:r>
          </w:p>
        </w:tc>
        <w:tc>
          <w:tcPr>
            <w:tcW w:w="2830"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Coins</w:t>
            </w:r>
          </w:p>
        </w:tc>
        <w:tc>
          <w:tcPr>
            <w:tcW w:w="2268"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2126" w:type="dxa"/>
          </w:tcPr>
          <w:p>
            <w:pPr>
              <w:pStyle w:val="Normal"/>
            </w:pPr>
            <w:r>
              <w:rPr>
                <w:sz w:val="20"/>
                <w:szCs w:val="22"/>
                <w:lang w:val="en-US" w:eastAsia="en-US" w:bidi="ar-SA"/>
                <w:rFonts w:ascii="Times New Roman" w:hAnsi="Times New Roman" w:eastAsia="Times New Roman" w:cs="Times New Roman"/>
              </w:rPr>
              <w:t>0.3/m; 10 pts; 3 %</w:t>
            </w:r>
          </w:p>
        </w:tc>
        <w:tc>
          <w:tcPr>
            <w:tcW w:w="2830"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Lives</w:t>
            </w:r>
          </w:p>
        </w:tc>
        <w:tc>
          <w:tcPr>
            <w:tcW w:w="2268"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2126"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2830"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Difficulty</w:t>
            </w:r>
          </w:p>
        </w:tc>
        <w:tc>
          <w:tcPr>
            <w:tcW w:w="2268"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2126" w:type="dxa"/>
          </w:tcPr>
          <w:p>
            <w:pPr>
              <w:pStyle w:val="Normal"/>
            </w:pPr>
            <w:r>
              <w:rPr>
                <w:sz w:val="20"/>
                <w:szCs w:val="22"/>
                <w:lang w:val="en-US" w:eastAsia="en-US" w:bidi="ar-SA"/>
                <w:rFonts w:ascii="Times New Roman" w:hAnsi="Times New Roman" w:eastAsia="Times New Roman" w:cs="Times New Roman"/>
              </w:rPr>
              <w:t>\+0.15 / 200 m; 0.42–1.43</w:t>
            </w:r>
          </w:p>
        </w:tc>
        <w:tc>
          <w:tcPr>
            <w:tcW w:w="2830"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jc w:val="center"/>
      </w:pPr>
      <w:bookmarkStart w:id="75" w:name="_Toc232024682"/>
      <w:r>
        <w:rPr>
          <w:sz w:val="24"/>
          <w:szCs w:val="22"/>
          <w:lang w:val="en-US" w:eastAsia="en-US" w:bidi="ar-SA"/>
          <w:rFonts w:ascii="Times New Roman" w:hAnsi="Times New Roman" w:eastAsia="Times New Roman" w:cs="Times New Roman"/>
          <w:i/>
          <w:b/>
        </w:rPr>
        <w:t>Figure 5.1. Skiing game on-screen display. The skier is controlled through Centre-of-Pressure shifts on the InBody panel; trees and rocks act as obstacles, gold coins reward forward play, and a level-and-score display is anchored to the top of the screen.</w:t>
      </w:r>
      <w:bookmarkEnd w:id="75"/>
    </w:p>
    <w:p>
      <w:pPr>
        <w:pStyle w:val="Normal"/>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pPr>
        <w:pStyle w:val="Normal"/>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pPr>
        <w:pStyle w:val="Heading3"/>
      </w:pPr>
      <w:bookmarkStart w:id="79" w:name="_Toc23202457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trPr>
          <w:jc w:val="center"/>
        </w:trPr>
        <w:tc>
          <w:tcPr>
            <w:tcW w:w="1129" w:type="dxa"/>
          </w:tcPr>
          <w:p>
            <w:pPr>
              <w:pStyle w:val="Normal"/>
            </w:pPr>
            <w:r>
              <w:rPr>
                <w:b/>
                <w:sz w:val="20"/>
                <w:szCs w:val="22"/>
                <w:lang w:val="en-US" w:eastAsia="en-US" w:bidi="ar-SA"/>
                <w:rFonts w:ascii="Times New Roman" w:hAnsi="Times New Roman" w:eastAsia="Times New Roman" w:cs="Times New Roman"/>
              </w:rPr>
              <w:t>Dimension</w:t>
            </w:r>
          </w:p>
        </w:tc>
        <w:tc>
          <w:tcPr>
            <w:tcW w:w="7366" w:type="dxa"/>
          </w:tcPr>
          <w:p>
            <w:pPr>
              <w:pStyle w:val="Normal"/>
            </w:pPr>
            <w:r>
              <w:rPr>
                <w:b/>
                <w:sz w:val="20"/>
                <w:szCs w:val="22"/>
                <w:lang w:val="en-US" w:eastAsia="en-US" w:bidi="ar-SA"/>
                <w:rFonts w:ascii="Times New Roman" w:hAnsi="Times New Roman" w:eastAsia="Times New Roman" w:cs="Times New Roman"/>
              </w:rPr>
              <w:t>Fields</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User</w:t>
            </w:r>
          </w:p>
        </w:tc>
        <w:tc>
          <w:tcPr>
            <w:tcW w:w="7366"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Game</w:t>
            </w:r>
          </w:p>
        </w:tc>
        <w:tc>
          <w:tcPr>
            <w:tcW w:w="7366"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Result</w:t>
            </w:r>
          </w:p>
        </w:tc>
        <w:tc>
          <w:tcPr>
            <w:tcW w:w="7366"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5.3.8 Why a Skiing Game?</w:t>
      </w:r>
      <w:bookmarkEnd w:id="82"/>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pPr>
        <w:pStyle w:val="Heading3"/>
      </w:pPr>
      <w:bookmarkStart w:id="83" w:name="_Toc2320245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pStyle w:val="Normal"/>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w:t>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t>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t>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w:t>
      </w:r>
    </w:p>
    <w:p>
      <w:pPr>
        <w:pStyle w:val="Normal"/>
      </w:pPr>
      <w:r>
        <w:rPr>
          <w:szCs w:val="22"/>
          <w:lang w:val="en-US" w:eastAsia="en-US" w:bidi="ar-SA"/>
          <w:rFonts w:ascii="Times New Roman" w:hAnsi="Times New Roman" w:eastAsia="Times New Roman" w:cs="Times New Roman"/>
          <w:sz w:val="24"/>
        </w:rP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pPr>
        <w:pStyle w:val="FigureCaption"/>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trPr>
          <w:jc w:val="center"/>
        </w:trPr>
        <w:tc>
          <w:tcPr>
            <w:tcW w:w="4248" w:type="dxa"/>
          </w:tcPr>
          <w:p>
            <w:pPr>
              <w:pStyle w:val="Normal"/>
            </w:pPr>
            <w:r>
              <w:rPr>
                <w:b/>
                <w:sz w:val="28"/>
                <w:szCs w:val="26"/>
                <w:lang w:val="en-US" w:eastAsia="en-US" w:bidi="ar-SA"/>
                <w:rFonts w:ascii="Times New Roman" w:hAnsi="Times New Roman" w:eastAsia="Times New Roman" w:cs="Times New Roman"/>
              </w:rPr>
              <w:t>Engagement metric</w:t>
            </w:r>
          </w:p>
        </w:tc>
        <w:tc>
          <w:tcPr>
            <w:tcW w:w="4247" w:type="dxa"/>
          </w:tcPr>
          <w:p>
            <w:pPr>
              <w:pStyle w:val="Normal"/>
            </w:pPr>
            <w:r>
              <w:rPr>
                <w:b/>
                <w:sz w:val="28"/>
                <w:szCs w:val="26"/>
                <w:lang w:val="en-US" w:eastAsia="en-US" w:bidi="ar-SA"/>
                <w:rFonts w:ascii="Times New Roman" w:hAnsi="Times New Roman" w:eastAsia="Times New Roman" w:cs="Times New Roman"/>
              </w:rPr>
              <w:t>Value</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Low engagement (≤ 3 cycles)</w:t>
            </w:r>
          </w:p>
        </w:tc>
        <w:tc>
          <w:tcPr>
            <w:tcW w:w="4247" w:type="dxa"/>
          </w:tcPr>
          <w:p>
            <w:pPr>
              <w:pStyle w:val="Normal"/>
            </w:pPr>
            <w:r>
              <w:rPr>
                <w:sz w:val="20"/>
                <w:szCs w:val="22"/>
                <w:lang w:val="en-US" w:eastAsia="en-US" w:bidi="ar-SA"/>
                <w:rFonts w:ascii="Times New Roman" w:hAnsi="Times New Roman" w:eastAsia="Times New Roman" w:cs="Times New Roman"/>
              </w:rPr>
              <w:t>21/30 (70%)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Sustained (≥ 4 cycles)</w:t>
            </w:r>
          </w:p>
        </w:tc>
        <w:tc>
          <w:tcPr>
            <w:tcW w:w="4247" w:type="dxa"/>
          </w:tcPr>
          <w:p>
            <w:pPr>
              <w:pStyle w:val="Normal"/>
            </w:pPr>
            <w:r>
              <w:rPr>
                <w:sz w:val="20"/>
                <w:szCs w:val="22"/>
                <w:lang w:val="en-US" w:eastAsia="en-US" w:bidi="ar-SA"/>
                <w:rFonts w:ascii="Times New Roman" w:hAnsi="Times New Roman" w:eastAsia="Times New Roman" w:cs="Times New Roman"/>
              </w:rPr>
              <w:t>9/30 (30%)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Single-session exits</w:t>
            </w:r>
          </w:p>
        </w:tc>
        <w:tc>
          <w:tcPr>
            <w:tcW w:w="4247" w:type="dxa"/>
          </w:tcPr>
          <w:p>
            <w:pPr>
              <w:pStyle w:val="Normal"/>
            </w:pPr>
            <w:r>
              <w:rPr>
                <w:sz w:val="20"/>
                <w:szCs w:val="22"/>
                <w:lang w:val="en-US" w:eastAsia="en-US" w:bidi="ar-SA"/>
                <w:rFonts w:ascii="Times New Roman" w:hAnsi="Times New Roman" w:eastAsia="Times New Roman" w:cs="Times New Roman"/>
              </w:rPr>
              <w:t>8/30 (27%)</w:t>
            </w:r>
          </w:p>
        </w:tc>
      </w:tr>
      <w:tr>
        <w:trPr>
          <w:jc w:val="center"/>
        </w:trPr>
        <w:tc>
          <w:tcPr>
            <w:tcW w:w="4248"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4247"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pPr>
        <w:jc w:val="center"/>
      </w:pPr>
      <w:bookmarkStart w:id="88" w:name="_Toc232024700"/>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bookmarkEnd w:id="88"/>
    </w:p>
    <w:p w14:paraId="2E16D01A" w14:textId="77777777" w:rsidR="00EE7E37" w:rsidRDefault="00000000">
      <w:pPr>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ns8:shadowObscured/>
                      </a:ext>
                    </a:extLs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5.5A Translating the Findings into Design Priorities: A QFD Pipeline</w:t>
      </w:r>
    </w:p>
    <w:p>
      <w:pPr>
        <w:pStyle w:val="Normal"/>
      </w:pPr>
      <w:r>
        <w:rPr>
          <w:szCs w:val="22"/>
          <w:lang w:val="en-US" w:eastAsia="en-US" w:bidi="ar-SA"/>
          <w:rFonts w:ascii="Times New Roman" w:hAnsi="Times New Roman" w:eastAsia="Times New Roman" w:cs="Times New Roman"/>
          <w:sz w:val="24"/>
        </w:rP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pPr>
        <w:pStyle w:val="Normal"/>
      </w:pPr>
      <w:r>
        <w:rPr>
          <w:szCs w:val="22"/>
          <w:lang w:val="en-US" w:eastAsia="en-US" w:bidi="ar-SA"/>
          <w:rFonts w:ascii="Times New Roman" w:hAnsi="Times New Roman" w:eastAsia="Times New Roman" w:cs="Times New Roman"/>
          <w:sz w:val="24"/>
        </w:rP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FigureCaption"/>
      </w:pPr>
      <w:r>
        <w:rPr>
          <w:sz w:val="24"/>
          <w:szCs w:val="22"/>
          <w:lang w:val="en-US" w:eastAsia="en-US" w:bidi="ar-SA"/>
          <w:rFonts w:ascii="Times New Roman" w:hAnsi="Times New Roman" w:eastAsia="Times New Roman" w:cs="Times New Roman"/>
          <w:i/>
          <w:b/>
        </w:rP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pStyle w:val="Normal"/>
            </w:pPr>
            <w:r>
              <w:rPr>
                <w:b/>
                <w:sz w:val="28"/>
                <w:szCs w:val="26"/>
                <w:lang w:val="en-US" w:eastAsia="en-US" w:bidi="ar-SA"/>
                <w:rFonts w:ascii="Times New Roman" w:hAnsi="Times New Roman" w:eastAsia="Times New Roman" w:cs="Times New Roman"/>
              </w:rPr>
              <w:t>User need (voice of the user)</w:t>
            </w:r>
          </w:p>
        </w:tc>
        <w:tc>
          <w:tcPr>
            <w:tcW w:type="dxa" w:w="1215"/>
          </w:tcPr>
          <w:p>
            <w:pPr>
              <w:pStyle w:val="Normal"/>
            </w:pPr>
            <w:r>
              <w:rPr>
                <w:b/>
                <w:sz w:val="28"/>
                <w:szCs w:val="26"/>
                <w:lang w:val="en-US" w:eastAsia="en-US" w:bidi="ar-SA"/>
                <w:rFonts w:ascii="Times New Roman" w:hAnsi="Times New Roman" w:eastAsia="Times New Roman" w:cs="Times New Roman"/>
              </w:rPr>
              <w:t>Evidence from the data</w:t>
            </w:r>
          </w:p>
        </w:tc>
        <w:tc>
          <w:tcPr>
            <w:tcW w:type="dxa" w:w="1215"/>
          </w:tcPr>
          <w:p>
            <w:pPr>
              <w:pStyle w:val="Normal"/>
            </w:pPr>
            <w:r>
              <w:rPr>
                <w:b/>
                <w:sz w:val="28"/>
                <w:szCs w:val="26"/>
                <w:lang w:val="en-US" w:eastAsia="en-US" w:bidi="ar-SA"/>
                <w:rFonts w:ascii="Times New Roman" w:hAnsi="Times New Roman" w:eastAsia="Times New Roman" w:cs="Times New Roman"/>
              </w:rPr>
              <w:t>Construct</w:t>
            </w:r>
          </w:p>
        </w:tc>
        <w:tc>
          <w:tcPr>
            <w:tcW w:type="dxa" w:w="1215"/>
          </w:tcPr>
          <w:p>
            <w:pPr>
              <w:pStyle w:val="Normal"/>
            </w:pPr>
            <w:r>
              <w:rPr>
                <w:b/>
                <w:sz w:val="28"/>
                <w:szCs w:val="26"/>
                <w:lang w:val="en-US" w:eastAsia="en-US" w:bidi="ar-SA"/>
                <w:rFonts w:ascii="Times New Roman" w:hAnsi="Times New Roman" w:eastAsia="Times New Roman" w:cs="Times New Roman"/>
              </w:rPr>
              <w:t>Adaptive difficulty (L2)</w:t>
            </w:r>
          </w:p>
        </w:tc>
        <w:tc>
          <w:tcPr>
            <w:tcW w:type="dxa" w:w="1215"/>
          </w:tcPr>
          <w:p>
            <w:pPr>
              <w:pStyle w:val="Normal"/>
            </w:pPr>
            <w:r>
              <w:rPr>
                <w:b/>
                <w:sz w:val="28"/>
                <w:szCs w:val="26"/>
                <w:lang w:val="en-US" w:eastAsia="en-US" w:bidi="ar-SA"/>
                <w:rFonts w:ascii="Times New Roman" w:hAnsi="Times New Roman" w:eastAsia="Times New Roman" w:cs="Times New Roman"/>
              </w:rPr>
              <w:t>Loss-free states</w:t>
            </w:r>
          </w:p>
        </w:tc>
        <w:tc>
          <w:tcPr>
            <w:tcW w:type="dxa" w:w="1215"/>
          </w:tcPr>
          <w:p>
            <w:pPr>
              <w:pStyle w:val="Normal"/>
            </w:pPr>
            <w:r>
              <w:rPr>
                <w:b/>
                <w:sz w:val="28"/>
                <w:szCs w:val="26"/>
                <w:lang w:val="en-US" w:eastAsia="en-US" w:bidi="ar-SA"/>
                <w:rFonts w:ascii="Times New Roman" w:hAnsi="Times New Roman" w:eastAsia="Times New Roman" w:cs="Times New Roman"/>
              </w:rPr>
              <w:t>Trajectory display (L5)</w:t>
            </w:r>
          </w:p>
        </w:tc>
        <w:tc>
          <w:tcPr>
            <w:tcW w:type="dxa" w:w="1215"/>
          </w:tcPr>
          <w:p>
            <w:pPr>
              <w:pStyle w:val="Normal"/>
            </w:pPr>
            <w:r>
              <w:rPr>
                <w:b/>
                <w:sz w:val="28"/>
                <w:szCs w:val="26"/>
                <w:lang w:val="en-US" w:eastAsia="en-US" w:bidi="ar-SA"/>
                <w:rFonts w:ascii="Times New Roman" w:hAnsi="Times New Roman" w:eastAsia="Times New Roman" w:cs="Times New Roman"/>
              </w:rPr>
              <w:t>Coaching (L6)</w:t>
            </w:r>
          </w:p>
        </w:tc>
      </w:tr>
      <w:tr>
        <w:tc>
          <w:tcPr>
            <w:tcW w:type="dxa" w:w="1215"/>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1215"/>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1215"/>
          </w:tcPr>
          <w:p>
            <w:pPr>
              <w:pStyle w:val="Normal"/>
            </w:pPr>
            <w:r>
              <w:rPr>
                <w:sz w:val="20"/>
                <w:szCs w:val="22"/>
                <w:lang w:val="en-US" w:eastAsia="en-US" w:bidi="ar-SA"/>
                <w:rFonts w:ascii="Times New Roman" w:hAnsi="Times New Roman" w:eastAsia="Times New Roman" w:cs="Times New Roman"/>
              </w:rPr>
              <w:t>Flow / PEOU (TAM)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1215"/>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1215"/>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Visible personal progress</w:t>
            </w:r>
          </w:p>
        </w:tc>
        <w:tc>
          <w:tcPr>
            <w:tcW w:type="dxa" w:w="1215"/>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1215"/>
          </w:tcPr>
          <w:p>
            <w:pPr>
              <w:pStyle w:val="Normal"/>
            </w:pPr>
            <w:r>
              <w:rPr>
                <w:sz w:val="20"/>
                <w:szCs w:val="22"/>
                <w:lang w:val="en-US" w:eastAsia="en-US" w:bidi="ar-SA"/>
                <w:rFonts w:ascii="Times New Roman" w:hAnsi="Times New Roman" w:eastAsia="Times New Roman" w:cs="Times New Roman"/>
              </w:rPr>
              <w:t>Competence (SDT) / D2</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1215"/>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1215"/>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1215"/>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1215"/>
          </w:tcPr>
          <w:p>
            <w:pPr>
              <w:pStyle w:val="Normal"/>
            </w:pPr>
            <w:r>
              <w:rPr>
                <w:sz w:val="20"/>
                <w:szCs w:val="22"/>
                <w:lang w:val="en-US" w:eastAsia="en-US" w:bidi="ar-SA"/>
                <w:rFonts w:ascii="Times New Roman" w:hAnsi="Times New Roman" w:eastAsia="Times New Roman" w:cs="Times New Roman"/>
              </w:rPr>
              <w:t>Learn-to-earn / D4</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r>
      <w:tr>
        <w:tc>
          <w:tcPr>
            <w:tcW w:type="dxa" w:w="1215"/>
          </w:tcPr>
          <w:p>
            <w:pPr>
              <w:pStyle w:val="Normal"/>
            </w:pPr>
            <w:r>
              <w:rPr>
                <w:sz w:val="20"/>
                <w:szCs w:val="22"/>
                <w:lang w:val="en-US" w:eastAsia="en-US" w:bidi="ar-SA"/>
                <w:rFonts w:ascii="Times New Roman" w:hAnsi="Times New Roman" w:eastAsia="Times New Roman" w:cs="Times New Roman"/>
              </w:rPr>
              <w:t>A reason to come back</w:t>
            </w:r>
          </w:p>
        </w:tc>
        <w:tc>
          <w:tcPr>
            <w:tcW w:type="dxa" w:w="1215"/>
          </w:tcPr>
          <w:p>
            <w:pPr>
              <w:pStyle w:val="Normal"/>
            </w:pPr>
            <w:r>
              <w:rPr>
                <w:sz w:val="20"/>
                <w:szCs w:val="22"/>
                <w:lang w:val="en-US" w:eastAsia="en-US" w:bidi="ar-SA"/>
                <w:rFonts w:ascii="Times New Roman" w:hAnsi="Times New Roman" w:eastAsia="Times New Roman" w:cs="Times New Roman"/>
              </w:rPr>
              <w:t>No observed return in Stage 2; Stage-3 decoupled cohort returned 15/23</w:t>
            </w:r>
          </w:p>
        </w:tc>
        <w:tc>
          <w:tcPr>
            <w:tcW w:type="dxa" w:w="1215"/>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bl>
    <w:p>
      <w:pPr>
        <w:pStyle w:val="Normal"/>
      </w:pPr>
      <w:r>
        <w:rPr>
          <w:szCs w:val="22"/>
          <w:lang w:val="en-US" w:eastAsia="en-US" w:bidi="ar-SA"/>
          <w:rFonts w:ascii="Times New Roman" w:hAnsi="Times New Roman" w:eastAsia="Times New Roman" w:cs="Times New Roman"/>
          <w:sz w:val="24"/>
        </w:rP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5.6 The F4 Cluster and the Objective-Score-Improvement/Non-Return Paradox</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pPr>
        <w:pStyle w:val="Heading2"/>
      </w:pPr>
      <w:bookmarkStart w:id="91" w:name="_Toc23202458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was measured once before and once after the window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Chapter 6 Stage 3 — Participant-Facing Decoupling: Between-Cohort Evidence for a Frame-Sensitive Account</w:t>
      </w:r>
    </w:p>
    <w:p>
      <w:pPr>
        <w:pStyle w:val="Heading2"/>
      </w:pPr>
      <w:bookmarkStart w:id="93" w:name="_Toc23202458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pPr>
        <w:pStyle w:val="Heading2"/>
      </w:pPr>
      <w:bookmarkStart w:id="94" w:name="_Toc232024586"/>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That participants who knew the origin still returned after failure sharpens the reading rather than weakening it: what changed between the stages was not what participants knew, but what the artefact did with their failures.</w:t>
      </w:r>
    </w:p>
    <w:p>
      <w:pPr>
        <w:pStyle w:val="Heading2"/>
      </w:pPr>
      <w:bookmarkStart w:id="95" w:name="_Toc23202458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e-mails disclosed the doctoral research context, including the programme's fall-risk origin, while presenting the activity itself as a purely-fun coordination game; the game and its instructions carried no medical or fall-prevention language and delivered no clinical output. The distributor-tier invitations are archived (Appendix G, item G.5).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reduces, though it does not eliminate, the risk that participation reflected personal obligation to the researcher.</w:t>
      </w:r>
    </w:p>
    <w:p>
      <w:pPr>
        <w:pStyle w:val="Normal"/>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retention is its complement over the cohort. The chapter reports the aggregate record compiled from the returned files. The data logbook (Appendix G, item G.3) holds the participant-level compilation from the returned e-mails; its reconciliation sheet recomputes every indicator from the participant-level entries, so the compilation can be verified against the record.</w:t>
      </w:r>
    </w:p>
    <w:p>
      <w:pPr>
        <w:pStyle w:val="Heading2"/>
      </w:pPr>
      <w:bookmarkStart w:id="96" w:name="_Toc23202458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6.5 Findings: A Substantial Behavioural Shift</w:t>
      </w:r>
      <w:bookmarkEnd w:id="96"/>
    </w:p>
    <w:p>
      <w:pPr>
        <w:pStyle w:val="FigureCaption"/>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Engagement metric</w:t>
            </w:r>
          </w:p>
        </w:tc>
        <w:tc>
          <w:tcPr>
            <w:tcW w:w="2831" w:type="dxa"/>
          </w:tcPr>
          <w:p>
            <w:pPr>
              <w:pStyle w:val="Normal"/>
            </w:pPr>
            <w:r>
              <w:rPr>
                <w:b/>
                <w:sz w:val="28"/>
                <w:szCs w:val="26"/>
                <w:lang w:val="en-US" w:eastAsia="en-US" w:bidi="ar-SA"/>
                <w:rFonts w:ascii="Times New Roman" w:hAnsi="Times New Roman" w:eastAsia="Times New Roman" w:cs="Times New Roman"/>
              </w:rPr>
              <w:t>Count</w:t>
            </w:r>
          </w:p>
        </w:tc>
        <w:tc>
          <w:tcPr>
            <w:tcW w:w="2832" w:type="dxa"/>
          </w:tcPr>
          <w:p>
            <w:pPr>
              <w:pStyle w:val="Normal"/>
            </w:pPr>
            <w:r>
              <w:rPr>
                <w:b/>
                <w:sz w:val="28"/>
                <w:szCs w:val="26"/>
                <w:lang w:val="en-US" w:eastAsia="en-US" w:bidi="ar-SA"/>
                <w:rFonts w:ascii="Times New Roman" w:hAnsi="Times New Roman" w:eastAsia="Times New Roman" w:cs="Times New Roman"/>
              </w:rPr>
              <w:t>Percentage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Initial dropout</w:t>
            </w:r>
          </w:p>
        </w:tc>
        <w:tc>
          <w:tcPr>
            <w:tcW w:w="2831" w:type="dxa"/>
          </w:tcPr>
          <w:p>
            <w:pPr>
              <w:pStyle w:val="Normal"/>
            </w:pPr>
            <w:r>
              <w:rPr>
                <w:sz w:val="20"/>
                <w:szCs w:val="22"/>
                <w:lang w:val="en-US" w:eastAsia="en-US" w:bidi="ar-SA"/>
                <w:rFonts w:ascii="Times New Roman" w:hAnsi="Times New Roman" w:eastAsia="Times New Roman" w:cs="Times New Roman"/>
              </w:rPr>
              <w:t>23/120</w:t>
            </w:r>
          </w:p>
        </w:tc>
        <w:tc>
          <w:tcPr>
            <w:tcW w:w="2832" w:type="dxa"/>
          </w:tcPr>
          <w:p>
            <w:pPr>
              <w:pStyle w:val="Normal"/>
            </w:pPr>
            <w:r>
              <w:rPr>
                <w:sz w:val="20"/>
                <w:szCs w:val="22"/>
                <w:lang w:val="en-US" w:eastAsia="en-US" w:bidi="ar-SA"/>
                <w:rFonts w:ascii="Times New Roman" w:hAnsi="Times New Roman" w:eastAsia="Times New Roman" w:cs="Times New Roman"/>
              </w:rPr>
              <w:t>19.2</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Returned after dropout</w:t>
            </w:r>
          </w:p>
        </w:tc>
        <w:tc>
          <w:tcPr>
            <w:tcW w:w="2831" w:type="dxa"/>
          </w:tcPr>
          <w:p>
            <w:pPr>
              <w:pStyle w:val="Normal"/>
            </w:pPr>
            <w:r>
              <w:rPr>
                <w:sz w:val="20"/>
                <w:szCs w:val="22"/>
                <w:lang w:val="en-US" w:eastAsia="en-US" w:bidi="ar-SA"/>
                <w:rFonts w:ascii="Times New Roman" w:hAnsi="Times New Roman" w:eastAsia="Times New Roman" w:cs="Times New Roman"/>
              </w:rPr>
              <w:t>15/23</w:t>
            </w:r>
          </w:p>
        </w:tc>
        <w:tc>
          <w:tcPr>
            <w:tcW w:w="2832" w:type="dxa"/>
          </w:tcPr>
          <w:p>
            <w:pPr>
              <w:pStyle w:val="Normal"/>
            </w:pPr>
            <w:r>
              <w:rPr>
                <w:sz w:val="20"/>
                <w:szCs w:val="22"/>
                <w:lang w:val="en-US" w:eastAsia="en-US" w:bidi="ar-SA"/>
                <w:rFonts w:ascii="Times New Roman" w:hAnsi="Times New Roman" w:eastAsia="Times New Roman" w:cs="Times New Roman"/>
              </w:rPr>
              <w:t>65.2</w:t>
            </w:r>
          </w:p>
        </w:tc>
      </w:tr>
      <w:tr>
        <w:trPr>
          <w:jc w:val="center"/>
        </w:trPr>
        <w:tc>
          <w:tcPr>
            <w:tcW w:w="2832"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2831" w:type="dxa"/>
          </w:tcPr>
          <w:p>
            <w:pPr>
              <w:pStyle w:val="Normal"/>
            </w:pPr>
            <w:r>
              <w:rPr>
                <w:sz w:val="20"/>
                <w:szCs w:val="22"/>
                <w:lang w:val="en-US" w:eastAsia="en-US" w:bidi="ar-SA"/>
                <w:rFonts w:ascii="Times New Roman" w:hAnsi="Times New Roman" w:eastAsia="Times New Roman" w:cs="Times New Roman"/>
              </w:rPr>
              <w:t>8/120</w:t>
            </w:r>
          </w:p>
        </w:tc>
        <w:tc>
          <w:tcPr>
            <w:tcW w:w="2832" w:type="dxa"/>
          </w:tcPr>
          <w:p>
            <w:pPr>
              <w:pStyle w:val="Normal"/>
            </w:pPr>
            <w:r>
              <w:rPr>
                <w:sz w:val="20"/>
                <w:szCs w:val="22"/>
                <w:lang w:val="en-US" w:eastAsia="en-US" w:bidi="ar-SA"/>
                <w:rFonts w:ascii="Times New Roman" w:hAnsi="Times New Roman" w:eastAsia="Times New Roman" w:cs="Times New Roman"/>
              </w:rPr>
              <w:t>6.7</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Overall retention</w:t>
            </w:r>
          </w:p>
        </w:tc>
        <w:tc>
          <w:tcPr>
            <w:tcW w:w="2831" w:type="dxa"/>
          </w:tcPr>
          <w:p>
            <w:pPr>
              <w:pStyle w:val="Normal"/>
            </w:pPr>
            <w:r>
              <w:rPr>
                <w:sz w:val="20"/>
                <w:szCs w:val="22"/>
                <w:lang w:val="en-US" w:eastAsia="en-US" w:bidi="ar-SA"/>
                <w:rFonts w:ascii="Times New Roman" w:hAnsi="Times New Roman" w:eastAsia="Times New Roman" w:cs="Times New Roman"/>
              </w:rPr>
              <w:t>112/120</w:t>
            </w:r>
          </w:p>
        </w:tc>
        <w:tc>
          <w:tcPr>
            <w:tcW w:w="2832" w:type="dxa"/>
          </w:tcPr>
          <w:p>
            <w:pPr>
              <w:pStyle w:val="Normal"/>
            </w:pPr>
            <w:r>
              <w:rPr>
                <w:sz w:val="20"/>
                <w:szCs w:val="22"/>
                <w:lang w:val="en-US" w:eastAsia="en-US" w:bidi="ar-SA"/>
                <w:rFonts w:ascii="Times New Roman" w:hAnsi="Times New Roman" w:eastAsia="Times New Roman" w:cs="Times New Roman"/>
              </w:rPr>
              <w:t>93.3</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 rate among initial dropouts</w:t>
            </w:r>
          </w:p>
        </w:tc>
        <w:tc>
          <w:tcPr>
            <w:tcW w:w="2831" w:type="dxa"/>
          </w:tcPr>
          <w:p>
            <w:pPr>
              <w:pStyle w:val="Normal"/>
            </w:pPr>
            <w:r>
              <w:rPr>
                <w:sz w:val="20"/>
                <w:szCs w:val="22"/>
                <w:lang w:val="en-US" w:eastAsia="en-US" w:bidi="ar-SA"/>
                <w:rFonts w:ascii="Times New Roman" w:hAnsi="Times New Roman" w:eastAsia="Times New Roman" w:cs="Times New Roman"/>
              </w:rPr>
              <w:t>—</w:t>
            </w:r>
          </w:p>
        </w:tc>
        <w:tc>
          <w:tcPr>
            <w:tcW w:w="2832" w:type="dxa"/>
          </w:tcPr>
          <w:p>
            <w:pPr>
              <w:pStyle w:val="Normal"/>
            </w:pPr>
            <w:r>
              <w:rPr>
                <w:sz w:val="20"/>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pPr>
        <w:pStyle w:val="FigureCaption"/>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trPr>
          <w:jc w:val="center"/>
        </w:trPr>
        <w:tc>
          <w:tcPr>
            <w:tcW w:w="1416" w:type="dxa"/>
          </w:tcPr>
          <w:p>
            <w:pPr>
              <w:pStyle w:val="Normal"/>
            </w:pPr>
            <w:r>
              <w:rPr>
                <w:szCs w:val="26"/>
                <w:lang w:val="en-US" w:eastAsia="en-US" w:bidi="ar-SA"/>
                <w:rFonts w:ascii="Times New Roman" w:hAnsi="Times New Roman" w:eastAsia="Times New Roman" w:cs="Times New Roman"/>
                <w:sz w:val="28"/>
                <w:b/>
              </w:rPr>
              <w:t>Age band</w:t>
            </w:r>
          </w:p>
        </w:tc>
        <w:tc>
          <w:tcPr>
            <w:tcW w:w="1415" w:type="dxa"/>
          </w:tcPr>
          <w:p>
            <w:pPr>
              <w:pStyle w:val="Normal"/>
            </w:pPr>
            <w:r>
              <w:rPr>
                <w:b/>
                <w:sz w:val="28"/>
                <w:szCs w:val="26"/>
                <w:lang w:val="en-US" w:eastAsia="en-US" w:bidi="ar-SA"/>
                <w:rFonts w:ascii="Times New Roman" w:hAnsi="Times New Roman" w:eastAsia="Times New Roman" w:cs="Times New Roman"/>
              </w:rPr>
              <w:t>n</w:t>
            </w:r>
          </w:p>
        </w:tc>
        <w:tc>
          <w:tcPr>
            <w:tcW w:w="1416" w:type="dxa"/>
          </w:tcPr>
          <w:p>
            <w:pPr>
              <w:pStyle w:val="Normal"/>
            </w:pPr>
            <w:r>
              <w:rPr>
                <w:b/>
                <w:sz w:val="28"/>
                <w:szCs w:val="26"/>
                <w:lang w:val="en-US" w:eastAsia="en-US" w:bidi="ar-SA"/>
                <w:rFonts w:ascii="Times New Roman" w:hAnsi="Times New Roman" w:eastAsia="Times New Roman" w:cs="Times New Roman"/>
              </w:rPr>
              <w:t>Initial dropout</w:t>
            </w:r>
          </w:p>
        </w:tc>
        <w:tc>
          <w:tcPr>
            <w:tcW w:w="1416" w:type="dxa"/>
          </w:tcPr>
          <w:p>
            <w:pPr>
              <w:pStyle w:val="Normal"/>
            </w:pPr>
            <w:r>
              <w:rPr>
                <w:b/>
                <w:sz w:val="28"/>
                <w:szCs w:val="26"/>
                <w:lang w:val="en-US" w:eastAsia="en-US" w:bidi="ar-SA"/>
                <w:rFonts w:ascii="Times New Roman" w:hAnsi="Times New Roman" w:eastAsia="Times New Roman" w:cs="Times New Roman"/>
              </w:rPr>
              <w:t>Returned</w:t>
            </w:r>
          </w:p>
        </w:tc>
        <w:tc>
          <w:tcPr>
            <w:tcW w:w="1416" w:type="dxa"/>
          </w:tcPr>
          <w:p>
            <w:pPr>
              <w:pStyle w:val="Normal"/>
            </w:pPr>
            <w:r>
              <w:rPr>
                <w:szCs w:val="22"/>
                <w:lang w:val="en-US" w:eastAsia="en-US" w:bidi="ar-SA"/>
                <w:rFonts w:ascii="Times New Roman" w:hAnsi="Times New Roman" w:eastAsia="Times New Roman" w:cs="Times New Roman"/>
                <w:sz w:val="24"/>
              </w:rPr>
              <w:t>Observed non-return</w:t>
            </w:r>
          </w:p>
        </w:tc>
        <w:tc>
          <w:tcPr>
            <w:tcW w:w="1416" w:type="dxa"/>
          </w:tcPr>
          <w:p>
            <w:pPr>
              <w:pStyle w:val="Normal"/>
            </w:pPr>
            <w:r>
              <w:rPr>
                <w:b/>
                <w:sz w:val="28"/>
                <w:szCs w:val="26"/>
                <w:lang w:val="en-US" w:eastAsia="en-US" w:bidi="ar-SA"/>
                <w:rFonts w:ascii="Times New Roman" w:hAnsi="Times New Roman" w:eastAsia="Times New Roman" w:cs="Times New Roman"/>
              </w:rPr>
              <w:t>Retention</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25–44</w:t>
            </w:r>
          </w:p>
        </w:tc>
        <w:tc>
          <w:tcPr>
            <w:tcW w:w="1415" w:type="dxa"/>
          </w:tcPr>
          <w:p>
            <w:pPr>
              <w:pStyle w:val="Normal"/>
            </w:pPr>
            <w:r>
              <w:rPr>
                <w:szCs w:val="22"/>
                <w:lang w:val="en-US" w:eastAsia="en-US" w:bidi="ar-SA"/>
                <w:rFonts w:ascii="Times New Roman" w:hAnsi="Times New Roman" w:eastAsia="Times New Roman" w:cs="Times New Roman"/>
                <w:sz w:val="24"/>
              </w:rPr>
              <w:t>38</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0</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100.0%</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45–64</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7 (17.1%)</w:t>
            </w:r>
          </w:p>
        </w:tc>
        <w:tc>
          <w:tcPr>
            <w:tcW w:w="1416" w:type="dxa"/>
          </w:tcPr>
          <w:p>
            <w:pPr>
              <w:pStyle w:val="Normal"/>
            </w:pPr>
            <w:r>
              <w:rPr>
                <w:sz w:val="20"/>
                <w:szCs w:val="22"/>
                <w:lang w:val="en-US" w:eastAsia="en-US" w:bidi="ar-SA"/>
                <w:rFonts w:ascii="Times New Roman" w:hAnsi="Times New Roman" w:eastAsia="Times New Roman" w:cs="Times New Roman"/>
              </w:rPr>
              <w:t>5</w:t>
            </w:r>
          </w:p>
        </w:tc>
        <w:tc>
          <w:tcPr>
            <w:tcW w:w="1416" w:type="dxa"/>
          </w:tcPr>
          <w:p>
            <w:pPr>
              <w:pStyle w:val="Normal"/>
            </w:pPr>
            <w:r>
              <w:rPr>
                <w:szCs w:val="22"/>
                <w:lang w:val="en-US" w:eastAsia="en-US" w:bidi="ar-SA"/>
                <w:rFonts w:ascii="Times New Roman" w:hAnsi="Times New Roman" w:eastAsia="Times New Roman" w:cs="Times New Roman"/>
                <w:sz w:val="24"/>
              </w:rPr>
              <w:t>2 (4.9%)</w:t>
            </w:r>
          </w:p>
        </w:tc>
        <w:tc>
          <w:tcPr>
            <w:tcW w:w="1416" w:type="dxa"/>
          </w:tcPr>
          <w:p>
            <w:pPr>
              <w:pStyle w:val="Normal"/>
            </w:pPr>
            <w:r>
              <w:rPr>
                <w:szCs w:val="22"/>
                <w:lang w:val="en-US" w:eastAsia="en-US" w:bidi="ar-SA"/>
                <w:rFonts w:ascii="Times New Roman" w:hAnsi="Times New Roman" w:eastAsia="Times New Roman" w:cs="Times New Roman"/>
                <w:sz w:val="24"/>
              </w:rPr>
              <w:t>95.1%</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65–80</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16 (39.0%)</w:t>
            </w:r>
          </w:p>
        </w:tc>
        <w:tc>
          <w:tcPr>
            <w:tcW w:w="1416" w:type="dxa"/>
          </w:tcPr>
          <w:p>
            <w:pPr>
              <w:pStyle w:val="Normal"/>
            </w:pPr>
            <w:r>
              <w:rPr>
                <w:sz w:val="20"/>
                <w:szCs w:val="22"/>
                <w:lang w:val="en-US" w:eastAsia="en-US" w:bidi="ar-SA"/>
                <w:rFonts w:ascii="Times New Roman" w:hAnsi="Times New Roman" w:eastAsia="Times New Roman" w:cs="Times New Roman"/>
              </w:rPr>
              <w:t>10</w:t>
            </w:r>
          </w:p>
        </w:tc>
        <w:tc>
          <w:tcPr>
            <w:tcW w:w="1416" w:type="dxa"/>
          </w:tcPr>
          <w:p>
            <w:pPr>
              <w:pStyle w:val="Normal"/>
            </w:pPr>
            <w:r>
              <w:rPr>
                <w:szCs w:val="22"/>
                <w:lang w:val="en-US" w:eastAsia="en-US" w:bidi="ar-SA"/>
                <w:rFonts w:ascii="Times New Roman" w:hAnsi="Times New Roman" w:eastAsia="Times New Roman" w:cs="Times New Roman"/>
                <w:sz w:val="24"/>
              </w:rPr>
              <w:t>6 (14.6%)</w:t>
            </w:r>
          </w:p>
        </w:tc>
        <w:tc>
          <w:tcPr>
            <w:tcW w:w="1416" w:type="dxa"/>
          </w:tcPr>
          <w:p>
            <w:pPr>
              <w:pStyle w:val="Normal"/>
            </w:pPr>
            <w:r>
              <w:rPr>
                <w:szCs w:val="22"/>
                <w:lang w:val="en-US" w:eastAsia="en-US" w:bidi="ar-SA"/>
                <w:rFonts w:ascii="Times New Roman" w:hAnsi="Times New Roman" w:eastAsia="Times New Roman" w:cs="Times New Roman"/>
                <w:sz w:val="24"/>
              </w:rPr>
              <w:t>85.4%</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Total</w:t>
            </w:r>
          </w:p>
        </w:tc>
        <w:tc>
          <w:tcPr>
            <w:tcW w:w="1415" w:type="dxa"/>
          </w:tcPr>
          <w:p>
            <w:pPr>
              <w:pStyle w:val="Normal"/>
            </w:pPr>
            <w:r>
              <w:rPr>
                <w:sz w:val="20"/>
                <w:szCs w:val="22"/>
                <w:lang w:val="en-US" w:eastAsia="en-US" w:bidi="ar-SA"/>
                <w:rFonts w:ascii="Times New Roman" w:hAnsi="Times New Roman" w:eastAsia="Times New Roman" w:cs="Times New Roman"/>
              </w:rPr>
              <w:t>120</w:t>
            </w:r>
          </w:p>
        </w:tc>
        <w:tc>
          <w:tcPr>
            <w:tcW w:w="1416" w:type="dxa"/>
          </w:tcPr>
          <w:p>
            <w:pPr>
              <w:pStyle w:val="Normal"/>
            </w:pPr>
            <w:r>
              <w:rPr>
                <w:sz w:val="20"/>
                <w:szCs w:val="22"/>
                <w:lang w:val="en-US" w:eastAsia="en-US" w:bidi="ar-SA"/>
                <w:rFonts w:ascii="Times New Roman" w:hAnsi="Times New Roman" w:eastAsia="Times New Roman" w:cs="Times New Roman"/>
              </w:rPr>
              <w:t>23 (19.2%)</w:t>
            </w:r>
          </w:p>
        </w:tc>
        <w:tc>
          <w:tcPr>
            <w:tcW w:w="1416" w:type="dxa"/>
          </w:tcPr>
          <w:p>
            <w:pPr>
              <w:pStyle w:val="Normal"/>
            </w:pPr>
            <w:r>
              <w:rPr>
                <w:sz w:val="20"/>
                <w:szCs w:val="22"/>
                <w:lang w:val="en-US" w:eastAsia="en-US" w:bidi="ar-SA"/>
                <w:rFonts w:ascii="Times New Roman" w:hAnsi="Times New Roman" w:eastAsia="Times New Roman" w:cs="Times New Roman"/>
              </w:rPr>
              <w:t>15</w:t>
            </w:r>
          </w:p>
        </w:tc>
        <w:tc>
          <w:tcPr>
            <w:tcW w:w="1416" w:type="dxa"/>
          </w:tcPr>
          <w:p>
            <w:pPr>
              <w:pStyle w:val="Normal"/>
            </w:pPr>
            <w:r>
              <w:rPr>
                <w:sz w:val="20"/>
                <w:szCs w:val="22"/>
                <w:lang w:val="en-US" w:eastAsia="en-US" w:bidi="ar-SA"/>
                <w:rFonts w:ascii="Times New Roman" w:hAnsi="Times New Roman" w:eastAsia="Times New Roman" w:cs="Times New Roman"/>
              </w:rPr>
              <w:t>8 (6.7%)</w:t>
            </w:r>
          </w:p>
        </w:tc>
        <w:tc>
          <w:tcPr>
            <w:tcW w:w="1416" w:type="dxa"/>
          </w:tcPr>
          <w:p>
            <w:pPr>
              <w:pStyle w:val="Normal"/>
            </w:pPr>
            <w:r>
              <w:rPr>
                <w:sz w:val="20"/>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trPr>
          <w:jc w:val="center"/>
        </w:trPr>
        <w:tc>
          <w:tcPr>
            <w:tcW w:w="1701" w:type="dxa"/>
          </w:tcPr>
          <w:p>
            <w:pPr>
              <w:pStyle w:val="Normal"/>
            </w:pPr>
            <w:r>
              <w:rPr>
                <w:b/>
                <w:sz w:val="28"/>
                <w:szCs w:val="26"/>
                <w:lang w:val="en-US" w:eastAsia="en-US" w:bidi="ar-SA"/>
                <w:rFonts w:ascii="Times New Roman" w:hAnsi="Times New Roman" w:eastAsia="Times New Roman" w:cs="Times New Roman"/>
              </w:rPr>
              <w:t>Item</w:t>
            </w:r>
          </w:p>
        </w:tc>
        <w:tc>
          <w:tcPr>
            <w:tcW w:w="1699" w:type="dxa"/>
          </w:tcPr>
          <w:p>
            <w:pPr>
              <w:pStyle w:val="Normal"/>
            </w:pPr>
            <w:r>
              <w:rPr>
                <w:b/>
                <w:sz w:val="28"/>
                <w:szCs w:val="26"/>
                <w:lang w:val="en-US" w:eastAsia="en-US" w:bidi="ar-SA"/>
                <w:rFonts w:ascii="Times New Roman" w:hAnsi="Times New Roman" w:eastAsia="Times New Roman" w:cs="Times New Roman"/>
              </w:rPr>
              <w:t>Younger 25–44</w:t>
            </w:r>
          </w:p>
        </w:tc>
        <w:tc>
          <w:tcPr>
            <w:tcW w:w="1699" w:type="dxa"/>
          </w:tcPr>
          <w:p>
            <w:pPr>
              <w:pStyle w:val="Normal"/>
            </w:pPr>
            <w:r>
              <w:rPr>
                <w:b/>
                <w:sz w:val="28"/>
                <w:szCs w:val="26"/>
                <w:lang w:val="en-US" w:eastAsia="en-US" w:bidi="ar-SA"/>
                <w:rFonts w:ascii="Times New Roman" w:hAnsi="Times New Roman" w:eastAsia="Times New Roman" w:cs="Times New Roman"/>
              </w:rPr>
              <w:t>Middle 45–64</w:t>
            </w:r>
          </w:p>
        </w:tc>
        <w:tc>
          <w:tcPr>
            <w:tcW w:w="1698" w:type="dxa"/>
          </w:tcPr>
          <w:p>
            <w:pPr>
              <w:pStyle w:val="Normal"/>
            </w:pPr>
            <w:r>
              <w:rPr>
                <w:b/>
                <w:sz w:val="28"/>
                <w:szCs w:val="26"/>
                <w:lang w:val="en-US" w:eastAsia="en-US" w:bidi="ar-SA"/>
                <w:rFonts w:ascii="Times New Roman" w:hAnsi="Times New Roman" w:eastAsia="Times New Roman" w:cs="Times New Roman"/>
              </w:rPr>
              <w:t>Older 65–80</w:t>
            </w:r>
          </w:p>
        </w:tc>
        <w:tc>
          <w:tcPr>
            <w:tcW w:w="1698" w:type="dxa"/>
          </w:tcPr>
          <w:p>
            <w:pPr>
              <w:pStyle w:val="Normal"/>
            </w:pPr>
            <w:r>
              <w:rPr>
                <w:b/>
                <w:sz w:val="28"/>
                <w:szCs w:val="26"/>
                <w:lang w:val="en-US" w:eastAsia="en-US" w:bidi="ar-SA"/>
                <w:rFonts w:ascii="Times New Roman" w:hAnsi="Times New Roman" w:eastAsia="Times New Roman" w:cs="Times New Roman"/>
              </w:rPr>
              <w:t>Total</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71.7%</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0"/>
              </w:rPr>
              <w:t>Would use regularly if accessible</w:t>
            </w:r>
          </w:p>
        </w:tc>
        <w:tc>
          <w:tcPr>
            <w:tcW w:w="1699" w:type="dxa"/>
          </w:tcPr>
          <w:p>
            <w:pPr>
              <w:pStyle w:val="Normal"/>
            </w:pPr>
            <w:r>
              <w:rPr>
                <w:szCs w:val="22"/>
                <w:lang w:val="en-US" w:eastAsia="en-US" w:bidi="ar-SA"/>
                <w:rFonts w:ascii="Times New Roman" w:hAnsi="Times New Roman" w:eastAsia="Times New Roman" w:cs="Times New Roman"/>
                <w:sz w:val="24"/>
              </w:rPr>
              <w:t>65.8%</w:t>
            </w:r>
          </w:p>
        </w:tc>
        <w:tc>
          <w:tcPr>
            <w:tcW w:w="1699" w:type="dxa"/>
          </w:tcPr>
          <w:p>
            <w:pPr>
              <w:pStyle w:val="Normal"/>
            </w:pPr>
            <w:r>
              <w:rPr>
                <w:szCs w:val="22"/>
                <w:lang w:val="en-US" w:eastAsia="en-US" w:bidi="ar-SA"/>
                <w:rFonts w:ascii="Times New Roman" w:hAnsi="Times New Roman" w:eastAsia="Times New Roman" w:cs="Times New Roman"/>
                <w:sz w:val="24"/>
              </w:rPr>
              <w:t>68.3%</w:t>
            </w:r>
          </w:p>
        </w:tc>
        <w:tc>
          <w:tcPr>
            <w:tcW w:w="1698" w:type="dxa"/>
          </w:tcPr>
          <w:p>
            <w:pPr>
              <w:pStyle w:val="Normal"/>
            </w:pPr>
            <w:r>
              <w:rPr>
                <w:szCs w:val="22"/>
                <w:lang w:val="en-US" w:eastAsia="en-US" w:bidi="ar-SA"/>
                <w:rFonts w:ascii="Times New Roman" w:hAnsi="Times New Roman" w:eastAsia="Times New Roman" w:cs="Times New Roman"/>
                <w:sz w:val="24"/>
              </w:rPr>
              <w:t>56.1%</w:t>
            </w:r>
          </w:p>
        </w:tc>
        <w:tc>
          <w:tcPr>
            <w:tcW w:w="1698" w:type="dxa"/>
          </w:tcPr>
          <w:p>
            <w:pPr>
              <w:pStyle w:val="Normal"/>
            </w:pPr>
            <w:r>
              <w:rPr>
                <w:sz w:val="20"/>
                <w:szCs w:val="22"/>
                <w:lang w:val="en-US" w:eastAsia="en-US" w:bidi="ar-SA"/>
                <w:rFonts w:ascii="Times New Roman" w:hAnsi="Times New Roman" w:eastAsia="Times New Roman" w:cs="Times New Roman"/>
              </w:rPr>
              <w:t>63.3%</w:t>
            </w:r>
          </w:p>
        </w:tc>
      </w:tr>
    </w:tbl>
    <w:p>
      <w:pPr>
        <w:pStyle w:val="Normal"/>
        <w:spacing w:after="40"/>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jc w:val="center"/>
      </w:pPr>
      <w:bookmarkStart w:id="100" w:name="_Toc232024690"/>
      <w:r>
        <w:rPr>
          <w:sz w:val="24"/>
          <w:szCs w:val="22"/>
          <w:lang w:val="en-US" w:eastAsia="en-US" w:bidi="ar-SA"/>
          <w:rFonts w:ascii="Times New Roman" w:hAnsi="Times New Roman" w:eastAsia="Times New Roman" w:cs="Times New Roman"/>
          <w:i/>
          <w:b/>
        </w:rPr>
        <w:t>Figure 6.2. Return behaviour after initial dropout, by age band: 62.5% return rate in the 65–80 band.</w:t>
      </w:r>
      <w:bookmarkEnd w:id="100"/>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6.6 The Objective-Score-Improvement/Non-Return Paradox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pPr>
        <w:pStyle w:val="Normal"/>
        <w:jc w:val="both"/>
      </w:pPr>
      <w:r>
        <w:rPr>
          <w:szCs w:val="22"/>
          <w:lang w:val="en-US" w:eastAsia="en-US" w:bidi="ar-SA"/>
          <w:rFonts w:ascii="Times New Roman" w:hAnsi="Times New Roman" w:eastAsia="Times New Roman" w:cs="Times New Roman"/>
          <w:sz w:val="24"/>
        </w:rP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pPr>
        <w:pStyle w:val="Normal"/>
        <w:jc w:val="both"/>
      </w:pPr>
      <w:r>
        <w:rPr>
          <w:szCs w:val="22"/>
          <w:lang w:val="en-US" w:eastAsia="en-US" w:bidi="ar-SA"/>
          <w:rFonts w:ascii="Times New Roman" w:hAnsi="Times New Roman" w:eastAsia="Times New Roman" w:cs="Times New Roman"/>
          <w:sz w:val="24"/>
        </w:rP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jc w:val="center"/>
      </w:pPr>
      <w:bookmarkStart w:id="102" w:name="_Toc232024691"/>
      <w:r>
        <w:rPr>
          <w:sz w:val="24"/>
          <w:szCs w:val="22"/>
          <w:lang w:val="en-US" w:eastAsia="en-US" w:bidi="ar-SA"/>
          <w:rFonts w:ascii="Times New Roman" w:hAnsi="Times New Roman" w:eastAsia="Times New Roman" w:cs="Times New Roman"/>
          <w:i/>
          <w:b/>
        </w:rPr>
        <w:t>Figure 6.3. Retention versus regular-use intention by age band: the 29.3-pp commitment gap in the 65–80 band.</w:t>
      </w:r>
      <w:bookmarkEnd w:id="102"/>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6.8A The Commitment Gap Read Through Group Dynamics: An Expert Consultation</w:t>
      </w:r>
    </w:p>
    <w:p>
      <w:pPr>
        <w:pStyle w:val="Normal"/>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r>
        <w:t>Three further consultations extend the validation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an independent, practice-based statement of the attribution claim at the centre of this thesis. He further located the adopting demographic - educated, financially independent adults from roughly 65-70 upward, engaging only once a concrete benefit is identified - and judged token reward economies insufficient for that segment.</w:t>
      </w:r>
    </w:p>
    <w:p>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supporting the occupied-middle argument of Figure 8.1; games pitched too simply read as childish to older players; and, most distinctively, that higher-educated patients who are observed failing will probably stop immediately - failure witnessed is a stronger stopping trigger than failure alone, which retrospectively supports Stage 3's choice of private, unsupervised play. In a dated follow-up he played the decoupled build itself and judged it suitable for fall-risk assessment, stating he would return to it regularly were it installed - the panel's first artifact-level validation, mirroring the study's intention construct behaviourally.</w:t>
      </w:r>
    </w:p>
    <w:p>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That pair of statements is the clinical case for the framework's coaching layer, and for AI's enabling role as the affordable way to give every user a coach.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r>
        <w:rPr>
          <w:highlight w:val="yellow"/>
        </w:rPr>
        <w:t>[AUTHOR INPUT NEEDED - Dr Lau second consultation: his played-the-game feedback and the Mirror-project convergence (avatar coaching; self-awareness and self-engagement as the key mechanism) await his explicit clearance and the author's record before this paragraph is completed.]</w:t>
      </w:r>
    </w:p>
    <w:p>
      <w:r>
        <w:t>The analysis records its own limits. The verdict-attribution corroboration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Normal"/>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pPr>
      <w:r>
        <w:rPr>
          <w:szCs w:val="22"/>
          <w:lang w:val="en-US" w:eastAsia="en-US" w:bidi="ar-SA"/>
          <w:rFonts w:ascii="Times New Roman" w:hAnsi="Times New Roman" w:eastAsia="Times New Roman" w:cs="Times New Roman"/>
          <w:sz w:val="24"/>
        </w:rP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3's design choices set the scope of what it can say, and the thesis is comfortable inside that scope. It is a between-cycle, between-cohort comparison, so it speaks in strong associations rather than isolated causes. The decoupling intervention is a coordinated package delivered through a change of platform and setting — an e-mailed HTML build played unsupervised at home — which is how real deployments change frames, but which also means that platform, input device and supervision changed alongside framing. The proposed mechanisms (mental accounting, loss aversion, identity protection, stereotype threat) await their direct measures; volunteers chose to take part,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w:t>
      </w:r>
    </w:p>
    <w:p>
      <w:pPr>
        <w:pStyle w:val="Heading2"/>
      </w:pPr>
      <w:bookmarkStart w:id="104" w:name="_Toc23202459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pPr>
        <w:pStyle w:val="Heading3"/>
      </w:pPr>
      <w:bookmarkStart w:id="105" w:name="_Toc232024595"/>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pPr>
        <w:pStyle w:val="FigureCaption"/>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Model</w:t>
            </w:r>
          </w:p>
        </w:tc>
        <w:tc>
          <w:tcPr>
            <w:tcW w:w="2832" w:type="dxa"/>
          </w:tcPr>
          <w:p>
            <w:pPr>
              <w:pStyle w:val="Normal"/>
            </w:pPr>
            <w:r>
              <w:rPr>
                <w:b/>
                <w:sz w:val="28"/>
                <w:szCs w:val="26"/>
                <w:lang w:val="en-US" w:eastAsia="en-US" w:bidi="ar-SA"/>
                <w:rFonts w:ascii="Times New Roman" w:hAnsi="Times New Roman" w:eastAsia="Times New Roman" w:cs="Times New Roman"/>
              </w:rPr>
              <w:t>Predictors</w:t>
            </w:r>
          </w:p>
        </w:tc>
        <w:tc>
          <w:tcPr>
            <w:tcW w:w="2831" w:type="dxa"/>
          </w:tcPr>
          <w:p>
            <w:pPr>
              <w:pStyle w:val="Normal"/>
            </w:pPr>
            <w:r>
              <w:rPr>
                <w:b/>
                <w:sz w:val="28"/>
                <w:szCs w:val="26"/>
                <w:lang w:val="en-US" w:eastAsia="en-US" w:bidi="ar-SA"/>
                <w:rFonts w:ascii="Times New Roman" w:hAnsi="Times New Roman" w:eastAsia="Times New Roman" w:cs="Times New Roman"/>
              </w:rPr>
              <w:t>Construct represented</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M0 Demographic baseline</w:t>
            </w:r>
          </w:p>
        </w:tc>
        <w:tc>
          <w:tcPr>
            <w:tcW w:w="2832" w:type="dxa"/>
          </w:tcPr>
          <w:p>
            <w:pPr>
              <w:pStyle w:val="Normal"/>
            </w:pPr>
            <w:r>
              <w:rPr>
                <w:sz w:val="20"/>
                <w:szCs w:val="22"/>
                <w:lang w:val="en-US" w:eastAsia="en-US" w:bidi="ar-SA"/>
                <w:rFonts w:ascii="Times New Roman" w:hAnsi="Times New Roman" w:eastAsia="Times New Roman" w:cs="Times New Roman"/>
              </w:rPr>
              <w:t>Age band, sex, education, baseline FES-I, fall history</w:t>
            </w:r>
          </w:p>
        </w:tc>
        <w:tc>
          <w:tcPr>
            <w:tcW w:w="2831" w:type="dxa"/>
          </w:tcPr>
          <w:p>
            <w:pPr>
              <w:pStyle w:val="Normal"/>
            </w:pPr>
            <w:r>
              <w:rPr>
                <w:sz w:val="20"/>
                <w:szCs w:val="22"/>
                <w:lang w:val="en-US" w:eastAsia="en-US" w:bidi="ar-SA"/>
                <w:rFonts w:ascii="Times New Roman" w:hAnsi="Times New Roman" w:eastAsia="Times New Roman" w:cs="Times New Roman"/>
              </w:rPr>
              <w:t>Standard control covariates</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M1 STAM-only</w:t>
            </w:r>
          </w:p>
        </w:tc>
        <w:tc>
          <w:tcPr>
            <w:tcW w:w="2832" w:type="dxa"/>
          </w:tcPr>
          <w:p>
            <w:pPr>
              <w:pStyle w:val="Normal"/>
            </w:pPr>
            <w:r>
              <w:rPr>
                <w:sz w:val="20"/>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2831" w:type="dxa"/>
          </w:tcPr>
          <w:p>
            <w:pPr>
              <w:pStyle w:val="Normal"/>
            </w:pPr>
            <w:r>
              <w:rPr>
                <w:sz w:val="20"/>
                <w:szCs w:val="22"/>
                <w:lang w:val="en-US" w:eastAsia="en-US" w:bidi="ar-SA"/>
                <w:rFonts w:ascii="Times New Roman" w:hAnsi="Times New Roman" w:eastAsia="Times New Roman" w:cs="Times New Roman"/>
              </w:rPr>
              <w:t>Acceptance-model account of intention; predicts initial use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M2 STAM + FIAS operators</w:t>
            </w:r>
          </w:p>
        </w:tc>
        <w:tc>
          <w:tcPr>
            <w:tcW w:w="2832"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2831" w:type="dxa"/>
          </w:tcPr>
          <w:p>
            <w:pPr>
              <w:pStyle w:val="Normal"/>
            </w:pPr>
            <w:r>
              <w:rPr>
                <w:szCs w:val="22"/>
                <w:lang w:val="en-US" w:eastAsia="en-US" w:bidi="ar-SA"/>
                <w:rFonts w:ascii="Times New Roman" w:hAnsi="Times New Roman" w:eastAsia="Times New Roman" w:cs="Times New Roman"/>
                <w:sz w:val="24"/>
              </w:rPr>
              <w:t>Prospective frame-sensitive account; outcome-defining variables must be excluded from predictors and the model has not yet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Comparison M0 versus M1 tests whether the standard senior-acceptance model improves on demographics alone. Comparison M1 versus M2 tests the incremental explanatory power of the FIAS operators specifically.</w:t>
      </w:r>
    </w:p>
    <w:p>
      <w:pPr>
        <w:pStyle w:val="Heading3"/>
      </w:pPr>
      <w:bookmarkStart w:id="107" w:name="_Toc232024596"/>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pPr>
        <w:pStyle w:val="Heading3"/>
      </w:pPr>
      <w:bookmarkStart w:id="108" w:name="_Toc232024597"/>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pPr>
        <w:pStyle w:val="Heading3"/>
      </w:pPr>
      <w:bookmarkStart w:id="109" w:name="_Toc232024598"/>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pPr>
        <w:pStyle w:val="Heading3"/>
      </w:pPr>
      <w:bookmarkStart w:id="110" w:name="_Toc232024599"/>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trPr>
          <w:jc w:val="center"/>
        </w:trPr>
        <w:tc>
          <w:tcPr>
            <w:tcW w:w="3114" w:type="dxa"/>
          </w:tcPr>
          <w:p>
            <w:pPr>
              <w:pStyle w:val="Normal"/>
            </w:pPr>
            <w:r>
              <w:rPr>
                <w:b/>
                <w:sz w:val="20"/>
                <w:szCs w:val="22"/>
                <w:lang w:val="en-US" w:eastAsia="en-US" w:bidi="ar-SA"/>
                <w:rFonts w:ascii="Times New Roman" w:hAnsi="Times New Roman" w:eastAsia="Times New Roman" w:cs="Times New Roman"/>
              </w:rPr>
              <w:t>Contrast or quantity</w:t>
            </w:r>
          </w:p>
        </w:tc>
        <w:tc>
          <w:tcPr>
            <w:tcW w:w="1092" w:type="dxa"/>
          </w:tcPr>
          <w:p>
            <w:pPr>
              <w:pStyle w:val="Normal"/>
            </w:pPr>
            <w:r>
              <w:rPr>
                <w:b/>
                <w:sz w:val="20"/>
                <w:szCs w:val="22"/>
                <w:lang w:val="en-US" w:eastAsia="en-US" w:bidi="ar-SA"/>
                <w:rFonts w:ascii="Times New Roman" w:hAnsi="Times New Roman" w:eastAsia="Times New Roman" w:cs="Times New Roman"/>
              </w:rPr>
              <w:t>Estimate</w:t>
            </w:r>
          </w:p>
        </w:tc>
        <w:tc>
          <w:tcPr>
            <w:tcW w:w="1280" w:type="dxa"/>
          </w:tcPr>
          <w:p>
            <w:pPr>
              <w:pStyle w:val="Normal"/>
            </w:pPr>
            <w:r>
              <w:rPr>
                <w:b/>
                <w:sz w:val="20"/>
                <w:szCs w:val="22"/>
                <w:lang w:val="en-US" w:eastAsia="en-US" w:bidi="ar-SA"/>
                <w:rFonts w:ascii="Times New Roman" w:hAnsi="Times New Roman" w:eastAsia="Times New Roman" w:cs="Times New Roman"/>
              </w:rPr>
              <w:t>95% CI</w:t>
            </w:r>
          </w:p>
        </w:tc>
        <w:tc>
          <w:tcPr>
            <w:tcW w:w="605" w:type="dxa"/>
          </w:tcPr>
          <w:p>
            <w:pPr>
              <w:pStyle w:val="Normal"/>
            </w:pPr>
            <w:r>
              <w:rPr>
                <w:b/>
                <w:sz w:val="20"/>
                <w:szCs w:val="22"/>
                <w:lang w:val="en-US" w:eastAsia="en-US" w:bidi="ar-SA"/>
                <w:rFonts w:ascii="Times New Roman" w:hAnsi="Times New Roman" w:eastAsia="Times New Roman" w:cs="Times New Roman"/>
              </w:rPr>
              <w:t>n</w:t>
            </w:r>
          </w:p>
        </w:tc>
        <w:tc>
          <w:tcPr>
            <w:tcW w:w="2090" w:type="dxa"/>
          </w:tcPr>
          <w:p>
            <w:pPr>
              <w:pStyle w:val="Normal"/>
            </w:pPr>
            <w:r>
              <w:rPr>
                <w:b/>
                <w:sz w:val="20"/>
                <w:szCs w:val="22"/>
                <w:lang w:val="en-US" w:eastAsia="en-US" w:bidi="ar-SA"/>
                <w:rFonts w:ascii="Times New Roman" w:hAnsi="Times New Roman" w:eastAsia="Times New Roman" w:cs="Times New Roman"/>
              </w:rPr>
              <w:t>Test / source</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092" w:type="dxa"/>
          </w:tcPr>
          <w:p>
            <w:pPr>
              <w:pStyle w:val="Normal"/>
            </w:pPr>
            <w:r>
              <w:rPr>
                <w:szCs w:val="22"/>
                <w:lang w:val="en-US" w:eastAsia="en-US" w:bidi="ar-SA"/>
                <w:rFonts w:ascii="Times New Roman" w:hAnsi="Times New Roman" w:eastAsia="Times New Roman" w:cs="Times New Roman"/>
                <w:sz w:val="24"/>
              </w:rPr>
              <w:t>70.0%</w:t>
            </w:r>
          </w:p>
        </w:tc>
        <w:tc>
          <w:tcPr>
            <w:tcW w:w="1280" w:type="dxa"/>
          </w:tcPr>
          <w:p>
            <w:pPr>
              <w:pStyle w:val="Normal"/>
            </w:pPr>
            <w:r>
              <w:rPr>
                <w:szCs w:val="22"/>
                <w:lang w:val="en-US" w:eastAsia="en-US" w:bidi="ar-SA"/>
                <w:rFonts w:ascii="Times New Roman" w:hAnsi="Times New Roman" w:eastAsia="Times New Roman" w:cs="Times New Roman"/>
                <w:sz w:val="24"/>
              </w:rPr>
              <w:t>52.1–83.3%*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092"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280" w:type="dxa"/>
          </w:tcPr>
          <w:p>
            <w:pPr>
              <w:pStyle w:val="Normal"/>
            </w:pPr>
            <w:r>
              <w:rPr>
                <w:szCs w:val="22"/>
                <w:lang w:val="en-US" w:eastAsia="en-US" w:bidi="ar-SA"/>
                <w:rFonts w:ascii="Times New Roman" w:hAnsi="Times New Roman" w:eastAsia="Times New Roman" w:cs="Times New Roman"/>
                <w:sz w:val="24"/>
              </w:rPr>
              <w:t>dz 0.95–3.46; mean 4.5–9.3</w:t>
            </w:r>
          </w:p>
        </w:tc>
        <w:tc>
          <w:tcPr>
            <w:tcW w:w="605" w:type="dxa"/>
          </w:tcPr>
          <w:p>
            <w:pPr>
              <w:pStyle w:val="Normal"/>
            </w:pPr>
            <w:r>
              <w:rPr>
                <w:szCs w:val="22"/>
                <w:lang w:val="en-US" w:eastAsia="en-US" w:bidi="ar-SA"/>
                <w:rFonts w:ascii="Times New Roman" w:hAnsi="Times New Roman" w:eastAsia="Times New Roman" w:cs="Times New Roman"/>
                <w:sz w:val="24"/>
              </w:rPr>
              <w:t>9</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092" w:type="dxa"/>
          </w:tcPr>
          <w:p>
            <w:pPr>
              <w:pStyle w:val="Normal"/>
            </w:pPr>
            <w:r>
              <w:rPr>
                <w:szCs w:val="22"/>
                <w:lang w:val="en-US" w:eastAsia="en-US" w:bidi="ar-SA"/>
                <w:rFonts w:ascii="Times New Roman" w:hAnsi="Times New Roman" w:eastAsia="Times New Roman" w:cs="Times New Roman"/>
                <w:sz w:val="24"/>
              </w:rPr>
              <w:t>dz = 0.42; mean +4.0 points</w:t>
            </w:r>
          </w:p>
        </w:tc>
        <w:tc>
          <w:tcPr>
            <w:tcW w:w="1280" w:type="dxa"/>
          </w:tcPr>
          <w:p>
            <w:pPr>
              <w:pStyle w:val="Normal"/>
            </w:pPr>
            <w:r>
              <w:rPr>
                <w:szCs w:val="22"/>
                <w:lang w:val="en-US" w:eastAsia="en-US" w:bidi="ar-SA"/>
                <w:rFonts w:ascii="Times New Roman" w:hAnsi="Times New Roman" w:eastAsia="Times New Roman" w:cs="Times New Roman"/>
                <w:sz w:val="24"/>
              </w:rPr>
              <w:t>dz 0.05–0.79; mean 0.5–7.6</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092" w:type="dxa"/>
          </w:tcPr>
          <w:p>
            <w:pPr>
              <w:pStyle w:val="Normal"/>
            </w:pPr>
            <w:r>
              <w:rPr>
                <w:szCs w:val="22"/>
                <w:lang w:val="en-US" w:eastAsia="en-US" w:bidi="ar-SA"/>
                <w:rFonts w:ascii="Times New Roman" w:hAnsi="Times New Roman" w:eastAsia="Times New Roman" w:cs="Times New Roman"/>
                <w:sz w:val="24"/>
              </w:rPr>
              <w:t>9/9 vs 11/21 satisfied</w:t>
            </w:r>
          </w:p>
        </w:tc>
        <w:tc>
          <w:tcPr>
            <w:tcW w:w="1280" w:type="dxa"/>
          </w:tcPr>
          <w:p>
            <w:pPr>
              <w:pStyle w:val="Normal"/>
            </w:pPr>
            <w:r>
              <w:rPr>
                <w:szCs w:val="22"/>
                <w:lang w:val="en-US" w:eastAsia="en-US" w:bidi="ar-SA"/>
                <w:rFonts w:ascii="Times New Roman" w:hAnsi="Times New Roman" w:eastAsia="Times New Roman" w:cs="Times New Roman"/>
                <w:sz w:val="24"/>
              </w:rPr>
              <w:t>p = 0.013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Fisher's exact test; §5.5</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092" w:type="dxa"/>
          </w:tcPr>
          <w:p>
            <w:pPr>
              <w:pStyle w:val="Normal"/>
            </w:pPr>
            <w:r>
              <w:rPr>
                <w:sz w:val="24"/>
                <w:szCs w:val="22"/>
                <w:lang w:val="en-US" w:eastAsia="en-US" w:bidi="ar-SA"/>
                <w:rFonts w:ascii="Times New Roman" w:hAnsi="Times New Roman" w:eastAsia="Times New Roman" w:cs="Times New Roman"/>
                <w:b/>
              </w:rPr>
              <w:t>0.0%</w:t>
            </w:r>
          </w:p>
        </w:tc>
        <w:tc>
          <w:tcPr>
            <w:tcW w:w="1280" w:type="dxa"/>
          </w:tcPr>
          <w:p>
            <w:pPr>
              <w:pStyle w:val="Normal"/>
            </w:pPr>
            <w:r>
              <w:rPr>
                <w:sz w:val="24"/>
                <w:szCs w:val="22"/>
                <w:lang w:val="en-US" w:eastAsia="en-US" w:bidi="ar-SA"/>
                <w:rFonts w:ascii="Times New Roman" w:hAnsi="Times New Roman" w:eastAsia="Times New Roman" w:cs="Times New Roman"/>
                <w:b/>
              </w:rPr>
              <w:t>0.0–15.5%*</w:t>
            </w:r>
          </w:p>
        </w:tc>
        <w:tc>
          <w:tcPr>
            <w:tcW w:w="605" w:type="dxa"/>
          </w:tcPr>
          <w:p>
            <w:pPr>
              <w:pStyle w:val="Normal"/>
            </w:pPr>
            <w:r>
              <w:rPr>
                <w:sz w:val="24"/>
                <w:szCs w:val="22"/>
                <w:lang w:val="en-US" w:eastAsia="en-US" w:bidi="ar-SA"/>
                <w:rFonts w:ascii="Times New Roman" w:hAnsi="Times New Roman" w:eastAsia="Times New Roman" w:cs="Times New Roman"/>
                <w:b/>
              </w:rPr>
              <w:t>21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092" w:type="dxa"/>
          </w:tcPr>
          <w:p>
            <w:pPr>
              <w:pStyle w:val="Normal"/>
            </w:pPr>
            <w:r>
              <w:rPr>
                <w:sz w:val="24"/>
                <w:szCs w:val="22"/>
                <w:lang w:val="en-US" w:eastAsia="en-US" w:bidi="ar-SA"/>
                <w:rFonts w:ascii="Times New Roman" w:hAnsi="Times New Roman" w:eastAsia="Times New Roman" w:cs="Times New Roman"/>
                <w:b/>
              </w:rPr>
              <w:t>65.2%</w:t>
            </w:r>
          </w:p>
        </w:tc>
        <w:tc>
          <w:tcPr>
            <w:tcW w:w="1280" w:type="dxa"/>
          </w:tcPr>
          <w:p>
            <w:pPr>
              <w:pStyle w:val="Normal"/>
            </w:pPr>
            <w:r>
              <w:rPr>
                <w:sz w:val="24"/>
                <w:szCs w:val="22"/>
                <w:lang w:val="en-US" w:eastAsia="en-US" w:bidi="ar-SA"/>
                <w:rFonts w:ascii="Times New Roman" w:hAnsi="Times New Roman" w:eastAsia="Times New Roman" w:cs="Times New Roman"/>
                <w:b/>
              </w:rPr>
              <w:t>44.9–81.2%*</w:t>
            </w:r>
          </w:p>
        </w:tc>
        <w:tc>
          <w:tcPr>
            <w:tcW w:w="605" w:type="dxa"/>
          </w:tcPr>
          <w:p>
            <w:pPr>
              <w:pStyle w:val="Normal"/>
            </w:pPr>
            <w:r>
              <w:rPr>
                <w:sz w:val="24"/>
                <w:szCs w:val="22"/>
                <w:lang w:val="en-US" w:eastAsia="en-US" w:bidi="ar-SA"/>
                <w:rFonts w:ascii="Times New Roman" w:hAnsi="Times New Roman" w:eastAsia="Times New Roman" w:cs="Times New Roman"/>
                <w:b/>
              </w:rPr>
              <w:t>23</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092" w:type="dxa"/>
          </w:tcPr>
          <w:p>
            <w:pPr>
              <w:pStyle w:val="Normal"/>
            </w:pPr>
            <w:r>
              <w:rPr>
                <w:sz w:val="24"/>
                <w:szCs w:val="22"/>
                <w:lang w:val="en-US" w:eastAsia="en-US" w:bidi="ar-SA"/>
                <w:rFonts w:ascii="Times New Roman" w:hAnsi="Times New Roman" w:eastAsia="Times New Roman" w:cs="Times New Roman"/>
                <w:b/>
              </w:rPr>
              <w:t>62.5%</w:t>
            </w:r>
          </w:p>
        </w:tc>
        <w:tc>
          <w:tcPr>
            <w:tcW w:w="1280" w:type="dxa"/>
          </w:tcPr>
          <w:p>
            <w:pPr>
              <w:pStyle w:val="Normal"/>
            </w:pPr>
            <w:r>
              <w:rPr>
                <w:sz w:val="24"/>
                <w:szCs w:val="22"/>
                <w:lang w:val="en-US" w:eastAsia="en-US" w:bidi="ar-SA"/>
                <w:rFonts w:ascii="Times New Roman" w:hAnsi="Times New Roman" w:eastAsia="Times New Roman" w:cs="Times New Roman"/>
                <w:b/>
              </w:rPr>
              <w:t>38.6–81.5%*</w:t>
            </w:r>
          </w:p>
        </w:tc>
        <w:tc>
          <w:tcPr>
            <w:tcW w:w="605" w:type="dxa"/>
          </w:tcPr>
          <w:p>
            <w:pPr>
              <w:pStyle w:val="Normal"/>
            </w:pPr>
            <w:r>
              <w:rPr>
                <w:sz w:val="24"/>
                <w:szCs w:val="22"/>
                <w:lang w:val="en-US" w:eastAsia="en-US" w:bidi="ar-SA"/>
                <w:rFonts w:ascii="Times New Roman" w:hAnsi="Times New Roman" w:eastAsia="Times New Roman" w:cs="Times New Roman"/>
                <w:b/>
              </w:rPr>
              <w:t>16</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092" w:type="dxa"/>
          </w:tcPr>
          <w:p>
            <w:pPr>
              <w:pStyle w:val="Normal"/>
            </w:pPr>
            <w:r>
              <w:rPr>
                <w:szCs w:val="22"/>
                <w:lang w:val="en-US" w:eastAsia="en-US" w:bidi="ar-SA"/>
                <w:rFonts w:ascii="Times New Roman" w:hAnsi="Times New Roman" w:eastAsia="Times New Roman" w:cs="Times New Roman"/>
                <w:sz w:val="24"/>
              </w:rPr>
              <w:t>14.6%</w:t>
            </w:r>
          </w:p>
        </w:tc>
        <w:tc>
          <w:tcPr>
            <w:tcW w:w="1280" w:type="dxa"/>
          </w:tcPr>
          <w:p>
            <w:pPr>
              <w:pStyle w:val="Normal"/>
            </w:pPr>
            <w:r>
              <w:rPr>
                <w:szCs w:val="22"/>
                <w:lang w:val="en-US" w:eastAsia="en-US" w:bidi="ar-SA"/>
                <w:rFonts w:ascii="Times New Roman" w:hAnsi="Times New Roman" w:eastAsia="Times New Roman" w:cs="Times New Roman"/>
                <w:sz w:val="24"/>
              </w:rPr>
              <w:t>6.9–28.4%*</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092" w:type="dxa"/>
          </w:tcPr>
          <w:p>
            <w:pPr>
              <w:pStyle w:val="Normal"/>
            </w:pPr>
            <w:r>
              <w:rPr>
                <w:sz w:val="24"/>
                <w:szCs w:val="22"/>
                <w:lang w:val="en-US" w:eastAsia="en-US" w:bidi="ar-SA"/>
                <w:rFonts w:ascii="Times New Roman" w:hAnsi="Times New Roman" w:eastAsia="Times New Roman" w:cs="Times New Roman"/>
                <w:b/>
              </w:rPr>
              <w:t>71.7%</w:t>
            </w:r>
          </w:p>
        </w:tc>
        <w:tc>
          <w:tcPr>
            <w:tcW w:w="1280" w:type="dxa"/>
          </w:tcPr>
          <w:p>
            <w:pPr>
              <w:pStyle w:val="Normal"/>
            </w:pPr>
            <w:r>
              <w:rPr>
                <w:sz w:val="24"/>
                <w:szCs w:val="22"/>
                <w:lang w:val="en-US" w:eastAsia="en-US" w:bidi="ar-SA"/>
                <w:rFonts w:ascii="Times New Roman" w:hAnsi="Times New Roman" w:eastAsia="Times New Roman" w:cs="Times New Roman"/>
                <w:b/>
              </w:rPr>
              <w:t>63.0–79.0%*</w:t>
            </w:r>
          </w:p>
        </w:tc>
        <w:tc>
          <w:tcPr>
            <w:tcW w:w="605" w:type="dxa"/>
          </w:tcPr>
          <w:p>
            <w:pPr>
              <w:pStyle w:val="Normal"/>
            </w:pPr>
            <w:r>
              <w:rPr>
                <w:sz w:val="24"/>
                <w:szCs w:val="22"/>
                <w:lang w:val="en-US" w:eastAsia="en-US" w:bidi="ar-SA"/>
                <w:rFonts w:ascii="Times New Roman" w:hAnsi="Times New Roman" w:eastAsia="Times New Roman" w:cs="Times New Roman"/>
                <w:b/>
              </w:rPr>
              <w:t>120</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092" w:type="dxa"/>
          </w:tcPr>
          <w:p>
            <w:pPr>
              <w:pStyle w:val="Normal"/>
            </w:pPr>
            <w:r>
              <w:rPr>
                <w:szCs w:val="22"/>
                <w:lang w:val="en-US" w:eastAsia="en-US" w:bidi="ar-SA"/>
                <w:rFonts w:ascii="Times New Roman" w:hAnsi="Times New Roman" w:eastAsia="Times New Roman" w:cs="Times New Roman"/>
                <w:sz w:val="24"/>
              </w:rPr>
              <w:t>56.1%</w:t>
            </w:r>
          </w:p>
        </w:tc>
        <w:tc>
          <w:tcPr>
            <w:tcW w:w="1280" w:type="dxa"/>
          </w:tcPr>
          <w:p>
            <w:pPr>
              <w:pStyle w:val="Normal"/>
            </w:pPr>
            <w:r>
              <w:rPr>
                <w:szCs w:val="22"/>
                <w:lang w:val="en-US" w:eastAsia="en-US" w:bidi="ar-SA"/>
                <w:rFonts w:ascii="Times New Roman" w:hAnsi="Times New Roman" w:eastAsia="Times New Roman" w:cs="Times New Roman"/>
                <w:sz w:val="24"/>
              </w:rPr>
              <w:t>41.0–70.1%*</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092" w:type="dxa"/>
          </w:tcPr>
          <w:p>
            <w:pPr>
              <w:pStyle w:val="Normal"/>
            </w:pPr>
            <w:r>
              <w:rPr>
                <w:szCs w:val="22"/>
                <w:lang w:val="en-US" w:eastAsia="en-US" w:bidi="ar-SA"/>
                <w:rFonts w:ascii="Times New Roman" w:hAnsi="Times New Roman" w:eastAsia="Times New Roman" w:cs="Times New Roman"/>
                <w:sz w:val="24"/>
              </w:rPr>
              <w:t>29.3 pp</w:t>
            </w:r>
          </w:p>
        </w:tc>
        <w:tc>
          <w:tcPr>
            <w:tcW w:w="1280" w:type="dxa"/>
          </w:tcPr>
          <w:p>
            <w:pPr>
              <w:pStyle w:val="Normal"/>
            </w:pPr>
            <w:r>
              <w:rPr>
                <w:sz w:val="24"/>
                <w:szCs w:val="22"/>
                <w:lang w:val="en-US" w:eastAsia="en-US" w:bidi="ar-SA"/>
                <w:rFonts w:ascii="Times New Roman" w:hAnsi="Times New Roman" w:eastAsia="Times New Roman" w:cs="Times New Roman"/>
                <w:b/>
              </w:rPr>
              <w:t>see note</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Cs w:val="22"/>
                <w:lang w:val="en-US" w:eastAsia="en-US" w:bidi="ar-SA"/>
                <w:rFonts w:ascii="Times New Roman" w:hAnsi="Times New Roman" w:eastAsia="Times New Roman" w:cs="Times New Roman"/>
                <w:sz w:val="24"/>
              </w:rPr>
              <w:t>Difference between distinct outcomes (85.4%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pPr>
        <w:pStyle w:val="Normal"/>
        <w:spacing w:after="20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7 Discussion: Adaptive Learning as the Behavioural-Change Driver</w:t>
      </w:r>
      <w:bookmarkEnd w:id="111"/>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7.1 Why the Empirical Programme Forces Adaptive Learning</w:t>
      </w:r>
    </w:p>
    <w:p>
      <w:pPr>
        <w:pStyle w:val="Normal"/>
        <w:jc w:val="both"/>
      </w:pPr>
      <w:r>
        <w:rPr>
          <w:szCs w:val="22"/>
          <w:lang w:val="en-US" w:eastAsia="en-US" w:bidi="ar-SA"/>
          <w:rFonts w:ascii="Times New Roman" w:hAnsi="Times New Roman" w:eastAsia="Times New Roman" w:cs="Times New Roman"/>
          <w:sz w:val="24"/>
        </w:rP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pPr>
        <w:pStyle w:val="Normal"/>
        <w:jc w:val="both"/>
      </w:pPr>
      <w:r>
        <w:rPr>
          <w:szCs w:val="22"/>
          <w:lang w:val="en-US" w:eastAsia="en-US" w:bidi="ar-SA"/>
          <w:rFonts w:ascii="Times New Roman" w:hAnsi="Times New Roman" w:eastAsia="Times New Roman" w:cs="Times New Roman"/>
          <w:sz w:val="24"/>
        </w:rP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pPr>
        <w:pStyle w:val="Heading2"/>
      </w:pPr>
      <w:bookmarkStart w:id="112" w:name="_Toc23202460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pPr>
        <w:pStyle w:val="Normal"/>
        <w:jc w:val="both"/>
      </w:pPr>
      <w:r>
        <w:rPr>
          <w:szCs w:val="22"/>
          <w:lang w:val="en-US" w:eastAsia="en-US" w:bidi="ar-SA"/>
          <w:rFonts w:ascii="Times New Roman" w:hAnsi="Times New Roman" w:eastAsia="Times New Roman" w:cs="Times New Roman"/>
          <w:sz w:val="24"/>
        </w:rP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7.4 Formalising the Discovery: The Adaptive-Learning Framework</w:t>
      </w:r>
      <w:bookmarkEnd w:id="113"/>
    </w:p>
    <w:p>
      <w:pPr>
        <w:pStyle w:val="Normal"/>
        <w:jc w:val="both"/>
      </w:pPr>
      <w:r>
        <w:rPr>
          <w:szCs w:val="22"/>
          <w:lang w:val="en-US" w:eastAsia="en-US" w:bidi="ar-SA"/>
          <w:rFonts w:ascii="Times New Roman" w:hAnsi="Times New Roman" w:eastAsia="Times New Roman" w:cs="Times New Roman"/>
          <w:sz w:val="24"/>
        </w:rP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pPr>
        <w:pStyle w:val="Normal"/>
      </w:pPr>
      <w:r>
        <w:rPr>
          <w:szCs w:val="22"/>
          <w:lang w:val="en-US" w:eastAsia="en-US" w:bidi="ar-SA"/>
          <w:rFonts w:ascii="Times New Roman" w:hAnsi="Times New Roman" w:eastAsia="Times New Roman" w:cs="Times New Roman"/>
          <w:sz w:val="24"/>
        </w:rP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pPr>
        <w:pStyle w:val="FigureCaption"/>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trPr>
          <w:jc w:val="center"/>
        </w:trPr>
        <w:tc>
          <w:tcPr>
            <w:tcW w:w="2833" w:type="dxa"/>
          </w:tcPr>
          <w:p>
            <w:pPr>
              <w:pStyle w:val="Normal"/>
            </w:pPr>
            <w:r>
              <w:rPr>
                <w:b/>
                <w:sz w:val="20"/>
                <w:szCs w:val="22"/>
                <w:lang w:val="en-US" w:eastAsia="en-US" w:bidi="ar-SA"/>
                <w:rFonts w:ascii="Times New Roman" w:hAnsi="Times New Roman" w:eastAsia="Times New Roman" w:cs="Times New Roman"/>
              </w:rPr>
              <w:t>Principle</w:t>
            </w:r>
          </w:p>
        </w:tc>
        <w:tc>
          <w:tcPr>
            <w:tcW w:w="2831" w:type="dxa"/>
          </w:tcPr>
          <w:p>
            <w:pPr>
              <w:pStyle w:val="Normal"/>
            </w:pPr>
            <w:r>
              <w:rPr>
                <w:b/>
                <w:sz w:val="20"/>
                <w:szCs w:val="22"/>
                <w:lang w:val="en-US" w:eastAsia="en-US" w:bidi="ar-SA"/>
                <w:rFonts w:ascii="Times New Roman" w:hAnsi="Times New Roman" w:eastAsia="Times New Roman" w:cs="Times New Roman"/>
              </w:rPr>
              <w:t>What it does</w:t>
            </w:r>
          </w:p>
        </w:tc>
        <w:tc>
          <w:tcPr>
            <w:tcW w:w="2831" w:type="dxa"/>
          </w:tcPr>
          <w:p>
            <w:pPr>
              <w:pStyle w:val="Normal"/>
            </w:pPr>
            <w:r>
              <w:rPr>
                <w:b/>
                <w:sz w:val="20"/>
                <w:szCs w:val="22"/>
                <w:lang w:val="en-US" w:eastAsia="en-US" w:bidi="ar-SA"/>
                <w:rFonts w:ascii="Times New Roman" w:hAnsi="Times New Roman" w:eastAsia="Times New Roman" w:cs="Times New Roman"/>
              </w:rPr>
              <w:t>Empirical anchor</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P1 Identity Disentanglement</w:t>
            </w:r>
          </w:p>
        </w:tc>
        <w:tc>
          <w:tcPr>
            <w:tcW w:w="2831" w:type="dxa"/>
          </w:tcPr>
          <w:p>
            <w:pPr>
              <w:pStyle w:val="Normal"/>
            </w:pPr>
            <w:r>
              <w:rPr>
                <w:sz w:val="20"/>
                <w:szCs w:val="22"/>
                <w:lang w:val="en-US" w:eastAsia="en-US" w:bidi="ar-SA"/>
                <w:rFonts w:ascii="Times New Roman" w:hAnsi="Times New Roman" w:eastAsia="Times New Roman" w:cs="Times New Roman"/>
              </w:rPr>
              <w:t>Removes the cue that sorts the activity into the user's health account</w:t>
            </w:r>
          </w:p>
        </w:tc>
        <w:tc>
          <w:tcPr>
            <w:tcW w:w="2831" w:type="dxa"/>
          </w:tcPr>
          <w:p>
            <w:pPr>
              <w:pStyle w:val="Normal"/>
            </w:pPr>
            <w:r>
              <w:rPr>
                <w:szCs w:val="22"/>
                <w:lang w:val="en-US" w:eastAsia="en-US" w:bidi="ar-SA"/>
                <w:rFonts w:ascii="Times New Roman" w:hAnsi="Times New Roman" w:eastAsia="Times New Roman" w:cs="Times New Roman"/>
                <w:sz w:val="24"/>
              </w:rPr>
              <w:t>Motivated by higher post-failure return in the separate Stage-3 decoupled cohort</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P2 Trajectory Installation</w:t>
            </w:r>
          </w:p>
        </w:tc>
        <w:tc>
          <w:tcPr>
            <w:tcW w:w="2831" w:type="dxa"/>
          </w:tcPr>
          <w:p>
            <w:pPr>
              <w:pStyle w:val="Normal"/>
            </w:pPr>
            <w:r>
              <w:rPr>
                <w:sz w:val="20"/>
                <w:szCs w:val="22"/>
                <w:lang w:val="en-US" w:eastAsia="en-US" w:bidi="ar-SA"/>
                <w:rFonts w:ascii="Times New Roman" w:hAnsi="Times New Roman" w:eastAsia="Times New Roman" w:cs="Times New Roman"/>
              </w:rPr>
              <w:t>Makes a dynamic self-concept trajectory the reference point against which performance is read</w:t>
            </w:r>
          </w:p>
        </w:tc>
        <w:tc>
          <w:tcPr>
            <w:tcW w:w="2831"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causal mechanism untested</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P3 Adaptive Calibration</w:t>
            </w:r>
          </w:p>
        </w:tc>
        <w:tc>
          <w:tcPr>
            <w:tcW w:w="2831" w:type="dxa"/>
          </w:tcPr>
          <w:p>
            <w:pPr>
              <w:pStyle w:val="Normal"/>
            </w:pPr>
            <w:r>
              <w:rPr>
                <w:sz w:val="20"/>
                <w:szCs w:val="22"/>
                <w:lang w:val="en-US" w:eastAsia="en-US" w:bidi="ar-SA"/>
                <w:rFonts w:ascii="Times New Roman" w:hAnsi="Times New Roman" w:eastAsia="Times New Roman" w:cs="Times New Roman"/>
              </w:rPr>
              <w:t>Continuously matches challenge, feedback affect and pacing to the user's position</w:t>
            </w:r>
          </w:p>
        </w:tc>
        <w:tc>
          <w:tcPr>
            <w:tcW w:w="2831"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 Prototype Stack: Engineering-Actionable Implementation</w:t>
      </w:r>
      <w:bookmarkEnd w:id="115"/>
    </w:p>
    <w:p>
      <w:pPr>
        <w:pStyle w:val="Normal"/>
        <w:jc w:val="both"/>
      </w:pPr>
      <w:r>
        <w:rPr>
          <w:szCs w:val="22"/>
          <w:lang w:val="en-US" w:eastAsia="en-US" w:bidi="ar-SA"/>
          <w:rFonts w:ascii="Times New Roman" w:hAnsi="Times New Roman" w:eastAsia="Times New Roman" w:cs="Times New Roman"/>
          <w:sz w:val="24"/>
        </w:rP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pPr>
        <w:pStyle w:val="Heading3"/>
      </w:pPr>
      <w:bookmarkStart w:id="116" w:name="_Toc23202460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7.5.1 Reference Stack</w:t>
      </w:r>
      <w:bookmarkEnd w:id="116"/>
    </w:p>
    <w:p>
      <w:pPr>
        <w:pStyle w:val="FigureCaption"/>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0"/>
              </w:rPr>
              <w:t>Layer</w:t>
            </w:r>
          </w:p>
        </w:tc>
        <w:tc>
          <w:tcPr>
            <w:tcW w:w="3118" w:type="dxa"/>
          </w:tcPr>
          <w:p>
            <w:pPr>
              <w:pStyle w:val="Normal"/>
            </w:pPr>
            <w:r>
              <w:rPr>
                <w:b/>
                <w:sz w:val="20"/>
                <w:szCs w:val="22"/>
                <w:lang w:val="en-US" w:eastAsia="en-US" w:bidi="ar-SA"/>
                <w:rFonts w:ascii="Times New Roman" w:hAnsi="Times New Roman" w:eastAsia="Times New Roman" w:cs="Times New Roman"/>
              </w:rPr>
              <w:t>Component</w:t>
            </w:r>
          </w:p>
        </w:tc>
        <w:tc>
          <w:tcPr>
            <w:tcW w:w="1700" w:type="dxa"/>
          </w:tcPr>
          <w:p>
            <w:pPr>
              <w:pStyle w:val="Normal"/>
            </w:pPr>
            <w:r>
              <w:rPr>
                <w:b/>
                <w:sz w:val="20"/>
                <w:szCs w:val="22"/>
                <w:lang w:val="en-US" w:eastAsia="en-US" w:bidi="ar-SA"/>
                <w:rFonts w:ascii="Times New Roman" w:hAnsi="Times New Roman" w:eastAsia="Times New Roman" w:cs="Times New Roman"/>
              </w:rPr>
              <w:t>The adaptive-learning framework principle served</w:t>
            </w:r>
          </w:p>
        </w:tc>
        <w:tc>
          <w:tcPr>
            <w:tcW w:w="2126" w:type="dxa"/>
          </w:tcPr>
          <w:p>
            <w:pPr>
              <w:pStyle w:val="Normal"/>
            </w:pPr>
            <w:r>
              <w:rPr>
                <w:b/>
                <w:sz w:val="20"/>
                <w:szCs w:val="22"/>
                <w:lang w:val="en-US" w:eastAsia="en-US" w:bidi="ar-SA"/>
                <w:rFonts w:ascii="Times New Roman" w:hAnsi="Times New Roman" w:eastAsia="Times New Roman" w:cs="Times New Roman"/>
              </w:rPr>
              <w:t>Implementation note</w:t>
            </w:r>
          </w:p>
        </w:tc>
      </w:tr>
      <w:tr w:rsidR="0062437E" w14:paraId="15D407AF"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L0 Sensor</w:t>
            </w:r>
          </w:p>
        </w:tc>
        <w:tc>
          <w:tcPr>
            <w:tcW w:w="3118" w:type="dxa"/>
          </w:tcPr>
          <w:p>
            <w:pPr>
              <w:pStyle w:val="Normal"/>
            </w:pPr>
            <w:r>
              <w:rPr>
                <w:sz w:val="20"/>
                <w:szCs w:val="22"/>
                <w:lang w:val="en-US" w:eastAsia="en-US" w:bidi="ar-SA"/>
                <w:rFonts w:ascii="Times New Roman" w:hAnsi="Times New Roman" w:eastAsia="Times New Roman" w:cs="Times New Roman"/>
              </w:rPr>
              <w:t>InBody pressure panel; same hardware as Stage 2 and 3</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Existing capital; no replacement cost</w:t>
            </w:r>
          </w:p>
        </w:tc>
      </w:tr>
      <w:tr w:rsidR="0062437E" w14:paraId="4A27D47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L1 Game Engine</w:t>
            </w:r>
          </w:p>
        </w:tc>
        <w:tc>
          <w:tcPr>
            <w:tcW w:w="3118" w:type="dxa"/>
          </w:tcPr>
          <w:p>
            <w:pPr>
              <w:pStyle w:val="Normal"/>
            </w:pPr>
            <w:r>
              <w:rPr>
                <w:sz w:val="20"/>
                <w:szCs w:val="22"/>
                <w:lang w:val="en-US" w:eastAsia="en-US" w:bidi="ar-SA"/>
                <w:rFonts w:ascii="Times New Roman" w:hAnsi="Times New Roman" w:eastAsia="Times New Roman" w:cs="Times New Roman"/>
              </w:rPr>
              <w:t>Pygame skiing task generated through Anthropic Claude Code</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Prompt-driven regeneration; clinician-editable difficulty curves</w:t>
            </w:r>
          </w:p>
        </w:tc>
      </w:tr>
      <w:tr w:rsidR="0062437E" w14:paraId="6EA12EA5"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L2 AI Adaptation</w:t>
            </w:r>
          </w:p>
        </w:tc>
        <w:tc>
          <w:tcPr>
            <w:tcW w:w="3118" w:type="dxa"/>
          </w:tcPr>
          <w:p>
            <w:pPr>
              <w:pStyle w:val="Normal"/>
            </w:pPr>
            <w:r>
              <w:rPr>
                <w:sz w:val="20"/>
                <w:szCs w:val="22"/>
                <w:lang w:val="en-US" w:eastAsia="en-US" w:bidi="ar-SA"/>
                <w:rFonts w:ascii="Times New Roman" w:hAnsi="Times New Roman" w:eastAsia="Times New Roman" w:cs="Times New Roman"/>
              </w:rPr>
              <w:t>Claude API + LangChain runtime; obstacle density, speed, feedback affect</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Extended from difficulty-only to feedback-affect adaptation</w:t>
            </w:r>
          </w:p>
        </w:tc>
      </w:tr>
      <w:tr w:rsidR="0062437E" w14:paraId="09D406A7"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L3 Logging</w:t>
            </w:r>
          </w:p>
        </w:tc>
        <w:tc>
          <w:tcPr>
            <w:tcW w:w="3118" w:type="dxa"/>
          </w:tcPr>
          <w:p>
            <w:pPr>
              <w:pStyle w:val="Normal"/>
            </w:pPr>
            <w:r>
              <w:rPr>
                <w:sz w:val="20"/>
                <w:szCs w:val="22"/>
                <w:lang w:val="en-US" w:eastAsia="en-US" w:bidi="ar-SA"/>
                <w:rFonts w:ascii="Times New Roman" w:hAnsi="Times New Roman" w:eastAsia="Times New Roman" w:cs="Times New Roman"/>
              </w:rPr>
              <w:t>Cycle counts, COP traces, session affect, dropout flags</w:t>
            </w:r>
          </w:p>
        </w:tc>
        <w:tc>
          <w:tcPr>
            <w:tcW w:w="1700" w:type="dxa"/>
          </w:tcPr>
          <w:p>
            <w:pPr>
              <w:pStyle w:val="Normal"/>
            </w:pPr>
            <w:r>
              <w:rPr>
                <w:sz w:val="20"/>
                <w:szCs w:val="22"/>
                <w:lang w:val="en-US" w:eastAsia="en-US" w:bidi="ar-SA"/>
                <w:rFonts w:ascii="Times New Roman" w:hAnsi="Times New Roman" w:eastAsia="Times New Roman" w:cs="Times New Roman"/>
              </w:rPr>
              <w:t>P2/P3</w:t>
            </w:r>
          </w:p>
        </w:tc>
        <w:tc>
          <w:tcPr>
            <w:tcW w:w="2126" w:type="dxa"/>
          </w:tcPr>
          <w:p>
            <w:pPr>
              <w:pStyle w:val="Normal"/>
            </w:pPr>
            <w:r>
              <w:rPr>
                <w:sz w:val="20"/>
                <w:szCs w:val="22"/>
                <w:lang w:val="en-US" w:eastAsia="en-US" w:bidi="ar-SA"/>
                <w:rFonts w:ascii="Times New Roman" w:hAnsi="Times New Roman" w:eastAsia="Times New Roman" w:cs="Times New Roman"/>
              </w:rPr>
              <w:t>Existing</w:t>
            </w:r>
          </w:p>
        </w:tc>
      </w:tr>
      <w:tr w:rsidR="0062437E" w14:paraId="559E62E6"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L4 Clinical Output</w:t>
            </w:r>
          </w:p>
        </w:tc>
        <w:tc>
          <w:tcPr>
            <w:tcW w:w="3118" w:type="dxa"/>
          </w:tcPr>
          <w:p>
            <w:pPr>
              <w:pStyle w:val="Normal"/>
            </w:pPr>
            <w:r>
              <w:rPr>
                <w:sz w:val="20"/>
                <w:szCs w:val="22"/>
                <w:lang w:val="en-US" w:eastAsia="en-US" w:bidi="ar-SA"/>
                <w:rFonts w:ascii="Times New Roman" w:hAnsi="Times New Roman" w:eastAsia="Times New Roman" w:cs="Times New Roman"/>
              </w:rPr>
              <w:t>Pre/post FRA indices for clinician review (background)</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Hidden from participant under P1 frame</w:t>
            </w:r>
          </w:p>
        </w:tc>
      </w:tr>
      <w:tr w:rsidR="0062437E" w14:paraId="4C2EBEA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L5 User-Facing Trajectory</w:t>
            </w:r>
          </w:p>
        </w:tc>
        <w:tc>
          <w:tcPr>
            <w:tcW w:w="3118" w:type="dxa"/>
          </w:tcPr>
          <w:p>
            <w:pPr>
              <w:pStyle w:val="Normal"/>
            </w:pPr>
            <w:r>
              <w:rPr>
                <w:sz w:val="20"/>
                <w:szCs w:val="22"/>
                <w:lang w:val="en-US" w:eastAsia="en-US" w:bidi="ar-SA"/>
                <w:rFonts w:ascii="Times New Roman" w:hAnsi="Times New Roman" w:eastAsia="Times New Roman" w:cs="Times New Roman"/>
              </w:rPr>
              <w:t>Progress visualisation that emphasises movement; past sessions framed as steps</w:t>
            </w:r>
          </w:p>
        </w:tc>
        <w:tc>
          <w:tcPr>
            <w:tcW w:w="1700" w:type="dxa"/>
          </w:tcPr>
          <w:p>
            <w:pPr>
              <w:pStyle w:val="Normal"/>
            </w:pPr>
            <w:r>
              <w:rPr>
                <w:sz w:val="20"/>
                <w:szCs w:val="22"/>
                <w:lang w:val="en-US" w:eastAsia="en-US" w:bidi="ar-SA"/>
                <w:rFonts w:ascii="Times New Roman" w:hAnsi="Times New Roman" w:eastAsia="Times New Roman" w:cs="Times New Roman"/>
              </w:rPr>
              <w:t>P2</w:t>
            </w:r>
          </w:p>
        </w:tc>
        <w:tc>
          <w:tcPr>
            <w:tcW w:w="2126" w:type="dxa"/>
          </w:tcPr>
          <w:p>
            <w:pPr>
              <w:pStyle w:val="Normal"/>
            </w:pPr>
            <w:r>
              <w:rPr>
                <w:sz w:val="20"/>
                <w:szCs w:val="22"/>
                <w:lang w:val="en-US" w:eastAsia="en-US" w:bidi="ar-SA"/>
                <w:rFonts w:ascii="Times New Roman" w:hAnsi="Times New Roman" w:eastAsia="Times New Roman" w:cs="Times New Roman"/>
              </w:rPr>
              <w:t>New; HTML overlay or device companion screen; no clinical numbers exposed</w:t>
            </w:r>
          </w:p>
        </w:tc>
      </w:tr>
      <w:tr w:rsidR="0062437E" w14:paraId="0C1FEED8"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L6 Staff Coaching Protocol</w:t>
            </w:r>
          </w:p>
        </w:tc>
        <w:tc>
          <w:tcPr>
            <w:tcW w:w="3118" w:type="dxa"/>
          </w:tcPr>
          <w:p>
            <w:pPr>
              <w:pStyle w:val="Normal"/>
            </w:pPr>
            <w:r>
              <w:rPr>
                <w:sz w:val="20"/>
                <w:szCs w:val="22"/>
                <w:lang w:val="en-US" w:eastAsia="en-US" w:bidi="ar-SA"/>
                <w:rFonts w:ascii="Times New Roman" w:hAnsi="Times New Roman" w:eastAsia="Times New Roman" w:cs="Times New Roman"/>
              </w:rPr>
              <w:t>Mastery-language scripts; reframing scripts; intervention triggers based on L2 telemetry</w:t>
            </w:r>
          </w:p>
        </w:tc>
        <w:tc>
          <w:tcPr>
            <w:tcW w:w="1700" w:type="dxa"/>
          </w:tcPr>
          <w:p>
            <w:pPr>
              <w:pStyle w:val="Normal"/>
            </w:pPr>
            <w:r>
              <w:rPr>
                <w:sz w:val="20"/>
                <w:szCs w:val="22"/>
                <w:lang w:val="en-US" w:eastAsia="en-US" w:bidi="ar-SA"/>
                <w:rFonts w:ascii="Times New Roman" w:hAnsi="Times New Roman" w:eastAsia="Times New Roman" w:cs="Times New Roman"/>
              </w:rPr>
              <w:t>P1/P2</w:t>
            </w:r>
          </w:p>
        </w:tc>
        <w:tc>
          <w:tcPr>
            <w:tcW w:w="2126" w:type="dxa"/>
          </w:tcPr>
          <w:p>
            <w:pPr>
              <w:pStyle w:val="Normal"/>
            </w:pPr>
            <w:r>
              <w:rPr>
                <w:sz w:val="20"/>
                <w:szCs w:val="22"/>
                <w:lang w:val="en-US" w:eastAsia="en-US" w:bidi="ar-SA"/>
                <w:rFonts w:ascii="Times New Roman" w:hAnsi="Times New Roman" w:eastAsia="Times New Roman" w:cs="Times New Roman"/>
              </w:rPr>
              <w:t>New; staff training day required; checklists and language cards</w:t>
            </w:r>
          </w:p>
        </w:tc>
      </w:tr>
      <w:tr w:rsidR="0062437E" w14:paraId="05267031"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L7 Adaptive-Learning Telemetry</w:t>
            </w:r>
          </w:p>
        </w:tc>
        <w:tc>
          <w:tcPr>
            <w:tcW w:w="3118" w:type="dxa"/>
          </w:tcPr>
          <w:p>
            <w:pPr>
              <w:pStyle w:val="Normal"/>
            </w:pPr>
            <w:r>
              <w:rPr>
                <w:sz w:val="20"/>
                <w:szCs w:val="22"/>
                <w:lang w:val="en-US" w:eastAsia="en-US" w:bidi="ar-SA"/>
                <w:rFonts w:ascii="Times New Roman" w:hAnsi="Times New Roman" w:eastAsia="Times New Roman" w:cs="Times New Roman"/>
              </w:rPr>
              <w:t>Frame-indicator log; account-closure binary; coaching-trigger log; pre/post entropy measure</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New; required for the model-comparison plan in §6.10</w:t>
            </w:r>
          </w:p>
        </w:tc>
      </w:tr>
    </w:tbl>
    <w:p>
      <w:pPr>
        <w:pStyle w:val="Normal"/>
        <w:spacing w:after="40"/>
      </w:pPr>
    </w:p>
    <w:p>
      <w:pPr>
        <w:pStyle w:val="Normal"/>
        <w:keepNext/>
        <w:spacing w:before="160" w:after="40"/>
        <w:jc w:val="center"/>
      </w:pPr>
      <w:r>
        <w:drawing>
          <wp:inlin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pPr>
        <w:pStyle w:val="FigureCaption"/>
        <w:jc w:val="center"/>
      </w:pPr>
      <w:bookmarkStart w:id="118" w:name="_Toc232024692"/>
      <w:r>
        <w:rPr>
          <w:sz w:val="24"/>
          <w:szCs w:val="22"/>
          <w:lang w:val="en-US" w:eastAsia="en-US" w:bidi="ar-SA"/>
          <w:rFonts w:ascii="Times New Roman" w:hAnsi="Times New Roman" w:eastAsia="Times New Roman" w:cs="Times New Roman"/>
          <w:i/>
          <w:b/>
        </w:rPr>
        <w:t>Figure 7.1. adaptive-learning reference stack: existing five-layer FRA architecture (L0–L4) extended with three additional layers (L5 User-Facing Trajectory; L6 Staff Coaching Protocol; L7 Adaptive-Learning Telemetry).</w:t>
      </w:r>
      <w:bookmarkEnd w:id="118"/>
    </w:p>
    <w:p>
      <w:pPr>
        <w:pStyle w:val="Heading3"/>
      </w:pPr>
      <w:bookmarkStart w:id="119" w:name="_Toc23202460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7.5.2 Trajectory Visualisation Specification</w:t>
      </w:r>
      <w:bookmarkEnd w:id="119"/>
    </w:p>
    <w:p>
      <w:pPr>
        <w:pStyle w:val="Normal"/>
        <w:jc w:val="both"/>
      </w:pPr>
      <w:r>
        <w:rPr>
          <w:szCs w:val="22"/>
          <w:lang w:val="en-US" w:eastAsia="en-US" w:bidi="ar-SA"/>
          <w:rFonts w:ascii="Times New Roman" w:hAnsi="Times New Roman" w:eastAsia="Times New Roman" w:cs="Times New Roman"/>
          <w:sz w:val="24"/>
        </w:rP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pPr>
        <w:pStyle w:val="Heading3"/>
      </w:pPr>
      <w:bookmarkStart w:id="120" w:name="_Toc23202460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7.5A One Architecture: Phenomenon, Principles, Engine</w:t>
      </w:r>
    </w:p>
    <w:p>
      <w:pPr>
        <w:pStyle w:val="Normal"/>
      </w:pPr>
      <w:r>
        <w:rPr>
          <w:szCs w:val="22"/>
          <w:lang w:val="en-US" w:eastAsia="en-US" w:bidi="ar-SA"/>
          <w:rFonts w:ascii="Times New Roman" w:hAnsi="Times New Roman" w:eastAsia="Times New Roman" w:cs="Times New Roman"/>
          <w:sz w:val="24"/>
        </w:rP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pPr>
        <w:pStyle w:val="Normal"/>
      </w:pPr>
      <w:r>
        <w:rPr>
          <w:szCs w:val="22"/>
          <w:lang w:val="en-US" w:eastAsia="en-US" w:bidi="ar-SA"/>
          <w:rFonts w:ascii="Times New Roman" w:hAnsi="Times New Roman" w:eastAsia="Times New Roman" w:cs="Times New Roman"/>
          <w:sz w:val="24"/>
        </w:rP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pPr>
        <w:pStyle w:val="Heading2"/>
      </w:pPr>
      <w:bookmarkStart w:id="121" w:name="_Toc23202460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 Applied Case Studies</w:t>
      </w:r>
      <w:bookmarkEnd w:id="121"/>
    </w:p>
    <w:p>
      <w:pPr>
        <w:pStyle w:val="Heading3"/>
      </w:pPr>
      <w:bookmarkStart w:id="122" w:name="_Toc23202461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7.6A Dynamic Game States as a Loss-Free Mechanic: Reflecting the Literature-Review Knowledge Gaps</w:t>
      </w:r>
      <w:bookmarkEnd w:id="126"/>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pPr>
        <w:pStyle w:val="Heading2"/>
      </w:pPr>
      <w:bookmarkStart w:id="127" w:name="_Toc23202461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t>executed, the generalisability of the framework beyond Chinese-cultural settings is an argued expectation, not a demonstrated result.</w:t>
      </w:r>
    </w:p>
    <w:p>
      <w:pPr>
        <w:pStyle w:val="Heading2"/>
      </w:pPr>
      <w:bookmarkStart w:id="128" w:name="_Toc23202461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pPr>
        <w:pStyle w:val="Heading2"/>
      </w:pPr>
      <w:bookmarkStart w:id="129" w:name="_Toc23202461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7.9 Adaptive Learning as Continuous Improvement: Closing the Loop to the EngD Topic</w:t>
      </w:r>
      <w:bookmarkEnd w:id="129"/>
    </w:p>
    <w:p>
      <w:pPr>
        <w:pStyle w:val="Normal"/>
        <w:jc w:val="both"/>
      </w:pPr>
      <w:r>
        <w:rPr>
          <w:szCs w:val="22"/>
          <w:lang w:val="en-US" w:eastAsia="en-US" w:bidi="ar-SA"/>
          <w:rFonts w:ascii="Times New Roman" w:hAnsi="Times New Roman" w:eastAsia="Times New Roman" w:cs="Times New Roman"/>
          <w:sz w:val="24"/>
        </w:rP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pPr>
        <w:pStyle w:val="Normal"/>
        <w:jc w:val="both"/>
      </w:pPr>
      <w:r>
        <w:rPr>
          <w:szCs w:val="22"/>
          <w:lang w:val="en-US" w:eastAsia="en-US" w:bidi="ar-SA"/>
          <w:rFonts w:ascii="Times New Roman" w:hAnsi="Times New Roman" w:eastAsia="Times New Roman" w:cs="Times New Roman"/>
          <w:sz w:val="24"/>
        </w:rP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never as assessment — a decoupled frame arrived at by commercial instinct; and the engagement scaffold is explicitly social, anticipating the group-dynamics mechanism raised in the §6.8A consultation. What the model does not contain is the layer this thesis contributes: GrandPad avoids threatening frames by carrying no clinical measurement at all, whereas the present programme concerns technologies that must measure while remaining bearable. The comparator therefore marks a boundary in the design space: engagement without clinical purpose is commercially solved; engagement with clinical purpose intact is the open problem the adaptive-learning framework addresses.</w:t>
      </w:r>
    </w:p>
    <w:p>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(§8.8),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r>
        <w:t>Read as a boundary case, the comparator also sharpens what commercial gerontechnology has so far left unaddressed, and locates this programme's contribution to gerontology as AI-enabled health technology arrives. Three omissions matter. First, the avoided middle: the market divides into clinical instruments that measure but are abandoned (the FRA of Chapter 4) and consumer platforms that engage but do not measure (the GrandPad class); the technologies that population ageing actually requires — instruments that assess fall risk, cognition and function, repeatedly and acceptably — sit in the middle that both poles avoid. Second, the missing failure model: GrandPad-class design treats disengagement as a usability and access problem and answers it by minimising occasions for failure; it carries no account of what an adverse result does to an older user's self-concept, because it never delivers one. Curated ease also caps challenge, and with it the mastery experiences on which learning and flow depend (Csikszentmihalyi, 1990; Vygotsky, 1978).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make individually calibrated challenge inexpensive to implement at scale — the enabling technology for the Chapter 7 framework — but the same wave is filling gerontechnology with continuous monitoring, risk scores and predictions: more verdicts about ageing bodies, delivered more often, to the population this thesis shows may respond to unfavourable verdicts by leaving permanently. Without a behavioural layer, AI-era gerontechnology risks industrialising the abandonment pattern documented here. The programme's contribution to gerontology is that layer: FIAS names the failure mode that verdict-bearing technology must design against; the Stage-3 frame-sensitivity evidence indicates where the leverage lies; and the adaptive-learning framework specifies how a measuring technology can remain bearable — challenge calibrated to the person, results presented as a trajectory, coaching absorbing the failure moment. The gamified FRA is the working demonstration that the middle ground is occupiable: one physical action that plays and measures, made returnable-to by design. In an AI decade, that is the difference between health technologies older adults live with and health technologies that fall silent (§8.6B). Figure 8.1 maps this design space.</w:t>
      </w:r>
    </w:p>
    <w:p>
      <w:r>
        <w:drawing>
          <wp:inline>
            <wp:extent cx="5120640" cy="3995517"/>
            <wp:docPr id="32" name="Picture 32"/>
            <wp:cNvGraphicFramePr>
              <a:graphicFrameLocks noChangeAspect="1"/>
            </wp:cNvGraphicFramePr>
            <a:graphic>
              <a:graphicData uri="http://schemas.openxmlformats.org/drawingml/2006/picture">
                <pic:pic>
                  <pic:nvPicPr>
                    <pic:cNvPr id="0" name="fig_8_1_design_spac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Commercial platforms of the GrandPad class achieve sustained engagement by carrying no clinical measurement; clinical instruments carry full measurement but are abandoned after adverse first experiences (Chapter 4). The programme's contribution occupies the upper right: the gamified FRA and the adaptive-learning framework specify how a technology can measure while remaining bearable and returnable-to for older users (Chapters 5-7, §8.6).</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8 Contributions, Alternative Explanations, Limitations and Ethics</w:t>
      </w:r>
      <w:bookmarkEnd w:id="130"/>
    </w:p>
    <w:p>
      <w:pPr>
        <w:pStyle w:val="Normal"/>
      </w:pPr>
      <w:r>
        <w:rPr>
          <w:szCs w:val="22"/>
          <w:lang w:val="en-US" w:eastAsia="en-US" w:bidi="ar-SA"/>
          <w:rFonts w:ascii="Times New Roman" w:hAnsi="Times New Roman" w:eastAsia="Times New Roman" w:cs="Times New Roman"/>
          <w:sz w:val="24"/>
        </w:rP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FigureCaption"/>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pPr>
              <w:pStyle w:val="Normal"/>
            </w:pPr>
            <w:r>
              <w:rPr>
                <w:b/>
                <w:sz w:val="24"/>
                <w:szCs w:val="22"/>
                <w:lang w:val="en-US" w:eastAsia="en-US" w:bidi="ar-SA"/>
                <w:rFonts w:ascii="Times New Roman" w:hAnsi="Times New Roman" w:eastAsia="Times New Roman" w:cs="Times New Roman"/>
              </w:rPr>
              <w:t>Register</w:t>
            </w:r>
          </w:p>
        </w:tc>
        <w:tc>
          <w:tcPr>
            <w:tcW w:type="dxa" w:w="2835"/>
          </w:tcPr>
          <w:p>
            <w:pPr>
              <w:pStyle w:val="Normal"/>
            </w:pPr>
            <w:r>
              <w:rPr>
                <w:b/>
                <w:sz w:val="24"/>
                <w:szCs w:val="22"/>
                <w:lang w:val="en-US" w:eastAsia="en-US" w:bidi="ar-SA"/>
                <w:rFonts w:ascii="Times New Roman" w:hAnsi="Times New Roman" w:eastAsia="Times New Roman" w:cs="Times New Roman"/>
              </w:rPr>
              <w:t>Contribution</w:t>
            </w:r>
          </w:p>
        </w:tc>
        <w:tc>
          <w:tcPr>
            <w:tcW w:type="dxa" w:w="2835"/>
          </w:tcPr>
          <w:p>
            <w:pPr>
              <w:pStyle w:val="Normal"/>
            </w:pPr>
            <w:r>
              <w:rPr>
                <w:b/>
                <w:sz w:val="24"/>
                <w:szCs w:val="22"/>
                <w:lang w:val="en-US" w:eastAsia="en-US" w:bidi="ar-SA"/>
                <w:rFonts w:ascii="Times New Roman" w:hAnsi="Times New Roman" w:eastAsia="Times New Roman" w:cs="Times New Roman"/>
              </w:rPr>
              <w:t>Stated in</w:t>
            </w:r>
          </w:p>
        </w:tc>
      </w:tr>
      <w:tr>
        <w:tc>
          <w:tcPr>
            <w:tcW w:type="dxa" w:w="2835"/>
          </w:tcPr>
          <w:p>
            <w:pPr>
              <w:pStyle w:val="Normal"/>
            </w:pPr>
            <w:r>
              <w:rPr>
                <w:sz w:val="24"/>
                <w:szCs w:val="22"/>
                <w:lang w:val="en-US" w:eastAsia="en-US" w:bidi="ar-SA"/>
                <w:rFonts w:ascii="Times New Roman" w:hAnsi="Times New Roman" w:eastAsia="Times New Roman" w:cs="Times New Roman"/>
              </w:rPr>
              <w:t>Scientific</w:t>
            </w:r>
          </w:p>
        </w:tc>
        <w:tc>
          <w:tcPr>
            <w:tcW w:type="dxa" w:w="2835"/>
          </w:tcPr>
          <w:p>
            <w:pPr>
              <w:pStyle w:val="Normal"/>
            </w:pPr>
            <w:r>
              <w:rPr>
                <w:sz w:val="24"/>
                <w:szCs w:val="22"/>
                <w:lang w:val="en-US" w:eastAsia="en-US" w:bidi="ar-SA"/>
                <w:rFonts w:ascii="Times New Roman" w:hAnsi="Times New Roman" w:eastAsia="Times New Roman" w:cs="Times New Roman"/>
              </w:rPr>
              <w:t>FIAS as a provisional behavioural construct; the coupling boundary condition for gamification theory; the competing-appraisal account (endowment protection versus learning trajectory)</w:t>
            </w:r>
          </w:p>
        </w:tc>
        <w:tc>
          <w:tcPr>
            <w:tcW w:type="dxa" w:w="2835"/>
          </w:tcPr>
          <w:p>
            <w:pPr>
              <w:pStyle w:val="Normal"/>
            </w:pPr>
            <w:r>
              <w:rPr>
                <w:sz w:val="24"/>
                <w:szCs w:val="22"/>
                <w:lang w:val="en-US" w:eastAsia="en-US" w:bidi="ar-SA"/>
                <w:rFonts w:ascii="Times New Roman" w:hAnsi="Times New Roman" w:eastAsia="Times New Roman" w:cs="Times New Roman"/>
              </w:rPr>
              <w:t>§8.1, §8.3; Chs 2, 9</w:t>
            </w:r>
          </w:p>
        </w:tc>
      </w:tr>
      <w:tr>
        <w:tc>
          <w:tcPr>
            <w:tcW w:type="dxa" w:w="2835"/>
          </w:tcPr>
          <w:p>
            <w:pPr>
              <w:pStyle w:val="Normal"/>
            </w:pPr>
            <w:r>
              <w:rPr>
                <w:sz w:val="24"/>
                <w:szCs w:val="22"/>
                <w:lang w:val="en-US" w:eastAsia="en-US" w:bidi="ar-SA"/>
                <w:rFonts w:ascii="Times New Roman" w:hAnsi="Times New Roman" w:eastAsia="Times New Roman" w:cs="Times New Roman"/>
              </w:rPr>
              <w:t>Engineering</w:t>
            </w:r>
          </w:p>
        </w:tc>
        <w:tc>
          <w:tcPr>
            <w:tcW w:type="dxa" w:w="2835"/>
          </w:tcPr>
          <w:p>
            <w:pPr>
              <w:pStyle w:val="Normal"/>
            </w:pPr>
            <w:r>
              <w:rPr>
                <w:sz w:val="24"/>
                <w:szCs w:val="22"/>
                <w:lang w:val="en-US" w:eastAsia="en-US" w:bidi="ar-SA"/>
                <w:rFonts w:ascii="Times New Roman" w:hAnsi="Times New Roman" w:eastAsia="Times New Roman" w:cs="Times New Roman"/>
              </w:rPr>
              <w:t>The adaptive-learning framework — three principles over the failure-appraisal chain — and the dynamic game-state engine that operationalises it in real time</w:t>
            </w:r>
          </w:p>
        </w:tc>
        <w:tc>
          <w:tcPr>
            <w:tcW w:type="dxa" w:w="2835"/>
          </w:tcPr>
          <w:p>
            <w:pPr>
              <w:pStyle w:val="Normal"/>
            </w:pPr>
            <w:r>
              <w:rPr>
                <w:sz w:val="24"/>
                <w:szCs w:val="22"/>
                <w:lang w:val="en-US" w:eastAsia="en-US" w:bidi="ar-SA"/>
                <w:rFonts w:ascii="Times New Roman" w:hAnsi="Times New Roman" w:eastAsia="Times New Roman" w:cs="Times New Roman"/>
              </w:rPr>
              <w:t>Ch 7 (§7.4, §7.5, §7.5A); §8.4</w:t>
            </w:r>
          </w:p>
        </w:tc>
      </w:tr>
      <w:tr>
        <w:tc>
          <w:tcPr>
            <w:tcW w:type="dxa" w:w="2835"/>
          </w:tcPr>
          <w:p>
            <w:pPr>
              <w:pStyle w:val="Normal"/>
            </w:pPr>
            <w:r>
              <w:rPr>
                <w:sz w:val="24"/>
                <w:szCs w:val="22"/>
                <w:lang w:val="en-US" w:eastAsia="en-US" w:bidi="ar-SA"/>
                <w:rFonts w:ascii="Times New Roman" w:hAnsi="Times New Roman" w:eastAsia="Times New Roman" w:cs="Times New Roman"/>
              </w:rPr>
              <w:t>Industrial</w:t>
            </w:r>
          </w:p>
        </w:tc>
        <w:tc>
          <w:tcPr>
            <w:tcW w:type="dxa" w:w="2835"/>
          </w:tcPr>
          <w:p>
            <w:pPr>
              <w:pStyle w:val="Normal"/>
            </w:pPr>
            <w:r>
              <w:rPr>
                <w:sz w:val="24"/>
                <w:szCs w:val="22"/>
                <w:lang w:val="en-US" w:eastAsia="en-US" w:bidi="ar-SA"/>
                <w:rFonts w:ascii="Times New Roman" w:hAnsi="Times New Roman" w:eastAsia="Times New Roman" w:cs="Times New Roman"/>
              </w:rPr>
              <w:t>A deployment template on existing FRA infrastructure (decoupled presentation, trajectory layer, staff protocol) and addressable-population evidence for planning</w:t>
            </w:r>
          </w:p>
        </w:tc>
        <w:tc>
          <w:tcPr>
            <w:tcW w:type="dxa" w:w="2835"/>
          </w:tcPr>
          <w:p>
            <w:pPr>
              <w:pStyle w:val="Normal"/>
            </w:pPr>
            <w:r>
              <w:rPr>
                <w:sz w:val="24"/>
                <w:szCs w:val="22"/>
                <w:lang w:val="en-US" w:eastAsia="en-US" w:bidi="ar-SA"/>
                <w:rFonts w:ascii="Times New Roman" w:hAnsi="Times New Roman" w:eastAsia="Times New Roman" w:cs="Times New Roman"/>
              </w:rPr>
              <w:t>§8.4; §9.8</w:t>
            </w:r>
          </w:p>
        </w:tc>
      </w:tr>
      <w:tr>
        <w:tc>
          <w:tcPr>
            <w:tcW w:type="dxa" w:w="2835"/>
          </w:tcPr>
          <w:p>
            <w:pPr>
              <w:pStyle w:val="Normal"/>
            </w:pPr>
            <w:r>
              <w:rPr>
                <w:sz w:val="24"/>
                <w:szCs w:val="22"/>
                <w:lang w:val="en-US" w:eastAsia="en-US" w:bidi="ar-SA"/>
                <w:rFonts w:ascii="Times New Roman" w:hAnsi="Times New Roman" w:eastAsia="Times New Roman" w:cs="Times New Roman"/>
              </w:rPr>
              <w:t>Methodological</w:t>
            </w:r>
          </w:p>
        </w:tc>
        <w:tc>
          <w:tcPr>
            <w:tcW w:type="dxa" w:w="2835"/>
          </w:tcPr>
          <w:p>
            <w:pPr>
              <w:pStyle w:val="Normal"/>
            </w:pPr>
            <w:r>
              <w:rPr>
                <w:sz w:val="24"/>
                <w:szCs w:val="22"/>
                <w:lang w:val="en-US" w:eastAsia="en-US" w:bidi="ar-SA"/>
                <w:rFonts w:ascii="Times New Roman" w:hAnsi="Times New Roman" w:eastAsia="Times New Roman" w:cs="Times New Roman"/>
              </w:rPr>
              <w:t>The null-hypothesis-plus-attribution architecture; the dual-purpose mechanic; the QFD evidence-to-design pipeline; the commitment-gap measurement</w:t>
            </w:r>
          </w:p>
        </w:tc>
        <w:tc>
          <w:tcPr>
            <w:tcW w:type="dxa" w:w="2835"/>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pPr>
        <w:pStyle w:val="Heading2"/>
      </w:pPr>
      <w:bookmarkStart w:id="132" w:name="_Toc23202462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pPr>
        <w:pStyle w:val="Heading2"/>
      </w:pPr>
      <w:bookmarkStart w:id="133" w:name="_Toc23202462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pPr>
        <w:pStyle w:val="Heading2"/>
      </w:pPr>
      <w:bookmarkStart w:id="135" w:name="_Toc23202462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8.4A A Forward-Looking Contribution: The Language-Mode Boundary and Grounded Adaptive Learning</w:t>
      </w:r>
      <w:bookmarkEnd w:id="135"/>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rather than declaring them ruled out. Eight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pPr>
        <w:pStyle w:val="Heading3"/>
      </w:pPr>
      <w:bookmarkStart w:id="137" w:name="_Toc23202462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pPr>
        <w:pStyle w:val="Heading3"/>
      </w:pPr>
      <w:bookmarkStart w:id="143" w:name="_Toc23202463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failure occurred through the body's own balance — weight shifts on the pressure panel — whereas in Stage 3 most participants steered with a trackpad or arrow keys (§6.3). The difference between the stages may therefore reflect not only the changed participant-facing frame but also the changed carrier of failure: a failure produced by one's own balance may speak more directly to bodily decline than a failure produced by one's fingers. Response: this alternative is viable, and the present between-cohort design does not separate it from the framing account. It is, however, partly absorbed into the coupling account itself, because the bodily measurement pathway is precisely what the dual-purpose mechanic couples to the game (§5.2A): removing the pressure panel removed the clinical frame and the embodied exposure together. The within-cohort study of §8.8 treats the game, the input device and the frame as independently manipulable factors, so that the contributions of framing and of input modality can be estimated separately.</w:t>
      </w:r>
    </w:p>
    <w:p>
      <w:pPr>
        <w:pStyle w:val="Heading2"/>
      </w:pPr>
      <w:bookmarkStart w:id="144" w:name="_Toc23202463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8.6A A Seventh Limitation: The Language-Mode Boundary of the Layer-2 AI</w:t>
      </w:r>
      <w:bookmarkEnd w:id="145"/>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8.6B Extending the Unit of Analysis: Abandonment as a Three-Party Decision</w:t>
      </w:r>
    </w:p>
    <w:p>
      <w:pPr>
        <w:pStyle w:val="Normal"/>
      </w:pPr>
      <w:r>
        <w:rPr>
          <w:szCs w:val="22"/>
          <w:lang w:val="en-US" w:eastAsia="en-US" w:bidi="ar-SA"/>
          <w:rFonts w:ascii="Times New Roman" w:hAnsi="Times New Roman" w:eastAsia="Times New Roman" w:cs="Times New Roman"/>
          <w:sz w:val="24"/>
        </w:rP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pPr>
        <w:pStyle w:val="Normal"/>
      </w:pPr>
      <w:r>
        <w:rPr>
          <w:szCs w:val="22"/>
          <w:lang w:val="en-US" w:eastAsia="en-US" w:bidi="ar-SA"/>
          <w:rFonts w:ascii="Times New Roman" w:hAnsi="Times New Roman" w:eastAsia="Times New Roman" w:cs="Times New Roman"/>
          <w:sz w:val="24"/>
        </w:rP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pPr>
        <w:pStyle w:val="Heading2"/>
      </w:pPr>
      <w:bookmarkStart w:id="146" w:name="_Toc23202463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8.7 Ethical Considerations</w:t>
      </w:r>
      <w:bookmarkEnd w:id="146"/>
    </w:p>
    <w:p>
      <w:r>
        <w:t>One scope limitation is stated before all others: this study covers the assessment phase of an assess-then-train product model and does not evaluate the training phase. Four considerations govern the boundary. First, the assessment gate is the binding constraint: abandonment there forecloses training altogether, and the non-utilisation figures that motivate the programme arise at this gate. Second, the mechanism documented here - verdict-driven abandonment - applies with equal force to the training phase, which delivers progress verdicts of its own; the framework is designed for, and extensible to, the full loop. Third, a supervised training intervention with elderly participants demands clinical resources and a longitudinal window beyond this part-time doctorate's scope. Fourth, the extension is specified rather than abandoned: the confirmatory programme of s8.8 carries the framework into the training phase.</w:t>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t>voluntary participation with no consequence for refusal; and difficulty curves calibrated so that even the worst-balance participant could complete an opening session.</w:t>
      </w:r>
    </w:p>
    <w:p>
      <w:pPr>
        <w:pStyle w:val="Heading3"/>
      </w:pPr>
      <w:bookmarkStart w:id="148" w:name="_Toc23202463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pPr>
        <w:pStyle w:val="Heading3"/>
      </w:pPr>
      <w:bookmarkStart w:id="150" w:name="_Toc23202463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pPr>
        <w:pStyle w:val="Heading3"/>
      </w:pPr>
      <w:bookmarkStart w:id="151" w:name="_Toc23202463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8.8 Future Research</w:t>
      </w:r>
      <w:bookmarkEnd w:id="152"/>
    </w:p>
    <w:p>
      <w:r>
        <w:t>Since this section was first drafted, the first element of the confirmatory programme has been designed and pre-registered: Stage 3B, a 2x2 field experiment crossing adaptive against static presentation with zero-failure against failure-possible modes, in a new cohort of 80-120 adults recruited in the same three age bands, with recorded in-build consent, a single pre-specified confirmatory contrast, and a trilingual instrument implementing the framework's calibration, trajectory and coaching elements. The design also brings into contact, for older adults in a health-technology context, two traditions the literature has kept apart: errorless learning, which holds that vulnerable learners acquire best when prevented from erring (Baddeley &amp; Wilson, 1994), and the graceful-failure position of game-based learning, which treats low-consequence failure as productive (Plass, Homer, &amp; Kinzer, 2015); dynamic difficulty adjustment supplies the adaptive arm's engineering lineage (Zohaib, 2018).</w:t>
      </w:r>
    </w:p>
    <w:p>
      <w:r>
        <w:rPr>
          <w:highlight w:val="yellow"/>
        </w:rPr>
        <w:t>[AUTHOR INPUT NEEDED - Stage 3B results: this passage is completed when the collection window closes; report all pre-specified outcomes regardless of direction.]</w:t>
      </w:r>
    </w:p>
    <w:p>
      <w:pPr>
        <w:pStyle w:val="Normal"/>
        <w:jc w:val="both"/>
      </w:pPr>
      <w:r>
        <w:rPr>
          <w:i w:val="0"/>
          <w:szCs w:val="22"/>
          <w:lang w:val="en-US" w:eastAsia="en-US" w:bidi="ar-SA"/>
          <w:rFonts w:ascii="Times New Roman" w:hAnsi="Times New Roman" w:eastAsia="Times New Roman" w:cs="Times New Roman"/>
          <w:sz w:val="24"/>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pPr>
        <w:pStyle w:val="Heading2"/>
      </w:pPr>
      <w:bookmarkStart w:id="153" w:name="_Toc23202464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Chapter 9 Conclusion</w:t>
      </w:r>
      <w:bookmarkEnd w:id="154"/>
    </w:p>
    <w:p>
      <w:pPr>
        <w:pStyle w:val="Heading2"/>
      </w:pPr>
      <w:bookmarkStart w:id="155" w:name="_Toc23202464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pPr>
        <w:pStyle w:val="Heading2"/>
      </w:pPr>
      <w:bookmarkStart w:id="156" w:name="_Toc23202464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9.3 The Central Finding: Evidence Consistent with a Coupling or Framing Effect</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pPr>
        <w:pStyle w:val="Normal"/>
        <w:jc w:val="both"/>
      </w:pPr>
      <w:r>
        <w:rPr>
          <w:szCs w:val="22"/>
          <w:lang w:val="en-US" w:eastAsia="en-US" w:bidi="ar-SA"/>
          <w:rFonts w:ascii="Times New Roman" w:hAnsi="Times New Roman" w:eastAsia="Times New Roman" w:cs="Times New Roman"/>
          <w:sz w:val="24"/>
        </w:rP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pPr>
        <w:pStyle w:val="Normal"/>
        <w:jc w:val="both"/>
      </w:pPr>
      <w:r>
        <w:rPr>
          <w:szCs w:val="22"/>
          <w:lang w:val="en-US" w:eastAsia="en-US" w:bidi="ar-SA"/>
          <w:rFonts w:ascii="Times New Roman" w:hAnsi="Times New Roman" w:eastAsia="Times New Roman" w:cs="Times New Roman"/>
          <w:sz w:val="24"/>
        </w:rP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pPr>
        <w:pStyle w:val="Heading2"/>
      </w:pPr>
      <w:bookmarkStart w:id="157" w:name="_Toc23202464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9.4 Decoupling Preserves the Viability of Game Theory for Elderly Engagement</w:t>
      </w:r>
      <w:bookmarkEnd w:id="157"/>
    </w:p>
    <w:p>
      <w:pPr>
        <w:pStyle w:val="Normal"/>
        <w:jc w:val="both"/>
      </w:pPr>
      <w:r>
        <w:rPr>
          <w:szCs w:val="22"/>
          <w:lang w:val="en-US" w:eastAsia="en-US" w:bidi="ar-SA"/>
          <w:rFonts w:ascii="Times New Roman" w:hAnsi="Times New Roman" w:eastAsia="Times New Roman" w:cs="Times New Roman"/>
          <w:sz w:val="24"/>
        </w:rPr>
        <w:t>A second conclusion is that the Stage-3 results are consistent with gamification theory remaining applicable to elderly engagement. Stage 3 functioned as the programme's positive control (§6.1): the same game mechanics, decoupled from the clinical apparatus and its participant-facing clinical frame (§6.3),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pPr>
        <w:pStyle w:val="Normal"/>
        <w:jc w:val="both"/>
      </w:pPr>
      <w:r>
        <w:rPr>
          <w:szCs w:val="22"/>
          <w:lang w:val="en-US" w:eastAsia="en-US" w:bidi="ar-SA"/>
          <w:rFonts w:ascii="Times New Roman" w:hAnsi="Times New Roman" w:eastAsia="Times New Roman" w:cs="Times New Roman"/>
          <w:sz w:val="24"/>
        </w:rP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9.5 Adaptive Learning as the Design Counter</w:t>
      </w:r>
      <w:bookmarkEnd w:id="158"/>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9.7 Theoretical Contributions</w:t>
      </w:r>
      <w:bookmarkEnd w:id="159"/>
    </w:p>
    <w:p>
      <w:pPr>
        <w:pStyle w:val="Normal"/>
        <w:jc w:val="both"/>
      </w:pPr>
      <w:r>
        <w:rPr>
          <w:i w:val="0"/>
          <w:szCs w:val="22"/>
          <w:lang w:val="en-US" w:eastAsia="en-US" w:bidi="ar-SA"/>
          <w:rFonts w:ascii="Times New Roman" w:hAnsi="Times New Roman" w:eastAsia="Times New Roman" w:cs="Times New Roman"/>
          <w:sz w:val="24"/>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pPr>
        <w:pStyle w:val="Heading2"/>
      </w:pPr>
      <w:bookmarkStart w:id="160" w:name="_Toc2320246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pPr>
        <w:pStyle w:val="Normal"/>
        <w:jc w:val="both"/>
      </w:pPr>
      <w:r>
        <w:rPr>
          <w:szCs w:val="22"/>
          <w:lang w:val="en-US" w:eastAsia="en-US" w:bidi="ar-SA"/>
          <w:rFonts w:ascii="Times New Roman" w:hAnsi="Times New Roman" w:eastAsia="Times New Roman" w:cs="Times New Roman"/>
          <w:sz w:val="24"/>
        </w:rP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pPr>
        <w:pStyle w:val="Normal"/>
        <w:jc w:val="both"/>
      </w:pPr>
      <w:r>
        <w:rPr>
          <w:szCs w:val="22"/>
          <w:lang w:val="en-US" w:eastAsia="en-US" w:bidi="ar-SA"/>
          <w:rFonts w:ascii="Times New Roman" w:hAnsi="Times New Roman" w:eastAsia="Times New Roman" w:cs="Times New Roman"/>
          <w:sz w:val="24"/>
        </w:rP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pPr>
        <w:pStyle w:val="Heading2"/>
      </w:pPr>
      <w:bookmarkStart w:id="161" w:name="_Toc2320246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t>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t>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pPr>
              <w:pStyle w:val="Normal"/>
            </w:pPr>
            <w:r>
              <w:rPr>
                <w:b/>
                <w:sz w:val="24"/>
                <w:szCs w:val="22"/>
                <w:lang w:val="en-US" w:eastAsia="en-US" w:bidi="ar-SA"/>
                <w:rFonts w:ascii="Times New Roman" w:hAnsi="Times New Roman" w:eastAsia="Times New Roman" w:cs="Times New Roman"/>
              </w:rPr>
              <w:t>Dimension</w:t>
            </w:r>
          </w:p>
        </w:tc>
        <w:tc>
          <w:tcPr>
            <w:tcW w:w="2976" w:type="dxa"/>
          </w:tcPr>
          <w:p>
            <w:pPr>
              <w:pStyle w:val="Normal"/>
            </w:pPr>
            <w:r>
              <w:rPr>
                <w:szCs w:val="22"/>
                <w:lang w:val="en-US" w:eastAsia="en-US" w:bidi="ar-SA"/>
                <w:rFonts w:ascii="Times New Roman" w:hAnsi="Times New Roman" w:eastAsia="Times New Roman" w:cs="Times New Roman"/>
                <w:sz w:val="24"/>
              </w:rPr>
              <w:t>Deployed Stage-2 adaptation configuration</w:t>
            </w:r>
          </w:p>
        </w:tc>
        <w:tc>
          <w:tcPr>
            <w:tcW w:w="3969" w:type="dxa"/>
          </w:tcPr>
          <w:p>
            <w:pPr>
              <w:pStyle w:val="Normal"/>
            </w:pPr>
            <w:r>
              <w:rPr>
                <w:szCs w:val="22"/>
                <w:lang w:val="en-US" w:eastAsia="en-US" w:bidi="ar-SA"/>
                <w:rFonts w:ascii="Times New Roman" w:hAnsi="Times New Roman" w:eastAsia="Times New Roman" w:cs="Times New Roman"/>
                <w:sz w:val="24"/>
              </w:rPr>
              <w:t>Proposed person-conditioned extension</w:t>
            </w:r>
          </w:p>
        </w:tc>
      </w:tr>
      <w:tr w:rsidR="0062437E" w14:paraId="2864A92A"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2976"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969"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Input at run time</w:t>
            </w:r>
          </w:p>
        </w:tc>
        <w:tc>
          <w:tcPr>
            <w:tcW w:w="2976"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969" w:type="dxa"/>
          </w:tcPr>
          <w:p>
            <w:pPr>
              <w:pStyle w:val="Normal"/>
            </w:pPr>
            <w:r>
              <w:rPr>
                <w:sz w:val="24"/>
                <w:szCs w:val="22"/>
                <w:lang w:val="en-US" w:eastAsia="en-US" w:bidi="ar-SA"/>
                <w:rFonts w:ascii="Times New Roman" w:hAnsi="Times New Roman" w:eastAsia="Times New Roman" w:cs="Times New Roman"/>
              </w:rPr>
              <w:t>Instant physical and behavioural signals, plus telemetry, captured as they occur</w:t>
            </w:r>
          </w:p>
        </w:tc>
      </w:tr>
      <w:tr w:rsidR="0062437E" w14:paraId="34C88DFE"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Timescale</w:t>
            </w:r>
          </w:p>
        </w:tc>
        <w:tc>
          <w:tcPr>
            <w:tcW w:w="2976"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969" w:type="dxa"/>
          </w:tcPr>
          <w:p>
            <w:pPr>
              <w:pStyle w:val="Normal"/>
            </w:pPr>
            <w:r>
              <w:rPr>
                <w:sz w:val="24"/>
                <w:szCs w:val="22"/>
                <w:lang w:val="en-US" w:eastAsia="en-US" w:bidi="ar-SA"/>
                <w:rFonts w:ascii="Times New Roman" w:hAnsi="Times New Roman" w:eastAsia="Times New Roman" w:cs="Times New Roman"/>
              </w:rPr>
              <w:t>Continuous: perception at one-second cadence; action within seconds of the event</w:t>
            </w:r>
          </w:p>
        </w:tc>
      </w:tr>
      <w:tr w:rsidR="0062437E" w14:paraId="4DDCCB00"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Object of learning</w:t>
            </w:r>
          </w:p>
        </w:tc>
        <w:tc>
          <w:tcPr>
            <w:tcW w:w="2976"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969" w:type="dxa"/>
          </w:tcPr>
          <w:p>
            <w:pPr>
              <w:pStyle w:val="Normal"/>
            </w:pPr>
            <w:r>
              <w:rPr>
                <w:szCs w:val="22"/>
                <w:lang w:val="en-US" w:eastAsia="en-US" w:bidi="ar-SA"/>
                <w:rFonts w:ascii="Times New Roman" w:hAnsi="Times New Roman" w:eastAsia="Times New Roman" w:cs="Times New Roman"/>
                <w:sz w:val="24"/>
              </w:rPr>
              <w:t>A person-specific state estimate updated during interaction</w:t>
            </w:r>
          </w:p>
        </w:tc>
      </w:tr>
      <w:tr w:rsidR="0062437E" w14:paraId="34FEE616"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Output</w:t>
            </w:r>
          </w:p>
        </w:tc>
        <w:tc>
          <w:tcPr>
            <w:tcW w:w="2976"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969"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4"/>
              </w:rPr>
              <w:t>Feedback channel</w:t>
            </w:r>
          </w:p>
        </w:tc>
        <w:tc>
          <w:tcPr>
            <w:tcW w:w="2976"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969"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2976"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969"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Theoretical anchors</w:t>
            </w:r>
          </w:p>
        </w:tc>
        <w:tc>
          <w:tcPr>
            <w:tcW w:w="2976"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969"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Evaluation criterion</w:t>
            </w:r>
          </w:p>
        </w:tc>
        <w:tc>
          <w:tcPr>
            <w:tcW w:w="2976"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969"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pPr>
        <w:pStyle w:val="Heading2"/>
      </w:pPr>
      <w:bookmarkStart w:id="164" w:name="_Toc23202466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 xml:space="preserve">Stage 3 showed that post-failure return was common in a separate decoupled cohort, including among adults aged 65-80. It would be inappropriate to estimate that "roughly two" of the three F4 residents would have returned under decoupling, because the studies </w:t>
        <w:t>are not individual-level counterfactuals and the samples differ. The defensible conclusion is that the Stage-3 pattern makes non-return appear modifiable and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pPr>
        <w:pStyle w:val="Normal"/>
        <w:jc w:val="both"/>
      </w:pPr>
      <w:r>
        <w:rPr>
          <w:szCs w:val="22"/>
          <w:lang w:val="en-US" w:eastAsia="en-US" w:bidi="ar-SA"/>
          <w:rFonts w:ascii="Times New Roman" w:hAnsi="Times New Roman" w:eastAsia="Times New Roman" w:cs="Times New Roman"/>
          <w:sz w:val="24"/>
        </w:rP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r>
        <w:t>The programme's synthesis can now be stated with each claim at its evidential strength. It observed failure-induced disengagement (Stages 1 and 2). It interprets the escalation into abandonment as verdict-driven - an interpretation corroborated in clinical practice. It demonstrated that removing the clinical frame restores acceptance (Stage 3), with the isolation of the zero-failure element assigned to the pre-registered Stage 3B. It hypothesises - supported by the learning literature and by behavioural precursors within the study windows - that sustained, adaptively calibrated, failure-protected practice is the pathway by which measurement-bearing technology becomes a learning tool older adults live with. And it proposes the adaptive-learning framework as the design discipline for that pathway, with AI as the enabling technology that makes calibration individual and scalable - enabling, not essential: the deployed system ran on a deterministic agent, and what AI adds is reach, language and personalisation at population scale. Habit itself, and the framework's mechanism-level claims, are assigned to the longitudinal programme of s8.8. The thesis claims what its evidence supports, specifies what would test the rest, and provides the instrument to do it.</w:t>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References</w:t>
      </w:r>
      <w:bookmarkEnd w:id="166"/>
    </w:p>
    <w:p>
      <w:pPr>
        <w:pStyle w:val="Normal"/>
      </w:pPr>
      <w:r>
        <w:rPr>
          <w:szCs w:val="22"/>
          <w:lang w:val="en-US" w:eastAsia="en-US" w:bidi="ar-SA"/>
          <w:rFonts w:ascii="Times New Roman" w:hAnsi="Times New Roman" w:eastAsia="Times New Roman" w:cs="Times New Roman"/>
          <w:sz w:val="24"/>
        </w:rPr>
        <w:t>Akao, Y. (1990). Quality function deployment: Integrating customer requirements into product design. Productivity Press.</w:t>
      </w:r>
    </w:p>
    <w:p>
      <w:pPr>
        <w:pStyle w:val="Normal"/>
        <w:ind w:left="720" w:hanging="720"/>
        <w:jc w:val="both"/>
      </w:pPr>
      <w:r>
        <w:rPr>
          <w:szCs w:val="22"/>
          <w:lang w:val="en-US" w:eastAsia="en-US" w:bidi="ar-SA"/>
          <w:rFonts w:ascii="Times New Roman" w:hAnsi="Times New Roman" w:eastAsia="Times New Roman" w:cs="Times New Roman"/>
          <w:sz w:val="24"/>
        </w:rPr>
        <w:t>Altmeyer, M., Lessel, P., &amp; Krüger, A. (2018). Investigating gamification for seniors aged 75+. In Proceedings of the 2018 Designing Interactive Systems Conference (pp. 453–458). ACM. https://doi.org/10.1145/3196709.3196799</w:t>
      </w:r>
    </w:p>
    <w:p>
      <w:pPr>
        <w:pStyle w:val="Normal"/>
        <w:ind w:left="720" w:hanging="720"/>
        <w:jc w:val="both"/>
      </w:pPr>
      <w:r>
        <w:rPr>
          <w:szCs w:val="22"/>
          <w:lang w:val="en-US" w:eastAsia="en-US" w:bidi="ar-SA"/>
          <w:rFonts w:ascii="Times New Roman" w:hAnsi="Times New Roman" w:eastAsia="Times New Roman" w:cs="Times New Roman"/>
          <w:sz w:val="24"/>
        </w:rPr>
        <w:t>An, S., Cheung, C. F., &amp; Lo, Y. T. (2025). Improving older adults' technology adoption on mobile map: A gamification approach. International Journal of Human–Computer Interaction, 41(15), 9633–9651. https://doi.org/10.1080/10447318.2024.2426914</w:t>
      </w:r>
    </w:p>
    <w:p>
      <w:pPr>
        <w:pStyle w:val="Normal"/>
        <w:ind w:left="720" w:hanging="720"/>
        <w:jc w:val="both"/>
      </w:pPr>
      <w:r>
        <w:rPr>
          <w:szCs w:val="22"/>
          <w:lang w:val="en-US" w:eastAsia="en-US" w:bidi="ar-SA"/>
          <w:rFonts w:ascii="Times New Roman" w:hAnsi="Times New Roman" w:eastAsia="Times New Roman" w:cs="Times New Roman"/>
          <w:sz w:val="24"/>
        </w:rP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pStyle w:val="Normal"/>
        <w:ind w:left="720" w:hanging="720"/>
        <w:jc w:val="both"/>
      </w:pPr>
      <w:r>
        <w:rPr>
          <w:szCs w:val="22"/>
          <w:lang w:val="en-US" w:eastAsia="en-US" w:bidi="ar-SA"/>
          <w:rFonts w:ascii="Times New Roman" w:hAnsi="Times New Roman" w:eastAsia="Times New Roman" w:cs="Times New Roman"/>
          <w:sz w:val="24"/>
        </w:rPr>
        <w:t>Antonides, G., de Groot, I. M., &amp; van Raaij, W. F. (2011). Mental budgeting and the management of household finance. Journal of Economic Psychology, 32(4), 546–555.</w:t>
      </w:r>
    </w:p>
    <w:p>
      <w:pPr/>
      <w:r>
        <w:t>Baddeley, A., &amp; Wilson, B. A. (1994). When implicit learning fails: Amnesia and the problem of error elimination. Neuropsychologia, 32(1), 53-68.</w:t>
      </w:r>
    </w:p>
    <w:p>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pStyle w:val="Normal"/>
        <w:ind w:left="720" w:hanging="720"/>
        <w:jc w:val="both"/>
      </w:pPr>
      <w:r>
        <w:rPr>
          <w:szCs w:val="22"/>
          <w:lang w:val="en-US" w:eastAsia="en-US" w:bidi="ar-SA"/>
          <w:rFonts w:ascii="Times New Roman" w:hAnsi="Times New Roman" w:eastAsia="Times New Roman" w:cs="Times New Roman"/>
          <w:sz w:val="24"/>
        </w:rPr>
        <w:t>Bandura, A. (1977). Self-efficacy: Toward a unifying theory of behavioral change. Psychological Review, 84(2), 191–215.</w:t>
      </w:r>
    </w:p>
    <w:p>
      <w:pPr>
        <w:pStyle w:val="Normal"/>
        <w:ind w:left="720" w:hanging="720"/>
        <w:jc w:val="both"/>
      </w:pPr>
      <w:r>
        <w:rPr>
          <w:szCs w:val="22"/>
          <w:lang w:val="en-US" w:eastAsia="en-US" w:bidi="ar-SA"/>
          <w:rFonts w:ascii="Times New Roman" w:hAnsi="Times New Roman" w:eastAsia="Times New Roman" w:cs="Times New Roman"/>
          <w:sz w:val="24"/>
        </w:rPr>
        <w:t>Bandura, A. (1997). Self-efficacy: The exercise of control. W. H. Freeman.</w:t>
      </w:r>
    </w:p>
    <w:p>
      <w:pPr>
        <w:pStyle w:val="Normal"/>
        <w:ind w:left="720" w:hanging="720"/>
        <w:jc w:val="both"/>
      </w:pPr>
      <w:r>
        <w:rPr>
          <w:szCs w:val="22"/>
          <w:lang w:val="en-US" w:eastAsia="en-US" w:bidi="ar-SA"/>
          <w:rFonts w:ascii="Times New Roman" w:hAnsi="Times New Roman" w:eastAsia="Times New Roman" w:cs="Times New Roman"/>
          <w:sz w:val="24"/>
        </w:rPr>
        <w:t>Barber, S. J. (2017). An examination of age-based stereotype threat about cognitive decline. Perspectives on Psychological Science, 12(1), 62–90.</w:t>
      </w:r>
    </w:p>
    <w:p>
      <w:pPr>
        <w:pStyle w:val="Normal"/>
        <w:ind w:left="720" w:hanging="720"/>
        <w:jc w:val="both"/>
      </w:pPr>
      <w:r>
        <w:rPr>
          <w:szCs w:val="22"/>
          <w:lang w:val="en-US" w:eastAsia="en-US" w:bidi="ar-SA"/>
          <w:rFonts w:ascii="Times New Roman" w:hAnsi="Times New Roman" w:eastAsia="Times New Roman" w:cs="Times New Roman"/>
          <w:sz w:val="24"/>
        </w:rPr>
        <w:t>Bjork, E. L., &amp; Bjork, R. A. (2011). Making things hard on yourself, but in a good way: Creating desirable difficulties to enhance learning. In M. A. Gernsbacher, R. W. Pew, L. M. Hough, &amp; J. R. Pomerantz (Eds.), Psychology and the real world (pp. 56–64). Worth.</w:t>
      </w:r>
    </w:p>
    <w:p>
      <w:pPr>
        <w:pStyle w:val="Normal"/>
        <w:ind w:left="720" w:hanging="720"/>
        <w:jc w:val="both"/>
      </w:pPr>
      <w:r>
        <w:rPr>
          <w:szCs w:val="22"/>
          <w:lang w:val="en-US" w:eastAsia="en-US" w:bidi="ar-SA"/>
          <w:rFonts w:ascii="Times New Roman" w:hAnsi="Times New Roman" w:eastAsia="Times New Roman" w:cs="Times New Roman"/>
          <w:sz w:val="24"/>
        </w:rPr>
        <w:t>Broady, T., Chan, A., &amp; Caputi, P. (2010). Older and younger adults' attitudes towards computers. British Journal of Educational Technology, 41(3), 473–485.</w:t>
      </w:r>
    </w:p>
    <w:p>
      <w:pPr>
        <w:pStyle w:val="Normal"/>
        <w:ind w:left="720" w:hanging="720"/>
        <w:jc w:val="both"/>
      </w:pPr>
      <w:r>
        <w:rPr>
          <w:szCs w:val="22"/>
          <w:lang w:val="en-US" w:eastAsia="en-US" w:bidi="ar-SA"/>
          <w:rFonts w:ascii="Times New Roman" w:hAnsi="Times New Roman" w:eastAsia="Times New Roman" w:cs="Times New Roman"/>
          <w:sz w:val="24"/>
        </w:rPr>
        <w:t>Brooks, R. A. (1991). Intelligence without representation. Artificial Intelligence, 47(1–3), 139–159.</w:t>
      </w:r>
    </w:p>
    <w:p>
      <w:pPr>
        <w:pStyle w:val="Normal"/>
        <w:ind w:left="720" w:hanging="720"/>
        <w:jc w:val="both"/>
      </w:pPr>
      <w:r>
        <w:rPr>
          <w:szCs w:val="22"/>
          <w:lang w:val="en-US" w:eastAsia="en-US" w:bidi="ar-SA"/>
          <w:rFonts w:ascii="Times New Roman" w:hAnsi="Times New Roman" w:eastAsia="Times New Roman" w:cs="Times New Roman"/>
          <w:sz w:val="24"/>
        </w:rPr>
        <w:t>Centers for Disease Control and Prevention. (2023). Facts about falls. U.S. Department of Health and Human Services.</w:t>
      </w:r>
    </w:p>
    <w:p>
      <w:pPr>
        <w:pStyle w:val="Normal"/>
      </w:pPr>
      <w:r>
        <w:rPr>
          <w:szCs w:val="22"/>
          <w:lang w:val="en-US" w:eastAsia="en-US" w:bidi="ar-SA"/>
          <w:rFonts w:ascii="Times New Roman" w:hAnsi="Times New Roman" w:eastAsia="Times New Roman" w:cs="Times New Roman"/>
          <w:sz w:val="24"/>
        </w:rPr>
        <w:t>Chan, L.-K., &amp; Wu, M.-L. (2002). Quality function deployment: A literature review. European Journal of Operational Research, 143(3), 463–497.</w:t>
      </w:r>
    </w:p>
    <w:p>
      <w:pPr>
        <w:pStyle w:val="Normal"/>
        <w:ind w:left="720" w:hanging="720"/>
        <w:jc w:val="both"/>
      </w:pPr>
      <w:r>
        <w:rPr>
          <w:szCs w:val="22"/>
          <w:lang w:val="en-US" w:eastAsia="en-US" w:bidi="ar-SA"/>
          <w:rFonts w:ascii="Times New Roman" w:hAnsi="Times New Roman" w:eastAsia="Times New Roman" w:cs="Times New Roman"/>
          <w:sz w:val="24"/>
        </w:rPr>
        <w:t>Chen, G., Gully, S. M., &amp; Eden, D. (2001). Validation of a new general self-efficacy scale. Organizational Research Methods, 4(1), 62–83.</w:t>
      </w:r>
    </w:p>
    <w:p>
      <w:pPr>
        <w:pStyle w:val="Normal"/>
        <w:ind w:left="720" w:hanging="720"/>
        <w:jc w:val="both"/>
      </w:pPr>
      <w:r>
        <w:rPr>
          <w:szCs w:val="22"/>
          <w:lang w:val="en-US" w:eastAsia="en-US" w:bidi="ar-SA"/>
          <w:rFonts w:ascii="Times New Roman" w:hAnsi="Times New Roman" w:eastAsia="Times New Roman" w:cs="Times New Roman"/>
          <w:sz w:val="24"/>
        </w:rPr>
        <w:t>Chen, K., &amp; Chan, A. H. S. (2014). Gerontechnology acceptance by elderly Hong Kong Chinese: A senior technology acceptance model (STAM). Ergonomics, 57(5), 635–652.</w:t>
      </w:r>
    </w:p>
    <w:p>
      <w:pPr>
        <w:pStyle w:val="Normal"/>
        <w:ind w:left="720" w:hanging="720"/>
        <w:jc w:val="both"/>
      </w:pPr>
      <w:r>
        <w:rPr>
          <w:szCs w:val="22"/>
          <w:lang w:val="en-US" w:eastAsia="en-US" w:bidi="ar-SA"/>
          <w:rFonts w:ascii="Times New Roman" w:hAnsi="Times New Roman" w:eastAsia="Times New Roman" w:cs="Times New Roman"/>
          <w:sz w:val="24"/>
        </w:rPr>
        <w:t>Chou, Y. (2015). Actionable gamification: Beyond points, badges, and leaderboards. Octalysis Media.</w:t>
      </w:r>
    </w:p>
    <w:p>
      <w:pPr>
        <w:pStyle w:val="Normal"/>
        <w:ind w:left="720" w:hanging="720"/>
        <w:jc w:val="both"/>
      </w:pPr>
      <w:r>
        <w:rPr>
          <w:szCs w:val="22"/>
          <w:lang w:val="en-US" w:eastAsia="en-US" w:bidi="ar-SA"/>
          <w:rFonts w:ascii="Times New Roman" w:hAnsi="Times New Roman" w:eastAsia="Times New Roman" w:cs="Times New Roman"/>
          <w:sz w:val="24"/>
        </w:rPr>
        <w:t>Compeau, D. R., &amp; Higgins, C. A. (1995). Computer self-efficacy: Development of a measure and initial test. MIS Quarterly, 19(2), 189–211.</w:t>
      </w:r>
    </w:p>
    <w:p>
      <w:pPr>
        <w:pStyle w:val="Normal"/>
        <w:ind w:left="720" w:hanging="720"/>
        <w:jc w:val="both"/>
      </w:pPr>
      <w:r>
        <w:rPr>
          <w:szCs w:val="22"/>
          <w:lang w:val="en-US" w:eastAsia="en-US" w:bidi="ar-SA"/>
          <w:rFonts w:ascii="Times New Roman" w:hAnsi="Times New Roman" w:eastAsia="Times New Roman" w:cs="Times New Roman"/>
          <w:sz w:val="24"/>
        </w:rPr>
        <w:t>Csikszentmihalyi, M. (1990). Flow: The psychology of optimal experience. Harper &amp; Row.</w:t>
      </w:r>
    </w:p>
    <w:p>
      <w:pPr/>
      <w:r>
        <w:t>Czaja, S. J., Boot, W. R., Charness, N., Rogers, W. A., &amp; Sharit, J. (2018). Improving social support for older adults through technology: Findings from the PRISM randomized controlled trial. The Gerontologist, 58(3), 467-477. https://doi.org/10.1093/geront/gnw249</w:t>
      </w:r>
    </w:p>
    <w:p>
      <w:pPr>
        <w:pStyle w:val="Normal"/>
        <w:ind w:left="720" w:hanging="720"/>
        <w:jc w:val="both"/>
      </w:pPr>
      <w:r>
        <w:rPr>
          <w:szCs w:val="22"/>
          <w:lang w:val="en-US" w:eastAsia="en-US" w:bidi="ar-SA"/>
          <w:rFonts w:ascii="Times New Roman" w:hAnsi="Times New Roman" w:eastAsia="Times New Roman" w:cs="Times New Roman"/>
          <w:sz w:val="24"/>
        </w:rPr>
        <w:t>Davis, F. D. (1989). Perceived usefulness, perceived ease of use, and user acceptance of information technology. MIS Quarterly, 13(3), 319–340.</w:t>
      </w:r>
    </w:p>
    <w:p>
      <w:pPr>
        <w:pStyle w:val="Normal"/>
        <w:ind w:left="720" w:hanging="720"/>
        <w:jc w:val="both"/>
      </w:pPr>
      <w:r>
        <w:rPr>
          <w:szCs w:val="22"/>
          <w:lang w:val="en-US" w:eastAsia="en-US" w:bidi="ar-SA"/>
          <w:rFonts w:ascii="Times New Roman" w:hAnsi="Times New Roman" w:eastAsia="Times New Roman" w:cs="Times New Roman"/>
          <w:sz w:val="24"/>
        </w:rPr>
        <w:t>Deci, E. L., &amp; Ryan, R. M. (1985). Intrinsic motivation and self-determination in human behavior. Plenum.</w:t>
      </w:r>
    </w:p>
    <w:p>
      <w:pPr>
        <w:pStyle w:val="Normal"/>
        <w:ind w:left="720" w:hanging="720"/>
        <w:jc w:val="both"/>
      </w:pPr>
      <w:r>
        <w:rPr>
          <w:szCs w:val="22"/>
          <w:lang w:val="en-US" w:eastAsia="en-US" w:bidi="ar-SA"/>
          <w:rFonts w:ascii="Times New Roman" w:hAnsi="Times New Roman" w:eastAsia="Times New Roman" w:cs="Times New Roman"/>
          <w:sz w:val="24"/>
        </w:rPr>
        <w:t>Deterding, S., Dixon, D., Khaled, R., &amp; Nacke, L. (2011). From game design elements to gamefulness: Defining gamification. In Proceedings of the 15th International Academic MindTrek Conference (pp. 9–15). ACM.</w:t>
      </w:r>
    </w:p>
    <w:p>
      <w:pPr>
        <w:pStyle w:val="Normal"/>
        <w:ind w:left="720" w:hanging="720"/>
        <w:jc w:val="both"/>
      </w:pPr>
      <w:r>
        <w:rPr>
          <w:szCs w:val="22"/>
          <w:lang w:val="en-US" w:eastAsia="en-US" w:bidi="ar-SA"/>
          <w:rFonts w:ascii="Times New Roman" w:hAnsi="Times New Roman" w:eastAsia="Times New Roman" w:cs="Times New Roman"/>
          <w:sz w:val="24"/>
        </w:rPr>
        <w:t>D'Mello, S., &amp; Graesser, A. (2012). Dynamics of affective states during complex learning. Learning and Instruction, 22(2), 145–157.</w:t>
      </w:r>
    </w:p>
    <w:p>
      <w:pPr>
        <w:pStyle w:val="Normal"/>
        <w:ind w:left="720" w:hanging="720"/>
        <w:jc w:val="both"/>
      </w:pPr>
      <w:r>
        <w:rPr>
          <w:szCs w:val="22"/>
          <w:lang w:val="en-US" w:eastAsia="en-US" w:bidi="ar-SA"/>
          <w:rFonts w:ascii="Times New Roman" w:hAnsi="Times New Roman" w:eastAsia="Times New Roman" w:cs="Times New Roman"/>
          <w:sz w:val="24"/>
        </w:rPr>
        <w:t>Elliot, A. J., &amp; Murayama, K. (2008). On the measurement of achievement goals: Critique, illustration, and application. Journal of Educational Psychology, 100(3), 613–628.</w:t>
      </w:r>
    </w:p>
    <w:p>
      <w:pPr>
        <w:pStyle w:val="Normal"/>
        <w:ind w:left="720" w:hanging="720"/>
        <w:jc w:val="both"/>
      </w:pPr>
      <w:r>
        <w:rPr>
          <w:szCs w:val="22"/>
          <w:lang w:val="en-US" w:eastAsia="en-US" w:bidi="ar-SA"/>
          <w:rFonts w:ascii="Times New Roman" w:hAnsi="Times New Roman" w:eastAsia="Times New Roman" w:cs="Times New Roman"/>
          <w:sz w:val="24"/>
        </w:rPr>
        <w:t>Eysenbach, G. (2005). The law of attrition. Journal of Medical Internet Research, 7(1), e11.</w:t>
      </w:r>
    </w:p>
    <w:p>
      <w:pPr>
        <w:pStyle w:val="Normal"/>
        <w:ind w:left="720" w:hanging="720"/>
        <w:jc w:val="both"/>
      </w:pPr>
      <w:r>
        <w:rPr>
          <w:szCs w:val="22"/>
          <w:lang w:val="en-US" w:eastAsia="en-US" w:bidi="ar-SA"/>
          <w:rFonts w:ascii="Times New Roman" w:hAnsi="Times New Roman" w:eastAsia="Times New Roman" w:cs="Times New Roman"/>
          <w:sz w:val="24"/>
        </w:rPr>
        <w:t>Festinger, L. (1954). A theory of social comparison processes. Human Relations, 7(2), 117–140.</w:t>
      </w:r>
    </w:p>
    <w:p>
      <w:pPr>
        <w:pStyle w:val="Normal"/>
        <w:ind w:left="720" w:hanging="720"/>
        <w:jc w:val="both"/>
      </w:pPr>
      <w:r>
        <w:rPr>
          <w:szCs w:val="22"/>
          <w:lang w:val="en-US" w:eastAsia="en-US" w:bidi="ar-SA"/>
          <w:rFonts w:ascii="Times New Roman" w:hAnsi="Times New Roman" w:eastAsia="Times New Roman" w:cs="Times New Roman"/>
          <w:sz w:val="24"/>
        </w:rPr>
        <w:t>Frey, B. S., &amp; Jegen, R. (2001). Motivation crowding theory. Journal of Economic Surveys, 15(5), 589–611.</w:t>
      </w:r>
    </w:p>
    <w:p>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r>
        <w:t>GrandPad. (n.d.). GrandPad: The tablet for seniors [Product and subscription information]. GrandPad, Inc. https://www.grandpad.net</w:t>
      </w:r>
    </w:p>
    <w:p>
      <w:pPr>
        <w:pStyle w:val="Normal"/>
        <w:ind w:left="720" w:hanging="720"/>
        <w:jc w:val="both"/>
      </w:pPr>
      <w:r>
        <w:rPr>
          <w:szCs w:val="22"/>
          <w:lang w:val="en-US" w:eastAsia="en-US" w:bidi="ar-SA"/>
          <w:rFonts w:ascii="Times New Roman" w:hAnsi="Times New Roman" w:eastAsia="Times New Roman" w:cs="Times New Roman"/>
          <w:sz w:val="24"/>
        </w:rP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pStyle w:val="Normal"/>
        <w:ind w:left="720" w:hanging="720"/>
        <w:jc w:val="both"/>
      </w:pPr>
      <w:r>
        <w:rPr>
          <w:szCs w:val="22"/>
          <w:lang w:val="en-US" w:eastAsia="en-US" w:bidi="ar-SA"/>
          <w:rFonts w:ascii="Times New Roman" w:hAnsi="Times New Roman" w:eastAsia="Times New Roman" w:cs="Times New Roman"/>
          <w:sz w:val="24"/>
        </w:rPr>
        <w:t>Harnad, S. (1990). The symbol grounding problem. Physica D: Nonlinear Phenomena, 42(1–3), 335–346.</w:t>
      </w:r>
    </w:p>
    <w:p>
      <w:pPr>
        <w:pStyle w:val="Normal"/>
        <w:ind w:left="720" w:hanging="720"/>
        <w:jc w:val="both"/>
      </w:pPr>
      <w:r>
        <w:rPr>
          <w:szCs w:val="22"/>
          <w:lang w:val="en-US" w:eastAsia="en-US" w:bidi="ar-SA"/>
          <w:rFonts w:ascii="Times New Roman" w:hAnsi="Times New Roman" w:eastAsia="Times New Roman" w:cs="Times New Roman"/>
          <w:sz w:val="24"/>
        </w:rPr>
        <w:t>Hawthorn, D. (2007). Interface design and engagement with older people. Behaviour &amp; Information Technology, 26(4), 333–341.</w:t>
      </w:r>
    </w:p>
    <w:p>
      <w:pPr>
        <w:pStyle w:val="Normal"/>
        <w:ind w:left="720" w:hanging="720"/>
        <w:jc w:val="both"/>
      </w:pPr>
      <w:r>
        <w:rPr>
          <w:szCs w:val="22"/>
          <w:lang w:val="en-US" w:eastAsia="en-US" w:bidi="ar-SA"/>
          <w:rFonts w:ascii="Times New Roman" w:hAnsi="Times New Roman" w:eastAsia="Times New Roman" w:cs="Times New Roman"/>
          <w:sz w:val="24"/>
        </w:rPr>
        <w:t>Holt, C. A., &amp; Laury, S. K. (2002). Risk aversion and incentive effects. American Economic Review, 92(5), 1644–1655.</w:t>
      </w:r>
    </w:p>
    <w:p>
      <w:pPr>
        <w:pStyle w:val="Normal"/>
        <w:ind w:left="720" w:hanging="720"/>
        <w:jc w:val="both"/>
      </w:pPr>
      <w:r>
        <w:rPr>
          <w:szCs w:val="22"/>
          <w:lang w:val="en-US" w:eastAsia="en-US" w:bidi="ar-SA"/>
          <w:rFonts w:ascii="Times New Roman" w:hAnsi="Times New Roman" w:eastAsia="Times New Roman" w:cs="Times New Roman"/>
          <w:sz w:val="24"/>
        </w:rPr>
        <w:t>InBody Co., Ltd. (2022). InBody FRA510S: Fall risk assessment system — user manual and product catalogue. InBody Co., Ltd.</w:t>
      </w:r>
    </w:p>
    <w:p>
      <w:pPr>
        <w:pStyle w:val="Normal"/>
        <w:ind w:left="720" w:hanging="720"/>
        <w:jc w:val="both"/>
      </w:pPr>
      <w:r>
        <w:rPr>
          <w:szCs w:val="22"/>
          <w:lang w:val="en-US" w:eastAsia="en-US" w:bidi="ar-SA"/>
          <w:rFonts w:ascii="Times New Roman" w:hAnsi="Times New Roman" w:eastAsia="Times New Roman" w:cs="Times New Roman"/>
          <w:sz w:val="24"/>
        </w:rPr>
        <w:t>Juul, J. (2013). The art of failure: An essay on the pain of playing video games. MIT Press.</w:t>
      </w:r>
    </w:p>
    <w:p>
      <w:pPr>
        <w:pStyle w:val="Normal"/>
        <w:ind w:left="720" w:hanging="720"/>
        <w:jc w:val="both"/>
      </w:pPr>
      <w:r>
        <w:rPr>
          <w:szCs w:val="22"/>
          <w:lang w:val="en-US" w:eastAsia="en-US" w:bidi="ar-SA"/>
          <w:rFonts w:ascii="Times New Roman" w:hAnsi="Times New Roman" w:eastAsia="Times New Roman" w:cs="Times New Roman"/>
          <w:sz w:val="24"/>
        </w:rPr>
        <w:t>Kahneman, D., Knetsch, J. L., &amp; Thaler, R. H. (1990). Experimental tests of the endowment effect and the Coase theorem. Journal of Political Economy, 98(6), 1325–1348.</w:t>
      </w:r>
    </w:p>
    <w:p>
      <w:pPr>
        <w:pStyle w:val="Normal"/>
        <w:ind w:left="720" w:hanging="720"/>
        <w:jc w:val="both"/>
      </w:pPr>
      <w:r>
        <w:rPr>
          <w:szCs w:val="22"/>
          <w:lang w:val="en-US" w:eastAsia="en-US" w:bidi="ar-SA"/>
          <w:rFonts w:ascii="Times New Roman" w:hAnsi="Times New Roman" w:eastAsia="Times New Roman" w:cs="Times New Roman"/>
          <w:sz w:val="24"/>
        </w:rPr>
        <w:t>Kahneman, D., &amp; Tversky, A. (1979). Prospect theory: An analysis of decision under risk. Econometrica, 47(2), 263–292.</w:t>
      </w:r>
    </w:p>
    <w:p>
      <w:pPr>
        <w:pStyle w:val="Normal"/>
        <w:ind w:left="720" w:hanging="720"/>
        <w:jc w:val="both"/>
      </w:pPr>
      <w:r>
        <w:rPr>
          <w:szCs w:val="22"/>
          <w:lang w:val="en-US" w:eastAsia="en-US" w:bidi="ar-SA"/>
          <w:rFonts w:ascii="Times New Roman" w:hAnsi="Times New Roman" w:eastAsia="Times New Roman" w:cs="Times New Roman"/>
          <w:sz w:val="24"/>
        </w:rPr>
        <w:t>Kapur, M. (2008). Productive failure. Cognition and Instruction, 26(3), 379–424.</w:t>
      </w:r>
    </w:p>
    <w:p>
      <w:pPr>
        <w:pStyle w:val="Normal"/>
        <w:ind w:left="720" w:hanging="720"/>
        <w:jc w:val="both"/>
      </w:pPr>
      <w:r>
        <w:rPr>
          <w:szCs w:val="22"/>
          <w:lang w:val="en-US" w:eastAsia="en-US" w:bidi="ar-SA"/>
          <w:rFonts w:ascii="Times New Roman" w:hAnsi="Times New Roman" w:eastAsia="Times New Roman" w:cs="Times New Roman"/>
          <w:sz w:val="24"/>
        </w:rPr>
        <w:t>Kim, M., Kim, S., &amp; Won, C. W. (2018). Test–retest reliability and sensitivity to change of a new fall risk assessment system: A pilot study. Annals of Geriatric Medicine and Research, 22(2), 80–87. https://doi.org/10.4235/agmr.2018.22.2.80</w:t>
      </w:r>
    </w:p>
    <w:p>
      <w:pPr>
        <w:pStyle w:val="Normal"/>
        <w:ind w:left="720" w:hanging="720"/>
        <w:jc w:val="both"/>
      </w:pPr>
      <w:r>
        <w:rPr>
          <w:szCs w:val="22"/>
          <w:lang w:val="en-US" w:eastAsia="en-US" w:bidi="ar-SA"/>
          <w:rFonts w:ascii="Times New Roman" w:hAnsi="Times New Roman" w:eastAsia="Times New Roman" w:cs="Times New Roman"/>
          <w:sz w:val="24"/>
        </w:rPr>
        <w:t>King, W. R., &amp; He, J. (2006). A meta-analysis of the technology acceptance model. Information &amp; Management, 43(6), 740–755.</w:t>
      </w:r>
    </w:p>
    <w:p>
      <w:pPr>
        <w:pStyle w:val="Normal"/>
        <w:ind w:left="720" w:hanging="720"/>
        <w:jc w:val="both"/>
      </w:pPr>
      <w:r>
        <w:rPr>
          <w:szCs w:val="22"/>
          <w:lang w:val="en-US" w:eastAsia="en-US" w:bidi="ar-SA"/>
          <w:rFonts w:ascii="Times New Roman" w:hAnsi="Times New Roman" w:eastAsia="Times New Roman" w:cs="Times New Roman"/>
          <w:sz w:val="24"/>
        </w:rPr>
        <w:t>Koivisto, J., &amp; Malik, A. (2021). Gamification for older adults: A systematic literature review. The Gerontologist, 61(7), e360–e372.</w:t>
      </w:r>
    </w:p>
    <w:p>
      <w:pPr>
        <w:pStyle w:val="Normal"/>
        <w:ind w:left="720" w:hanging="720"/>
        <w:jc w:val="both"/>
      </w:pPr>
      <w:r>
        <w:rPr>
          <w:szCs w:val="22"/>
          <w:lang w:val="en-US" w:eastAsia="en-US" w:bidi="ar-SA"/>
          <w:rFonts w:ascii="Times New Roman" w:hAnsi="Times New Roman" w:eastAsia="Times New Roman" w:cs="Times New Roman"/>
          <w:sz w:val="24"/>
        </w:rPr>
        <w:t>Kroenke, K., Spitzer, R. L., Williams, J. B. W., &amp; Löwe, B. (2009). An ultra-brief screening scale for anxiety and depression: The PHQ-4. Psychosomatics, 50(6), 613–621.</w:t>
      </w:r>
    </w:p>
    <w:p>
      <w:pPr>
        <w:pStyle w:val="Normal"/>
        <w:ind w:left="720" w:hanging="720"/>
        <w:jc w:val="both"/>
      </w:pPr>
      <w:r>
        <w:rPr>
          <w:szCs w:val="22"/>
          <w:lang w:val="en-US" w:eastAsia="en-US" w:bidi="ar-SA"/>
          <w:rFonts w:ascii="Times New Roman" w:hAnsi="Times New Roman" w:eastAsia="Times New Roman" w:cs="Times New Roman"/>
          <w:sz w:val="24"/>
        </w:rPr>
        <w:t>Lee, C., &amp; Coughlin, J. F. (2015). Older adults' adoption of technology: An integrated approach to identifying determinants and barriers. Journal of Product Innovation Management, 32(5), 747–759.</w:t>
      </w:r>
    </w:p>
    <w:p>
      <w:pPr>
        <w:pStyle w:val="Normal"/>
        <w:ind w:left="720" w:hanging="720"/>
        <w:jc w:val="both"/>
      </w:pPr>
      <w:r>
        <w:rPr>
          <w:szCs w:val="22"/>
          <w:lang w:val="en-US" w:eastAsia="en-US" w:bidi="ar-SA"/>
          <w:rFonts w:ascii="Times New Roman" w:hAnsi="Times New Roman" w:eastAsia="Times New Roman" w:cs="Times New Roman"/>
          <w:sz w:val="24"/>
        </w:rPr>
        <w:t>Levy, B. R., Slade, M. D., Kunkel, S. R., &amp; Kasl, S. V. (2002). Longevity increased by positive self-perceptions of aging. Journal of Personality and Social Psychology, 83(2), 261–270.</w:t>
      </w:r>
    </w:p>
    <w:p>
      <w:pPr>
        <w:pStyle w:val="Normal"/>
        <w:ind w:left="720" w:hanging="720"/>
        <w:jc w:val="both"/>
      </w:pPr>
      <w:r>
        <w:rPr>
          <w:szCs w:val="22"/>
          <w:lang w:val="en-US" w:eastAsia="en-US" w:bidi="ar-SA"/>
          <w:rFonts w:ascii="Times New Roman" w:hAnsi="Times New Roman" w:eastAsia="Times New Roman" w:cs="Times New Roman"/>
          <w:sz w:val="24"/>
        </w:rPr>
        <w:t>Lewin, K. (1946). Action research and minority problems. Journal of Social Issues, 2(4), 34–46.</w:t>
      </w:r>
    </w:p>
    <w:p>
      <w:pPr/>
      <w:r>
        <w:t>Liu, X., Cruz Rivera, S., Moher, D., Calvert, M. J., Denniston, A. K., &amp; SPIRIT-AI and CONSORT-AI Working Group. (2020). Reporting guidelines for clinical trials evaluating artificial intelligence interventions: The SPIRIT-AI and CONSORT-AI extensions. Nature Medicine, 26(9), 1364-1374.</w:t>
      </w:r>
    </w:p>
    <w:p>
      <w:pPr>
        <w:pStyle w:val="Normal"/>
        <w:ind w:left="720" w:hanging="720"/>
        <w:jc w:val="both"/>
      </w:pPr>
      <w:r>
        <w:rPr>
          <w:szCs w:val="22"/>
          <w:lang w:val="en-US" w:eastAsia="en-US" w:bidi="ar-SA"/>
          <w:rFonts w:ascii="Times New Roman" w:hAnsi="Times New Roman" w:eastAsia="Times New Roman" w:cs="Times New Roman"/>
          <w:sz w:val="24"/>
        </w:rPr>
        <w:t>Locke, E. A., &amp; Latham, G. P. (2002). Building a practically useful theory of goal setting and task motivation: A 35-year odyssey. American Psychologist, 57(9), 705–717.</w:t>
      </w:r>
    </w:p>
    <w:p>
      <w:pPr>
        <w:pStyle w:val="Normal"/>
        <w:ind w:left="720" w:hanging="720"/>
        <w:jc w:val="both"/>
      </w:pPr>
      <w:r>
        <w:rPr>
          <w:szCs w:val="22"/>
          <w:lang w:val="en-US" w:eastAsia="en-US" w:bidi="ar-SA"/>
          <w:rFonts w:ascii="Times New Roman" w:hAnsi="Times New Roman" w:eastAsia="Times New Roman" w:cs="Times New Roman"/>
          <w:sz w:val="24"/>
        </w:rPr>
        <w:t>McGlone, M. S., &amp; Aronson, J. (2006). Stereotype threat, identity salience, and spatial reasoning. Journal of Applied Developmental Psychology, 27(5), 486–493.</w:t>
      </w:r>
    </w:p>
    <w:p>
      <w:pPr>
        <w:pStyle w:val="Normal"/>
        <w:ind w:left="720" w:hanging="720"/>
        <w:jc w:val="both"/>
      </w:pPr>
      <w:r>
        <w:rPr>
          <w:szCs w:val="22"/>
          <w:lang w:val="en-US" w:eastAsia="en-US" w:bidi="ar-SA"/>
          <w:rFonts w:ascii="Times New Roman" w:hAnsi="Times New Roman" w:eastAsia="Times New Roman" w:cs="Times New Roman"/>
          <w:sz w:val="24"/>
        </w:rPr>
        <w:t>Michie, S., van Stralen, M. M., &amp; West, R. (2011). The behaviour change wheel: A new method for characterising and designing behaviour change interventions. Implementation Science, 6, 42.</w:t>
      </w:r>
    </w:p>
    <w:p>
      <w:pPr>
        <w:pStyle w:val="Normal"/>
        <w:ind w:left="720" w:hanging="720"/>
        <w:jc w:val="both"/>
      </w:pPr>
      <w:r>
        <w:rPr>
          <w:szCs w:val="22"/>
          <w:lang w:val="en-US" w:eastAsia="en-US" w:bidi="ar-SA"/>
          <w:rFonts w:ascii="Times New Roman" w:hAnsi="Times New Roman" w:eastAsia="Times New Roman" w:cs="Times New Roman"/>
          <w:sz w:val="24"/>
        </w:rPr>
        <w:t xml:space="preserve">Nasreddine, Z. S., Phillips, N. A., Bédirian, V., Charbonneau, S., Whitehead, V., Collin, I., Cummings, J. L., &amp; Chertkow, H. (2005). The Montreal Cognitive Assessment, </w:t>
        <w:t>MoCA: A brief screening tool for mild cognitive impairment. Journal of the American Geriatrics Society, 53(4), 695–699.</w:t>
      </w:r>
    </w:p>
    <w:p>
      <w:pPr/>
      <w:r>
        <w:t>Park, D. C., Lodi-Smith, J., Drew, L., Haber, S., Hebrank, A., Bischof, G. N., &amp; Aamodt, W. (2014). The impact of sustained engagement on cognitive function in older adults: The Synapse Project. Psychological Science, 25(1), 103-112. https://doi.org/10.1177/0956797613499592</w:t>
      </w:r>
    </w:p>
    <w:p>
      <w:pPr>
        <w:pStyle w:val="Normal"/>
        <w:ind w:left="720" w:hanging="720"/>
        <w:jc w:val="both"/>
      </w:pPr>
      <w:r>
        <w:rPr>
          <w:szCs w:val="22"/>
          <w:lang w:val="en-US" w:eastAsia="en-US" w:bidi="ar-SA"/>
          <w:rFonts w:ascii="Times New Roman" w:hAnsi="Times New Roman" w:eastAsia="Times New Roman" w:cs="Times New Roman"/>
          <w:sz w:val="24"/>
        </w:rPr>
        <w:t>Park, W.-C., Kim, M., Kim, S., Yoo, J., Kim, B. S., Chon, J., Jeong, S. J., &amp; Won, C. W. (2019). Introduction of fall risk assessment (FRA) system and cross-sectional validation among community-dwelling older adults. Annals of Rehabilitation Medicine, 43(1), 87–95. https://doi.org/10.5535/arm.2019.43.1.87</w:t>
      </w:r>
    </w:p>
    <w:p>
      <w:pPr/>
      <w:r>
        <w:t>Perissinotto, C., Zhang, C., Oseau, T., Balik, D., Sou, C., Burnight, C., &amp; Burnight, K. (2019). Feasibility of a tablet designed for older adults to facilitate telemedicine visits [Conference abstract]. Innovation in Aging, 3(Suppl. 1), S975. https://doi.org/10.1093/geroni/igz038.3534</w:t>
      </w:r>
    </w:p>
    <w:p>
      <w:pPr>
        <w:pStyle w:val="Normal"/>
        <w:ind w:left="720" w:hanging="720"/>
        <w:jc w:val="both"/>
      </w:pPr>
      <w:r>
        <w:rPr>
          <w:szCs w:val="22"/>
          <w:lang w:val="en-US" w:eastAsia="en-US" w:bidi="ar-SA"/>
          <w:rFonts w:ascii="Times New Roman" w:hAnsi="Times New Roman" w:eastAsia="Times New Roman" w:cs="Times New Roman"/>
          <w:sz w:val="24"/>
        </w:rPr>
        <w:t>Picard, R. W. (1997). Affective computing. MIT Press.</w:t>
      </w:r>
    </w:p>
    <w:p>
      <w:pPr/>
      <w:r>
        <w:t>Plass, J. L., Homer, B. D., &amp; Kinzer, C. K. (2015). Foundations of game-based learning. Educational Psychologist, 50(4), 258-283.</w:t>
      </w:r>
    </w:p>
    <w:p>
      <w:pPr>
        <w:pStyle w:val="Normal"/>
        <w:ind w:left="720" w:hanging="720"/>
        <w:jc w:val="both"/>
      </w:pPr>
      <w:r>
        <w:rPr>
          <w:szCs w:val="22"/>
          <w:lang w:val="en-US" w:eastAsia="en-US" w:bidi="ar-SA"/>
          <w:rFonts w:ascii="Times New Roman" w:hAnsi="Times New Roman" w:eastAsia="Times New Roman" w:cs="Times New Roman"/>
          <w:sz w:val="24"/>
        </w:rPr>
        <w:t>Reason, P., &amp; Bradbury, H. (Eds.). (2008). The SAGE handbook of action research: Participative inquiry and practice (2nd ed.). SAGE.</w:t>
      </w:r>
    </w:p>
    <w:p>
      <w:pPr>
        <w:pStyle w:val="Normal"/>
        <w:ind w:left="720" w:hanging="720"/>
        <w:jc w:val="both"/>
      </w:pPr>
      <w:r>
        <w:rPr>
          <w:szCs w:val="22"/>
          <w:lang w:val="en-US" w:eastAsia="en-US" w:bidi="ar-SA"/>
          <w:rFonts w:ascii="Times New Roman" w:hAnsi="Times New Roman" w:eastAsia="Times New Roman" w:cs="Times New Roman"/>
          <w:sz w:val="24"/>
        </w:rPr>
        <w:t>Ryan, R. M., &amp; Deci, E. L. (2000). Self-determination theory and the facilitation of intrinsic motivation, social development, and well-being. American Psychologist, 55(1), 68–78.</w:t>
      </w:r>
    </w:p>
    <w:p>
      <w:pPr>
        <w:pStyle w:val="Normal"/>
        <w:ind w:left="720" w:hanging="720"/>
        <w:jc w:val="both"/>
      </w:pPr>
      <w:r>
        <w:rPr>
          <w:szCs w:val="22"/>
          <w:lang w:val="en-US" w:eastAsia="en-US" w:bidi="ar-SA"/>
          <w:rFonts w:ascii="Times New Roman" w:hAnsi="Times New Roman" w:eastAsia="Times New Roman" w:cs="Times New Roman"/>
          <w:sz w:val="24"/>
        </w:rPr>
        <w:t>Satchell, C., &amp; Dourish, P. (2009). Beyond the user: Use and non-use in HCI. In Proceedings of OzCHI 2009 (pp. 9–16). ACM.</w:t>
      </w:r>
    </w:p>
    <w:p>
      <w:pPr>
        <w:pStyle w:val="Normal"/>
        <w:ind w:left="720" w:hanging="720"/>
        <w:jc w:val="both"/>
      </w:pPr>
      <w:r>
        <w:rPr>
          <w:szCs w:val="22"/>
          <w:lang w:val="en-US" w:eastAsia="en-US" w:bidi="ar-SA"/>
          <w:rFonts w:ascii="Times New Roman" w:hAnsi="Times New Roman" w:eastAsia="Times New Roman" w:cs="Times New Roman"/>
          <w:sz w:val="24"/>
        </w:rPr>
        <w:t>Schroeder, T., Dodds, L., Georgiou, A., Gewald, H., &amp; Siette, J. (2023). Older adults and new technology: Mapping review of the factors associated with older adults' intention to adopt digital technologies. JMIR Aging, 6, e44564.</w:t>
      </w:r>
    </w:p>
    <w:p>
      <w:pPr>
        <w:pStyle w:val="Normal"/>
        <w:ind w:left="720" w:hanging="720"/>
        <w:jc w:val="both"/>
      </w:pPr>
      <w:r>
        <w:rPr>
          <w:szCs w:val="22"/>
          <w:lang w:val="en-US" w:eastAsia="en-US" w:bidi="ar-SA"/>
          <w:rFonts w:ascii="Times New Roman" w:hAnsi="Times New Roman" w:eastAsia="Times New Roman" w:cs="Times New Roman"/>
          <w:sz w:val="24"/>
        </w:rPr>
        <w:t>Shannon, C. E. (1948). A mathematical theory of communication. Bell System Technical Journal, 27(3), 379–423; 27(4), 623–656.</w:t>
      </w:r>
    </w:p>
    <w:p>
      <w:pPr>
        <w:pStyle w:val="Normal"/>
        <w:ind w:left="720" w:hanging="720"/>
        <w:jc w:val="both"/>
      </w:pPr>
      <w:r>
        <w:rPr>
          <w:szCs w:val="22"/>
          <w:lang w:val="en-US" w:eastAsia="en-US" w:bidi="ar-SA"/>
          <w:rFonts w:ascii="Times New Roman" w:hAnsi="Times New Roman" w:eastAsia="Times New Roman" w:cs="Times New Roman"/>
          <w:sz w:val="24"/>
        </w:rPr>
        <w:t>Standing Committee of the National People's Congress. (2021). Personal information protection law of the People's Republic of China.</w:t>
      </w:r>
    </w:p>
    <w:p>
      <w:pPr>
        <w:pStyle w:val="Normal"/>
        <w:ind w:left="720" w:hanging="720"/>
        <w:jc w:val="both"/>
      </w:pPr>
      <w:r>
        <w:rPr>
          <w:szCs w:val="22"/>
          <w:lang w:val="en-US" w:eastAsia="en-US" w:bidi="ar-SA"/>
          <w:rFonts w:ascii="Times New Roman" w:hAnsi="Times New Roman" w:eastAsia="Times New Roman" w:cs="Times New Roman"/>
          <w:sz w:val="24"/>
        </w:rPr>
        <w:t>Steele, C. M., &amp; Aronson, J. (1995). Stereotype threat and the intellectual test performance of African Americans. Journal of Personality and Social Psychology, 69(5), 797–811.</w:t>
      </w:r>
    </w:p>
    <w:p>
      <w:pPr>
        <w:pStyle w:val="Normal"/>
        <w:ind w:left="720" w:hanging="720"/>
        <w:jc w:val="both"/>
      </w:pPr>
      <w:r>
        <w:rPr>
          <w:szCs w:val="22"/>
          <w:lang w:val="en-US" w:eastAsia="en-US" w:bidi="ar-SA"/>
          <w:rFonts w:ascii="Times New Roman" w:hAnsi="Times New Roman" w:eastAsia="Times New Roman" w:cs="Times New Roman"/>
          <w:sz w:val="24"/>
        </w:rPr>
        <w:t>Stringer, E. T. (2014). Action research (4th ed.). SAGE.</w:t>
      </w:r>
    </w:p>
    <w:p>
      <w:pPr/>
      <w:r>
        <w:t>Tha, S. H., Hough, K., Bui, N., Dulaney, S., &amp; Perissinotto, C. (2025). The use of age-friendly technology in the care of older adults: Two implementation case studies. Journal of Applied Gerontology. https://doi.org/10.1177/07334648251343513</w:t>
      </w:r>
    </w:p>
    <w:p>
      <w:pPr>
        <w:pStyle w:val="Normal"/>
        <w:ind w:left="720" w:hanging="720"/>
        <w:jc w:val="both"/>
      </w:pPr>
      <w:r>
        <w:rPr>
          <w:szCs w:val="22"/>
          <w:lang w:val="en-US" w:eastAsia="en-US" w:bidi="ar-SA"/>
          <w:rFonts w:ascii="Times New Roman" w:hAnsi="Times New Roman" w:eastAsia="Times New Roman" w:cs="Times New Roman"/>
          <w:sz w:val="24"/>
        </w:rPr>
        <w:t>Thaler, R. H. (1980). Toward a positive theory of consumer choice. Journal of Economic Behavior &amp; Organization, 1(1), 39–60.</w:t>
      </w:r>
    </w:p>
    <w:p>
      <w:pPr>
        <w:pStyle w:val="Normal"/>
        <w:ind w:left="720" w:hanging="720"/>
        <w:jc w:val="both"/>
      </w:pPr>
      <w:r>
        <w:rPr>
          <w:szCs w:val="22"/>
          <w:lang w:val="en-US" w:eastAsia="en-US" w:bidi="ar-SA"/>
          <w:rFonts w:ascii="Times New Roman" w:hAnsi="Times New Roman" w:eastAsia="Times New Roman" w:cs="Times New Roman"/>
          <w:sz w:val="24"/>
        </w:rPr>
        <w:t>Thaler, R. H. (1985). Mental accounting and consumer choice. Marketing Science, 4(3), 199–214.</w:t>
      </w:r>
    </w:p>
    <w:p>
      <w:pPr>
        <w:pStyle w:val="Normal"/>
        <w:ind w:left="720" w:hanging="720"/>
        <w:jc w:val="both"/>
      </w:pPr>
      <w:r>
        <w:rPr>
          <w:szCs w:val="22"/>
          <w:lang w:val="en-US" w:eastAsia="en-US" w:bidi="ar-SA"/>
          <w:rFonts w:ascii="Times New Roman" w:hAnsi="Times New Roman" w:eastAsia="Times New Roman" w:cs="Times New Roman"/>
          <w:sz w:val="24"/>
        </w:rPr>
        <w:t>Tsai, T. H., Lin, W. Y., Chang, Y. S., Chang, P. C., &amp; Lee, M. Y. (2020). Technology anxiety and resistance to change: Behavioural study of a wearable cardiac warming system using an extended TAM for older adults. PLOS ONE, 15(1), e0227270. https://doi.org/10.1371/journal.pone.0227270</w:t>
      </w:r>
    </w:p>
    <w:p>
      <w:pPr>
        <w:pStyle w:val="Normal"/>
        <w:ind w:left="720" w:hanging="720"/>
        <w:jc w:val="both"/>
      </w:pPr>
      <w:r>
        <w:rPr>
          <w:szCs w:val="22"/>
          <w:lang w:val="en-US" w:eastAsia="en-US" w:bidi="ar-SA"/>
          <w:rFonts w:ascii="Times New Roman" w:hAnsi="Times New Roman" w:eastAsia="Times New Roman" w:cs="Times New Roman"/>
          <w:sz w:val="24"/>
        </w:rPr>
        <w:t>Tversky, A., &amp; Kahneman, D. (1991). Loss aversion in riskless choice: A reference-dependent model. Quarterly Journal of Economics, 106(4), 1039–1061.</w:t>
      </w:r>
    </w:p>
    <w:p>
      <w:pPr>
        <w:pStyle w:val="Normal"/>
        <w:ind w:left="720" w:hanging="720"/>
        <w:jc w:val="both"/>
      </w:pPr>
      <w:r>
        <w:rPr>
          <w:szCs w:val="22"/>
          <w:lang w:val="en-US" w:eastAsia="en-US" w:bidi="ar-SA"/>
          <w:rFonts w:ascii="Times New Roman" w:hAnsi="Times New Roman" w:eastAsia="Times New Roman" w:cs="Times New Roman"/>
          <w:sz w:val="24"/>
        </w:rPr>
        <w:t>VanLehn, K. (2011). The relative effectiveness of human tutoring, intelligent tutoring systems, and other tutoring systems. Educational Psychologist, 46(4), 197–221.</w:t>
      </w:r>
    </w:p>
    <w:p>
      <w:pPr>
        <w:pStyle w:val="Normal"/>
        <w:ind w:left="720" w:hanging="720"/>
        <w:jc w:val="both"/>
      </w:pPr>
      <w:r>
        <w:rPr>
          <w:szCs w:val="22"/>
          <w:lang w:val="en-US" w:eastAsia="en-US" w:bidi="ar-SA"/>
          <w:rFonts w:ascii="Times New Roman" w:hAnsi="Times New Roman" w:eastAsia="Times New Roman" w:cs="Times New Roman"/>
          <w:sz w:val="24"/>
        </w:rPr>
        <w:t>Venkatesh, V., &amp; Bala, H. (2008). Technology acceptance model 3 and a research agenda on interventions. Decision Sciences, 39(2), 273–315.</w:t>
      </w:r>
    </w:p>
    <w:p>
      <w:pPr>
        <w:pStyle w:val="Normal"/>
        <w:ind w:left="720" w:hanging="720"/>
        <w:jc w:val="both"/>
      </w:pPr>
      <w:r>
        <w:rPr>
          <w:szCs w:val="22"/>
          <w:lang w:val="en-US" w:eastAsia="en-US" w:bidi="ar-SA"/>
          <w:rFonts w:ascii="Times New Roman" w:hAnsi="Times New Roman" w:eastAsia="Times New Roman" w:cs="Times New Roman"/>
          <w:sz w:val="24"/>
        </w:rPr>
        <w:t>Venkatesh, V., &amp; Davis, F. D. (2000). A theoretical extension of the technology acceptance model: Four longitudinal field studies. Management Science, 46(2), 186–204.</w:t>
      </w:r>
    </w:p>
    <w:p>
      <w:pPr>
        <w:pStyle w:val="Normal"/>
        <w:ind w:left="720" w:hanging="720"/>
        <w:jc w:val="both"/>
      </w:pPr>
      <w:r>
        <w:rPr>
          <w:szCs w:val="22"/>
          <w:lang w:val="en-US" w:eastAsia="en-US" w:bidi="ar-SA"/>
          <w:rFonts w:ascii="Times New Roman" w:hAnsi="Times New Roman" w:eastAsia="Times New Roman" w:cs="Times New Roman"/>
          <w:sz w:val="24"/>
        </w:rPr>
        <w:t>Venkatesh, V., Morris, M. G., Davis, G. B., &amp; Davis, F. D. (2003). User acceptance of information technology: Toward a unified view. MIS Quarterly, 27(3), 425–478.</w:t>
      </w:r>
    </w:p>
    <w:p>
      <w:pPr>
        <w:pStyle w:val="Normal"/>
        <w:ind w:left="720" w:hanging="720"/>
        <w:jc w:val="both"/>
      </w:pPr>
      <w:r>
        <w:rPr>
          <w:szCs w:val="22"/>
          <w:lang w:val="en-US" w:eastAsia="en-US" w:bidi="ar-SA"/>
          <w:rFonts w:ascii="Times New Roman" w:hAnsi="Times New Roman" w:eastAsia="Times New Roman" w:cs="Times New Roman"/>
          <w:sz w:val="24"/>
        </w:rPr>
        <w:t>Vickers, A. J., &amp; Elkin, E. B. (2006). Decision curve analysis: A novel method for evaluating prediction models. Medical Decision Making, 26(6), 565–574.</w:t>
      </w:r>
    </w:p>
    <w:p>
      <w:pPr>
        <w:pStyle w:val="Normal"/>
        <w:ind w:left="720" w:hanging="720"/>
        <w:jc w:val="both"/>
      </w:pPr>
      <w:r>
        <w:rPr>
          <w:szCs w:val="22"/>
          <w:lang w:val="en-US" w:eastAsia="en-US" w:bidi="ar-SA"/>
          <w:rFonts w:ascii="Times New Roman" w:hAnsi="Times New Roman" w:eastAsia="Times New Roman" w:cs="Times New Roman"/>
          <w:sz w:val="24"/>
        </w:rPr>
        <w:t>Vygotsky, L. S. (1978). Mind in society: The development of higher psychological processes. Harvard University Press.</w:t>
      </w:r>
    </w:p>
    <w:p>
      <w:pPr>
        <w:pStyle w:val="Normal"/>
        <w:ind w:left="720" w:hanging="720"/>
        <w:jc w:val="both"/>
      </w:pPr>
      <w:r>
        <w:rPr>
          <w:szCs w:val="22"/>
          <w:lang w:val="en-US" w:eastAsia="en-US" w:bidi="ar-SA"/>
          <w:rFonts w:ascii="Times New Roman" w:hAnsi="Times New Roman" w:eastAsia="Times New Roman" w:cs="Times New Roman"/>
          <w:sz w:val="24"/>
        </w:rPr>
        <w:t>Wittgenstein, L. (1922). Tractatus logico-philosophicus (C. K. Ogden, Trans.). Kegan Paul, Trench, Trubner. (Original work published 1921)</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(2007). WHO global report on falls prevention in older age. World Health Organization.</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(2023). Falls (Fact sheet). World Health Organization. https://www.who.int/news-room/fact-sheets/detail/falls</w:t>
      </w:r>
    </w:p>
    <w:p>
      <w:pPr>
        <w:pStyle w:val="Normal"/>
      </w:pPr>
      <w:r>
        <w:rPr>
          <w:szCs w:val="22"/>
          <w:lang w:val="en-US" w:eastAsia="en-US" w:bidi="ar-SA"/>
          <w:rFonts w:ascii="Times New Roman" w:hAnsi="Times New Roman" w:eastAsia="Times New Roman" w:cs="Times New Roman"/>
          <w:sz w:val="24"/>
        </w:rPr>
        <w:t>World Health Organization. (2024). Ageing and health (Fact sheet). World Health Organization. https://www.who.int/news-room/fact-sheets/detail/ageing-and-health</w:t>
      </w:r>
    </w:p>
    <w:p>
      <w:pPr>
        <w:pStyle w:val="Normal"/>
        <w:ind w:left="720" w:hanging="720"/>
        <w:jc w:val="both"/>
      </w:pPr>
      <w:r>
        <w:rPr>
          <w:szCs w:val="22"/>
          <w:lang w:val="en-US" w:eastAsia="en-US" w:bidi="ar-SA"/>
          <w:rFonts w:ascii="Times New Roman" w:hAnsi="Times New Roman" w:eastAsia="Times New Roman" w:cs="Times New Roman"/>
          <w:sz w:val="24"/>
        </w:rPr>
        <w:t>Yardley, L., Beyer, N., Hauer, K., Kempen, G., Piot-Ziegler, C., &amp; Todd, C. (2005). Development and initial validation of the Falls Efficacy Scale-International (FES-I). Age and Ageing, 34(6), 614–619.</w:t>
      </w:r>
    </w:p>
    <w:p>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rFonts w:asciiTheme="majorHAnsi" w:eastAsiaTheme="majorEastAsia" w:hAnsiTheme="majorHAnsi" w:cstheme="majorBidi" w:ascii="Times New Roman" w:hAnsi="Times New Roman" w:eastAsia="Times New Roman" w:cs="Times New Roman"/>
          <w:b/>
          <w:color w:val="000000"/>
          <w:sz w:val="24"/>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intensive post-deployment interviews were conducted with all nine persistent participants, one to two days after the close of the eight-week cycle and following the small rewards presentation at which their written consent was recorded. The interviews used a paper interview questionnaire and were conducted in Mandarin or Cantonese at the participant's preference; the author's contemporaneous notes are the primary record.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confirmatory programme (§8.8), not a record of interviews conducted.</w:t>
      </w:r>
    </w:p>
    <w:p>
      <w:pPr>
        <w:pStyle w:val="Heading3"/>
      </w:pPr>
      <w:bookmarkStart w:id="172" w:name="_Toc2320246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pPr>
              <w:pStyle w:val="Normal"/>
            </w:pPr>
            <w:r>
              <w:rPr>
                <w:b/>
                <w:sz w:val="24"/>
                <w:szCs w:val="22"/>
                <w:lang w:val="en-US" w:eastAsia="en-US" w:bidi="ar-SA"/>
                <w:rFonts w:ascii="Times New Roman" w:hAnsi="Times New Roman" w:eastAsia="Times New Roman" w:cs="Times New Roman"/>
              </w:rPr>
              <w:t>Construct</w:t>
            </w:r>
          </w:p>
        </w:tc>
        <w:tc>
          <w:tcPr>
            <w:tcW w:w="5952" w:type="dxa"/>
          </w:tcPr>
          <w:p>
            <w:pPr>
              <w:pStyle w:val="Normal"/>
            </w:pPr>
            <w:r>
              <w:rPr>
                <w:b/>
                <w:sz w:val="24"/>
                <w:szCs w:val="22"/>
                <w:lang w:val="en-US" w:eastAsia="en-US" w:bidi="ar-SA"/>
                <w:rFonts w:ascii="Times New Roman" w:hAnsi="Times New Roman" w:eastAsia="Times New Roman" w:cs="Times New Roman"/>
              </w:rPr>
              <w:t>Definition</w:t>
            </w:r>
          </w:p>
        </w:tc>
      </w:tr>
      <w:tr w:rsidR="0062437E" w14:paraId="662CB72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FIDS</w:t>
            </w:r>
          </w:p>
        </w:tc>
        <w:tc>
          <w:tcPr>
            <w:tcW w:w="5952"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FIAS</w:t>
            </w:r>
          </w:p>
        </w:tc>
        <w:tc>
          <w:tcPr>
            <w:tcW w:w="5952" w:type="dxa"/>
          </w:tcPr>
          <w:p>
            <w:pPr>
              <w:pStyle w:val="Normal"/>
            </w:pPr>
            <w:r>
              <w:rPr>
                <w:szCs w:val="22"/>
                <w:lang w:val="en-US" w:eastAsia="en-US" w:bidi="ar-SA"/>
                <w:rFonts w:ascii="Times New Roman" w:hAnsi="Times New Roman" w:eastAsia="Times New Roman" w:cs="Times New Roman"/>
                <w:sz w:val="24"/>
              </w:rP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Objective-Score-Improvement/Non-Return Paradox</w:t>
            </w:r>
          </w:p>
        </w:tc>
        <w:tc>
          <w:tcPr>
            <w:tcW w:w="5952"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Decoupling</w:t>
            </w:r>
          </w:p>
        </w:tc>
        <w:tc>
          <w:tcPr>
            <w:tcW w:w="5952"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5952"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Frame-Suppression</w:t>
            </w:r>
          </w:p>
        </w:tc>
        <w:tc>
          <w:tcPr>
            <w:tcW w:w="5952"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Commitment Gap</w:t>
            </w:r>
          </w:p>
        </w:tc>
        <w:tc>
          <w:tcPr>
            <w:tcW w:w="5952"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Adaptive-Learning Framework</w:t>
            </w:r>
          </w:p>
        </w:tc>
        <w:tc>
          <w:tcPr>
            <w:tcW w:w="5952"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Entropy Constraint</w:t>
            </w:r>
          </w:p>
        </w:tc>
        <w:tc>
          <w:tcPr>
            <w:tcW w:w="5952"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M0 / M1 / M2</w:t>
            </w:r>
          </w:p>
        </w:tc>
        <w:tc>
          <w:tcPr>
            <w:tcW w:w="5952"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Decision-Curve Analysis</w:t>
            </w:r>
          </w:p>
        </w:tc>
        <w:tc>
          <w:tcPr>
            <w:tcW w:w="5952" w:type="dxa"/>
          </w:tcPr>
          <w:p>
            <w:pPr>
              <w:pStyle w:val="Normal"/>
            </w:pPr>
            <w:r>
              <w:rPr>
                <w:sz w:val="24"/>
                <w:szCs w:val="22"/>
                <w:lang w:val="en-US" w:eastAsia="en-US" w:bidi="ar-SA"/>
                <w:rFonts w:ascii="Times New Roman" w:hAnsi="Times New Roman" w:eastAsia="Times New Roman" w:cs="Times New Roman"/>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Adaptive Learning</w:t>
            </w:r>
          </w:p>
        </w:tc>
        <w:tc>
          <w:tcPr>
            <w:tcW w:w="5952"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G · Raw Data, Photographs and Supplementary Materials</w:t>
      </w:r>
      <w:bookmarkEnd w:id="181"/>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pPr>
      <w:r>
        <w:rPr>
          <w:i w:val="0"/>
          <w:szCs w:val="22"/>
          <w:lang w:val="en-US" w:eastAsia="en-US" w:bidi="ar-SA"/>
          <w:rFonts w:ascii="Times New Roman" w:hAnsi="Times New Roman" w:eastAsia="Times New Roman" w:cs="Times New Roman"/>
          <w:sz w:val="24"/>
        </w:rP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r>
        <w:t>G.4  Photographs of the Guangzhou Stage-2 deployment (consented).</w:t>
      </w:r>
    </w:p>
    <w:p>
      <w:r>
        <w:t>G.5  The Stage-3 distribution and return e-mail record (de-identified index of dates, channels and returned files).</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r>
        <w:t>H.5  Interview guide (as used). The consultation followed a semi-structured guide (45-60 minutes; archived as Expert_Interview_Guide_2026.docx, Appendix G item G.8),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r>
        <w:rPr>
          <w:highlight w:val="yellow"/>
        </w:rPr>
        <w:t>[AUTHOR INPUT NEEDED - H.6 completion: second-consultation record (game feedback with date and build; Mirror-project paragraph subject to Dr Lau's clearance; member-check outcome).]</w:t>
      </w:r>
    </w:p>
    <w:p>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r>
        <w:rPr>
          <w:highlight w:val="yellow"/>
        </w:rPr>
        <w:t>[AUTHOR INPUT NEEDED - H.7: member-check outcome (send Dr Choy his summary for validation).]</w:t>
      </w:r>
    </w:p>
    <w:p>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V37 REVIEW COPY: panel integration (3.2, Ch8, H.6-H.8), assess-vs-train scoping (Ch4, 8.7), Stage 3B + learning-traditions positioning (8.8), Ch9 synthesis, family-channel correction, 3 refs, yellow author-input marks + front checklist.</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