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presentation of the activity as a purely-fun coordination game (the invitation disclosed the doctoral research context, including its fall-risk origin, but the game and its instructions carried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In-run difficulty adaptation in the ported build operated through the game's built-in rule agent; no external model calls are possible from a distributed HTML file, so no large-language-model adaptation operated in any Stage-3 session.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The invitation e-mails disclosed the research context, including the programme's fall-risk origin, while presenting the activity itself as a purely-fun coordination game; the game and its instructions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 The programme operates under the ethics policy of The Hong Kong Polytechnic University; the programme was approved by the university's Human Subjects Ethics Sub-Committee (application reference HSEARS20260805008; Principal Investigator: Prof. C. F. Cheung; approved August 2026).</w:t>
      </w:r>
    </w:p>
    <w:p>
      <w:r>
        <w:t>Two recruitment decisions were deliberate. The Stage-2 facility of [2] was not re-used: its residents already carried direct experience of the coupled system, and prior exposure would have contaminated a first-contact test of the decoupled frame,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the invitation disclosed the programme's fall-risk research origin, so Stage 3 tests artefact-level decoupling rather than concealment of purpose; and no clinical telemetry was collected, so no claim about clinical outcomes under decoupling is made.</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“A study of utilisation of Fall Risk Assessment among elderly users: A critical review through TAM and Octalysis frameworks with gamification approach,” accepted for publication (SS-293).</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recruitment language corrected to artefact-level decoupling.</dc:description>
  <cp:lastModifiedBy/>
  <cp:revision>1</cp:revision>
  <dcterms:created xsi:type="dcterms:W3CDTF">2013-12-23T23:15:00Z</dcterms:created>
  <dcterms:modified xsi:type="dcterms:W3CDTF">2013-12-23T23:15:00Z</dcterms:modified>
  <cp:category/>
</cp:coreProperties>
</file>