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</w:rPr>
        <w:t>Paper 3 — updated venue and scope note for Prof. Cheung (v2, 15 September 2026)</w:t>
      </w:r>
    </w:p>
    <w:p>
      <w:pPr>
        <w:spacing w:after="120"/>
      </w:pPr>
      <w:r>
        <w:rPr>
          <w:b w:val="0"/>
        </w:rPr>
        <w:t>This supersedes my note of 12 September. Two things have changed: JMIR has confirmed the withdrawal of the duplicate submission in writing (“Decision E: Withdrawn by Author”, 14 September, copied to you), and on reflection I would prefer not to return to JMIR Serious Games with Paper 3 so soon after that withdrawal, even though their editor invited future submissions. I ask your decision on two questions. As agreed, I will submit nothing, and send no correspondence to any editorial office, without your prior approval.</w:t>
      </w:r>
    </w:p>
    <w:p>
      <w:pPr>
        <w:spacing w:after="120"/>
      </w:pPr>
      <w:r>
        <w:rPr>
          <w:b/>
        </w:rPr>
        <w:t>Question 1 — scope and timing</w:t>
      </w:r>
    </w:p>
    <w:p>
      <w:pPr>
        <w:spacing w:after="120"/>
      </w:pPr>
      <w:r>
        <w:rPr>
          <w:b w:val="0"/>
        </w:rPr>
        <w:t>Option A (my recommendation): broaden Paper 3 from the Stage-3A decoupling study into the programme's adaptive-learning paper, and submit after the Stage-3B window closes (late October). The paper would keep the Stage-3A empirical core (retention 93.3%; 15 of 23 dropouts returning; the 29.3-point commitment gap), add a compact exposition of the adaptive-learning framework from thesis Chapter 7 (the three principles and the credible-progress rules), and report the Stage-3B 2×2 component results once the returns are verified and classified under the pre-specified analysis plan. This matches the framework-with-evidence paper we want on record before the oral examination, and costs roughly six weeks.</w:t>
      </w:r>
    </w:p>
    <w:p>
      <w:pPr>
        <w:spacing w:after="120"/>
      </w:pPr>
      <w:r>
        <w:rPr>
          <w:b w:val="0"/>
        </w:rPr>
        <w:t>Option B: submit now with the current Stage-3A scope, describing Stage 3B only as a launched, pre-specified component study whose results are not reported. Faster, but reviewers are likely to ask why we did not wait for our own running study, and the adaptive-learning framework would remain a discussion direction rather than the paper's contribution.</w:t>
      </w:r>
    </w:p>
    <w:p>
      <w:pPr>
        <w:spacing w:after="120"/>
      </w:pPr>
      <w:r>
        <w:rPr>
          <w:b/>
        </w:rPr>
        <w:t>Question 2 — venue (JMIR Serious Games excluded)</w:t>
      </w:r>
    </w:p>
    <w:p>
      <w:pPr>
        <w:spacing w:after="120"/>
      </w:pPr>
      <w:r>
        <w:rPr>
          <w:b w:val="0"/>
        </w:rPr>
        <w:t>1. Games for Health Journal (Mary Ann Liebert) — my first preference. The closest peer of JMIR Serious Games: serious games for health, strong older-adult record, receptive to design-plus-evaluation papers. Requires one reformatting pass from the existing manuscript.</w:t>
      </w:r>
    </w:p>
    <w:p>
      <w:pPr>
        <w:spacing w:after="120"/>
      </w:pPr>
      <w:r>
        <w:rPr>
          <w:b w:val="0"/>
        </w:rPr>
        <w:t>2. JMIR Aging (JMIR Publications) — scientifically the best fit for an older-adults technology paper, and the withdrawal confirmation explicitly invited submission to “JMIR Serious Games or another JMIR Publications journal”. I list it in case you consider the publisher acceptable even though I would avoid the same journal; entirely your call.</w:t>
      </w:r>
    </w:p>
    <w:p>
      <w:pPr>
        <w:spacing w:after="120"/>
      </w:pPr>
      <w:r>
        <w:rPr>
          <w:b w:val="0"/>
        </w:rPr>
        <w:t>3. IEEE Access — the package is already complete and verified (bundle of 11 September). Broad engineering venue; the adaptive-systems framing fits, and it is the fastest route if you prefer to avoid the health-games journals altogether.</w:t>
      </w:r>
    </w:p>
    <w:p>
      <w:pPr>
        <w:spacing w:after="120"/>
      </w:pPr>
      <w:r>
        <w:rPr>
          <w:b/>
        </w:rPr>
        <w:t>Housekeeping before any submission (either option)</w:t>
      </w:r>
    </w:p>
    <w:p>
      <w:pPr>
        <w:spacing w:after="120"/>
      </w:pPr>
      <w:r>
        <w:rPr>
          <w:b w:val="0"/>
        </w:rPr>
        <w:t>I will correct four items in the manuscript first: the phrase “a first pre-registered element… has been launched” becomes “pre-specified (repository-dated 8–9 August 2026)” — Stage 3B is internally pre-specified, not registry-registered; the ethics sentence is aligned to the approval memo's own terminology (approved by the Departmental Research Committee on behalf of the PolyU Institutional Review Board); the initial-dropout definition carries the same timing-rule qualification now stated in the thesis (§6.4); and the two questionnaire percentages (71.7% endorsement, 63.3% intention) will be anchored to the as-administered instrument wording once I confirm it — the same open item the review noted for thesis Appendix D.</w:t>
      </w:r>
    </w:p>
    <w:p>
      <w:pPr>
        <w:spacing w:after="120"/>
      </w:pPr>
      <w:r>
        <w:rPr>
          <w:b w:val="0"/>
        </w:rPr>
        <w:t>Separately, when JIKM issues its first revision request for Paper 2, I have a prepared correction list (interview-record description; a leftover working-draft note in the ethics section that should not have gone out; the same ethics-terminology alignment). Nothing needs to be sent to JIKM now.</w:t>
      </w:r>
    </w:p>
    <w:p>
      <w:pPr>
        <w:spacing w:after="0"/>
      </w:pPr>
      <w:r>
        <w:rPr>
          <w:b w:val="0"/>
        </w:rPr>
        <w:t>Sidney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