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conducted during August–September 2025 — the facility therapists sought out the players individually (twenty-nine of thirty could be reached) and invited each to an interview; the nine who accepted were the nine sustained participants, interviewed with therapist assistance, some by telephone —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F4 Interview Protocol</w:t>
      </w:r>
    </w:p>
    <w:p>
      <w:pPr>
        <w:jc w:val="both"/>
      </w:pPr>
      <w:r>
        <w:t>The qualitative record on the persistence side comprises the post-deployment interviews with the nine sustained participants, together with three centre-manager interviews. The interviews were conducted during August–September 2025: the facility therapists sought out the players individually (all thirty were sought; twenty-nine could be reached) and invited each to an interview, and the nine who accepted were the nine sustained participants. Interviews were conducted with therapist assistance, some by telephone, in Mandarin or Cantonese at the participant's preference, using a paper interview questionnaire; responses were recorded by the therapists onto the forms and into a centre logbook — in some cases after, rather than during, the interview — which the researcher collected. The therapist-completed record, not researcher notes, is the primary record, and free-text wording is the therapists' rendering rather than the participants' verbatim words. That twenty reachable players declined is itself part of the record: the interview subgroup is self-selected, and the interviews accordingly speak to persistence only.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F4-cluster participants were interviewed within three to five days of the abandoned session about whether the decision to stop was immediate or deliberate. Table 9 shows the nine-question protocol; questions 3 and 4 test H2 and H3, question 7 tests H4, and question 9 probes domain reframing.</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 satisfaction ratings from the after-game participant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(in press). A study of utilisation of Fall Risk Assessment among elderly users: A critical review through TAM and Octalysis frameworks with gamification approach.</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manuscript (IJKM submission)</dc:title>
  <dc:subject/>
  <dc:creator/>
  <cp:keywords/>
  <dc:description>IJKM compliance: title block/abstract/keywords/acknowledgments removed; tables 1-7 Arabic with callouts; APA author-date citations and alphabetical reference list.</dc:description>
  <cp:lastModifiedBy/>
  <cp:revision>1</cp:revision>
  <dcterms:created xsi:type="dcterms:W3CDTF">2013-12-23T23:15:00Z</dcterms:created>
  <dcterms:modified xsi:type="dcterms:W3CDTF">2013-12-23T23:15:00Z</dcterms:modified>
  <cp:category/>
</cp:coreProperties>
</file>