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6 August 2026 by the Departmental Research Committee of the Department of Industrial and Systems Engineering on behalf of the PolyU Institutional Review Board, for the approval period 16 June 2024 to 30 October 2026, following completion of the June–August 2025 fieldwork; the approval covers the procedures as conducted).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conducted during August–September 2025 — the facility therapists sought out the players individually (twenty-nine of thirty could be reached) and invited each to an interview; the nine who accepted were the nine sustained participants, interviewed with therapist assistance, some by telephone —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keepNext/>
        <w:jc w:val="center"/>
      </w:pPr>
      <w:r>
        <w:drawing>
          <wp:inline xmlns:a="http://schemas.openxmlformats.org/drawingml/2006/main" xmlns:pic="http://schemas.openxmlformats.org/drawingml/2006/picture">
            <wp:extent cx="5040000" cy="3278639"/>
            <wp:docPr id="1" name="Picture 1"/>
            <wp:cNvGraphicFramePr>
              <a:graphicFrameLocks noChangeAspect="1"/>
            </wp:cNvGraphicFramePr>
            <a:graphic>
              <a:graphicData uri="http://schemas.openxmlformats.org/drawingml/2006/picture">
                <pic:pic>
                  <pic:nvPicPr>
                    <pic:cNvPr id="0" name="Figure1_FRA_Game_Integration.png"/>
                    <pic:cNvPicPr/>
                  </pic:nvPicPr>
                  <pic:blipFill>
                    <a:blip r:embed="rId9"/>
                    <a:stretch>
                      <a:fillRect/>
                    </a:stretch>
                  </pic:blipFill>
                  <pic:spPr>
                    <a:xfrm>
                      <a:off x="0" y="0"/>
                      <a:ext cx="5040000" cy="3278639"/>
                    </a:xfrm>
                    <a:prstGeom prst="rect"/>
                  </pic:spPr>
                </pic:pic>
              </a:graphicData>
            </a:graphic>
          </wp:inline>
        </w:drawing>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pPr>
        <w:keepNext/>
        <w:jc w:val="center"/>
      </w:pPr>
      <w:r>
        <w:drawing>
          <wp:inline xmlns:a="http://schemas.openxmlformats.org/drawingml/2006/main" xmlns:pic="http://schemas.openxmlformats.org/drawingml/2006/picture">
            <wp:extent cx="5040000" cy="3261176"/>
            <wp:docPr id="2" name="Picture 2"/>
            <wp:cNvGraphicFramePr>
              <a:graphicFrameLocks noChangeAspect="1"/>
            </wp:cNvGraphicFramePr>
            <a:graphic>
              <a:graphicData uri="http://schemas.openxmlformats.org/drawingml/2006/picture">
                <pic:pic>
                  <pic:nvPicPr>
                    <pic:cNvPr id="0" name="Figure2_Game_Interface.png"/>
                    <pic:cNvPicPr/>
                  </pic:nvPicPr>
                  <pic:blipFill>
                    <a:blip r:embed="rId10"/>
                    <a:stretch>
                      <a:fillRect/>
                    </a:stretch>
                  </pic:blipFill>
                  <pic:spPr>
                    <a:xfrm>
                      <a:off x="0" y="0"/>
                      <a:ext cx="5040000" cy="3261176"/>
                    </a:xfrm>
                    <a:prstGeom prst="rect"/>
                  </pic:spPr>
                </pic:pic>
              </a:graphicData>
            </a:graphic>
          </wp:inline>
        </w:drawing>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pPr>
        <w:keepNext/>
        <w:jc w:val="center"/>
      </w:pPr>
      <w:r>
        <w:drawing>
          <wp:inline xmlns:a="http://schemas.openxmlformats.org/drawingml/2006/main" xmlns:pic="http://schemas.openxmlformats.org/drawingml/2006/picture">
            <wp:extent cx="5040000" cy="5822070"/>
            <wp:docPr id="3" name="Picture 3"/>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1"/>
                    <a:stretch>
                      <a:fillRect/>
                    </a:stretch>
                  </pic:blipFill>
                  <pic:spPr>
                    <a:xfrm>
                      <a:off x="0" y="0"/>
                      <a:ext cx="5040000" cy="5822070"/>
                    </a:xfrm>
                    <a:prstGeom prst="rect"/>
                  </pic:spPr>
                </pic:pic>
              </a:graphicData>
            </a:graphic>
          </wp:inline>
        </w:drawing>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pPr>
        <w:keepNext/>
        <w:jc w:val="center"/>
      </w:pPr>
      <w:r>
        <w:drawing>
          <wp:inline xmlns:a="http://schemas.openxmlformats.org/drawingml/2006/main" xmlns:pic="http://schemas.openxmlformats.org/drawingml/2006/picture">
            <wp:extent cx="5040000" cy="3380890"/>
            <wp:docPr id="4" name="Picture 4"/>
            <wp:cNvGraphicFramePr>
              <a:graphicFrameLocks noChangeAspect="1"/>
            </wp:cNvGraphicFramePr>
            <a:graphic>
              <a:graphicData uri="http://schemas.openxmlformats.org/drawingml/2006/picture">
                <pic:pic>
                  <pic:nvPicPr>
                    <pic:cNvPr id="0" name="Figure4_FiveLayer_Architecture.png"/>
                    <pic:cNvPicPr/>
                  </pic:nvPicPr>
                  <pic:blipFill>
                    <a:blip r:embed="rId12"/>
                    <a:stretch>
                      <a:fillRect/>
                    </a:stretch>
                  </pic:blipFill>
                  <pic:spPr>
                    <a:xfrm>
                      <a:off x="0" y="0"/>
                      <a:ext cx="5040000" cy="3380890"/>
                    </a:xfrm>
                    <a:prstGeom prst="rect"/>
                  </pic:spPr>
                </pic:pic>
              </a:graphicData>
            </a:graphic>
          </wp:inline>
        </w:drawing>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pPr>
        <w:keepNext/>
        <w:jc w:val="center"/>
      </w:pPr>
      <w:r>
        <w:drawing>
          <wp:inline xmlns:a="http://schemas.openxmlformats.org/drawingml/2006/main" xmlns:pic="http://schemas.openxmlformats.org/drawingml/2006/picture">
            <wp:extent cx="5040000" cy="3442623"/>
            <wp:docPr id="5" name="Picture 5"/>
            <wp:cNvGraphicFramePr>
              <a:graphicFrameLocks noChangeAspect="1"/>
            </wp:cNvGraphicFramePr>
            <a:graphic>
              <a:graphicData uri="http://schemas.openxmlformats.org/drawingml/2006/picture">
                <pic:pic>
                  <pic:nvPicPr>
                    <pic:cNvPr id="0" name="Figure5_Participant_Flow.png"/>
                    <pic:cNvPicPr/>
                  </pic:nvPicPr>
                  <pic:blipFill>
                    <a:blip r:embed="rId13"/>
                    <a:stretch>
                      <a:fillRect/>
                    </a:stretch>
                  </pic:blipFill>
                  <pic:spPr>
                    <a:xfrm>
                      <a:off x="0" y="0"/>
                      <a:ext cx="5040000" cy="3442623"/>
                    </a:xfrm>
                    <a:prstGeom prst="rect"/>
                  </pic:spPr>
                </pic:pic>
              </a:graphicData>
            </a:graphic>
          </wp:inline>
        </w:drawing>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pPr>
        <w:keepNext/>
        <w:jc w:val="center"/>
      </w:pPr>
      <w:r>
        <w:drawing>
          <wp:inline xmlns:a="http://schemas.openxmlformats.org/drawingml/2006/main" xmlns:pic="http://schemas.openxmlformats.org/drawingml/2006/picture">
            <wp:extent cx="5040000" cy="2974668"/>
            <wp:docPr id="6" name="Picture 6"/>
            <wp:cNvGraphicFramePr>
              <a:graphicFrameLocks noChangeAspect="1"/>
            </wp:cNvGraphicFramePr>
            <a:graphic>
              <a:graphicData uri="http://schemas.openxmlformats.org/drawingml/2006/picture">
                <pic:pic>
                  <pic:nvPicPr>
                    <pic:cNvPr id="0" name="Figure6_FIAS_Composite_Distribution.png"/>
                    <pic:cNvPicPr/>
                  </pic:nvPicPr>
                  <pic:blipFill>
                    <a:blip r:embed="rId14"/>
                    <a:stretch>
                      <a:fillRect/>
                    </a:stretch>
                  </pic:blipFill>
                  <pic:spPr>
                    <a:xfrm>
                      <a:off x="0" y="0"/>
                      <a:ext cx="5040000" cy="2974668"/>
                    </a:xfrm>
                    <a:prstGeom prst="rect"/>
                  </pic:spPr>
                </pic:pic>
              </a:graphicData>
            </a:graphic>
          </wp:inline>
        </w:drawing>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pPr>
        <w:jc w:val="both"/>
      </w:pPr>
      <w:r>
        <w:t>The qualitative record on the persistence side comprises the post-deployment interviews with the nine sustained participants, together with three centre-manager interviews. The interviews were conducted during August–September 2025: the facility therapists sought out the players individually (all thirty were sought; twenty-nine could be reached) and invited each to an interview, and the nine who accepted were the nine sustained participants. Interviews were conducted with therapist assistance, some by telephone, in Mandarin or Cantonese at the participant's preference, using a paper interview questionnaire; responses were recorded by the therapists onto the forms and into a centre logbook — in some cases after, rather than during, the interview — which the researcher collected. The therapist-completed record, not researcher notes, is the primary record, and free-text wording is the therapists' rendering rather than the participants' verbatim words. That twenty reachable players declined is itself part of the record: the interview subgroup is self-selected, and the interviews accordingly speak to persistence only.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the nine sustained participants (August–September 2025; therapist-assisted, some by telephone; Mandarin or Cantonese via a paper interview questionnaire; the therapist-completed forms and centre logbook are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 satisfaction ratings from the after-game participant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pPr>
        <w:keepNext/>
        <w:jc w:val="center"/>
      </w:pPr>
      <w:r>
        <w:drawing>
          <wp:inline xmlns:a="http://schemas.openxmlformats.org/drawingml/2006/main" xmlns:pic="http://schemas.openxmlformats.org/drawingml/2006/picture">
            <wp:extent cx="5040000" cy="6061622"/>
            <wp:docPr id="7" name="Picture 7"/>
            <wp:cNvGraphicFramePr>
              <a:graphicFrameLocks noChangeAspect="1"/>
            </wp:cNvGraphicFramePr>
            <a:graphic>
              <a:graphicData uri="http://schemas.openxmlformats.org/drawingml/2006/picture">
                <pic:pic>
                  <pic:nvPicPr>
                    <pic:cNvPr id="0" name="Figure7_FIDS_FIAS_Mechanism.png"/>
                    <pic:cNvPicPr/>
                  </pic:nvPicPr>
                  <pic:blipFill>
                    <a:blip r:embed="rId15"/>
                    <a:stretch>
                      <a:fillRect/>
                    </a:stretch>
                  </pic:blipFill>
                  <pic:spPr>
                    <a:xfrm>
                      <a:off x="0" y="0"/>
                      <a:ext cx="5040000" cy="6061622"/>
                    </a:xfrm>
                    <a:prstGeom prst="rect"/>
                  </pic:spPr>
                </pic:pic>
              </a:graphicData>
            </a:graphic>
          </wp:inline>
        </w:drawing>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pPr>
        <w:keepNext/>
        <w:jc w:val="center"/>
      </w:pPr>
      <w:r>
        <w:drawing>
          <wp:inline xmlns:a="http://schemas.openxmlformats.org/drawingml/2006/main" xmlns:pic="http://schemas.openxmlformats.org/drawingml/2006/picture">
            <wp:extent cx="5040000" cy="4530909"/>
            <wp:docPr id="8" name="Picture 8"/>
            <wp:cNvGraphicFramePr>
              <a:graphicFrameLocks noChangeAspect="1"/>
            </wp:cNvGraphicFramePr>
            <a:graphic>
              <a:graphicData uri="http://schemas.openxmlformats.org/drawingml/2006/picture">
                <pic:pic>
                  <pic:nvPicPr>
                    <pic:cNvPr id="0" name="Figure8_ThreeArm_Study_Design.png"/>
                    <pic:cNvPicPr/>
                  </pic:nvPicPr>
                  <pic:blipFill>
                    <a:blip r:embed="rId16"/>
                    <a:stretch>
                      <a:fillRect/>
                    </a:stretch>
                  </pic:blipFill>
                  <pic:spPr>
                    <a:xfrm>
                      <a:off x="0" y="0"/>
                      <a:ext cx="5040000" cy="4530909"/>
                    </a:xfrm>
                    <a:prstGeom prst="rect"/>
                  </pic:spPr>
                </pic:pic>
              </a:graphicData>
            </a:graphic>
          </wp:inline>
        </w:drawing>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This research received no external funding.</w:t>
      </w:r>
    </w:p>
    <w:p>
      <w:pPr>
        <w:jc w:val="both"/>
      </w:pPr>
      <w:r>
        <w:t>Conflicts of interest. The authors declare no competing financial interests. The study was conducted in partnership with the residential care provider operating the study facility; the provider had no role in study design, analysis, or the decision to publish.</w:t>
      </w:r>
    </w:p>
    <w:p>
      <w:pPr>
        <w:jc w:val="both"/>
      </w:pPr>
      <w:r>
        <w:t>Data availability. The pseudonymised participant-level dataset underlying this paper is archived with the first author's thesis (Appendix G, item G.2)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Paper SS-293 (Tam &amp; Cheung, 2026), accepted at ICMSS 2026, reports the Stage-1 critical review of the wider research programme; a companion manuscript reports the Stage-3 decoupled deployment; the present paper reports the Stage-2 gamified deployment. No results are duplicated across the three manuscripts.</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