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surveyed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4 Stage 1 — From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 Purpose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4.1A What is Fall Risk Assessment (FRA)? Basic System Design and Features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4.2 The Guangzhou Survey (N = 200 of 280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4.3 TAM, STAM and the Limitation for Retired Users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4.4 Octalysis and the In-Game Loss Assumption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4.5 Behavioural Science Lenses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4.6 Terminological Correction: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4.7 Cross-Cultural Reference Point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4.8 Output and Stage-1 Limitations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5 Stage 2 — Action Research with Gamified FRA</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5.1 Research Questions and Hypotheses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 Setting and Action-Research Approach</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5.2A Integrating the FRA into the Skiing Game: The Dual-Purpose Mechanic in Detail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5.3 The Gamified Intervention — Skiing Game on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5.3.2 Game Concept and Gameplay Loop</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5.3.3 On-Screen Display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5.3.4 Five-Layer Architecture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5.3.5 Automatic Difficulty Adjustment System</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5.3.6 Data Structures and Telemetry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5.3.7 Sample User Profile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5.3.8 Why a Skiing Game?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5.3.9 Development Methodology: The Claude Code-Assisted Workflow</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5.3.10 Dynamic Game States: An Agentic-AI-Driven, Loss-Free Game Mechanic (Secondary Contribution)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5.4 Participants and Data Governance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5.5 Quantitative Findings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5.6 The F4 Cluster and the Objective-Score-Improvement/Non-Return Paradox</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50</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5.7 Theoretical Extension: Endowment, Stereotype Threat, Domain Reframing</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5.8 Information-Entropy Lens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5.9 Limitations and What Stage 2 Establishes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6 Stage 3 — Participant-Facing Decoupling: Between-Cohort Evidence for a Frame-Sensitive Account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 Why a Decoupling Stage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6.2 Research Question and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6.3 Methodology: A Participant-Facing Decoupling Package in a Separate Cohort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6.4 Participants and Apparatus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6.5 Findings: A Substantial Behavioural Shift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6.6 The Objective-Score-Improvement/Non-Return Paradox Reconsidered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6.7 Frame-Sensitive versus Dispositional Accounts: Calibrated Inference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6.8 The Commitment Gap and Its Design Implication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pPr>
      <w:r>
        <w:rPr>
          <w:szCs w:val="22"/>
          <w:lang w:val="en-US" w:eastAsia="en-US" w:bidi="ar-SA"/>
          <w:rFonts w:ascii="Times New Roman" w:hAnsi="Times New Roman" w:eastAsia="Times New Roman" w:cs="Times New Roman"/>
          <w:sz w:val="24"/>
        </w:rPr>
        <w:t>6.8A The Commitment Gap Read Through Group Dynamics: An Expert Consultation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6.9 Limitations of Stage 3</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6.10 Quantitative Comparison Against Existing Models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6.10.1 Three-Tier Nested Model Specification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6.10.2 Statistical Comparison Plan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6.10.3 Decision-Curve Analysis and Practical Significance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6.10.4 Pre-Specified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6.10.5 Provisional Estimates from the Existing Datasets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6.11 Consolidated Statistical Results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7 Discussion: Adaptive Learning as the Behavioural-Change Driver</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9.7 Theoretical Contributions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 Practical Contributions for Industry and Practice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9.8A A Secondary Contribution to Gamification: Agentic-AI-Driven Dynamic Game States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9.8B Future Research Proposition: From Telemetry-Conditioned to Person-Conditioned Adaptation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9.8C Bounded Implications for AI Evaluation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9.9 Limits of What Has Been Shown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9.10 Natural Extensions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9.11 Returning to the Three F4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9.12 Closing Synthesis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93</w:t>
      </w:r>
    </w:p>
    <w:p>
      <w:pPr>
        <w:pStyle w:val="TOC1"/>
        <w:tabs>
          <w:tab w:val="right" w:leader="dot" w:pos="8495"/>
        </w:tabs>
        <w:rPr>
          <w:noProof/>
        </w:rPr>
      </w:pPr>
      <w:r>
        <w:rPr>
          <w:szCs w:val="22"/>
          <w:lang w:val="en-US" w:eastAsia="en-US" w:bidi="ar-SA"/>
          <w:rFonts w:ascii="Times New Roman" w:hAnsi="Times New Roman" w:eastAsia="Times New Roman" w:cs="Times New Roman"/>
          <w:sz w:val="24"/>
        </w:rPr>
        <w:t>References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Appendices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A · Stage-1 Survey Instrument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A.1 · Survey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B · Stage-2 FIAS Coding Scheme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C · Stage-2 Qualitative Record and the F4 Interview Protocol (Designed, Not Administered)</w:t>
        <w:tab/>
        <w:t>104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C.1 · Question Set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D · Stage-3 Decoupling Questionnaire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D.1 · Post-Session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D.2 · Demographic Block (At Enrolment)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E · Five-Layer Architecture and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E.1 · Layers L0–L4 (Stage-2 Operational)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E.2 · Layers L5–L7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E.3 · AI Safety Provisions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107</w:t>
      </w:r>
    </w:p>
    <w:p>
      <w:pPr>
        <w:pStyle w:val="TOC2"/>
      </w:pPr>
      <w:r>
        <w:rPr>
          <w:szCs w:val="22"/>
          <w:lang w:val="en-US" w:eastAsia="en-US" w:bidi="ar-SA"/>
          <w:rFonts w:ascii="Times New Roman" w:hAnsi="Times New Roman" w:eastAsia="Times New Roman" w:cs="Times New Roman"/>
          <w:sz w:val="24"/>
        </w:rPr>
        <w:t>Appendix F · Glossary of Key Constructs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108</w:t>
      </w:r>
    </w:p>
    <w:p>
      <w:pPr>
        <w:pStyle w:val="TOC2"/>
        <w:spacing w:after="200" w:line="276" w:lineRule="auto"/>
        <w:rPr>
          <w:rFonts w:asciiTheme="majorHAnsi" w:eastAsiaTheme="majorEastAsia" w:hAnsiTheme="majorHAnsi" w:cstheme="majorBidi"/>
          <w:b/>
          <w:bCs/>
          <w:color w:val="000000"/>
          <w:sz w:val="32"/>
          <w:szCs w:val="32"/>
        </w:rPr>
      </w:pPr>
      <w:r>
        <w:rPr>
          <w:rFonts w:asciiTheme="majorHAnsi" w:eastAsiaTheme="majorEastAsia" w:hAnsiTheme="majorHAnsi" w:cstheme="majorBidi" w:ascii="Times New Roman" w:hAnsi="Times New Roman" w:eastAsia="Times New Roman" w:cs="Times New Roman"/>
          <w:b/>
          <w:color w:val="000000"/>
          <w:sz w:val="32"/>
          <w:szCs w:val="28"/>
        </w:rPr>
        <w:t>Appendix G · Raw Data, Photographs and Supplementary Materials</w:t>
      </w:r>
      <w:r>
        <w:rPr>
          <w:rFonts w:asciiTheme="majorHAnsi" w:eastAsiaTheme="majorEastAsia" w:hAnsiTheme="majorHAnsi" w:cstheme="majorBidi"/>
          <w:b/>
          <w:color w:val="000000"/>
          <w:sz w:val="32"/>
          <w:szCs w:val="32"/>
        </w:rPr>
        <w:tab/>
      </w:r>
      <w:r>
        <w:rPr>
          <w:rFonts w:asciiTheme="majorHAnsi" w:eastAsiaTheme="majorEastAsia" w:hAnsiTheme="majorHAnsi" w:cstheme="majorBidi" w:ascii="Times New Roman" w:hAnsi="Times New Roman" w:eastAsia="Times New Roman" w:cs="Times New Roman"/>
          <w:b/>
          <w:color w:val="000000"/>
          <w:sz w:val="32"/>
          <w:szCs w:val="28"/>
        </w:rPr>
        <w:t>110</w:t>
      </w:r>
    </w:p>
    <w:p>
      <w:pPr>
        <w:pStyle w:val="TOC2"/>
      </w:pPr>
      <w:r>
        <w:rPr>
          <w:szCs w:val="22"/>
          <w:lang w:val="en-US" w:eastAsia="en-US" w:bidi="ar-SA"/>
          <w:rFonts w:ascii="Times New Roman" w:hAnsi="Times New Roman" w:eastAsia="Times New Roman" w:cs="Times New Roman"/>
          <w:sz w:val="24"/>
        </w:rPr>
        <w:t>Appendix H · Expert Consultation Record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112</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Figures</w:t>
      </w:r>
    </w:p>
    <w:p>
      <w:pPr>
        <w:pStyle w:val="TOC1"/>
      </w:pPr>
      <w:r>
        <w:rPr>
          <w:szCs w:val="22"/>
          <w:lang w:val="en-US" w:eastAsia="en-US" w:bidi="ar-SA"/>
          <w:rFonts w:ascii="Times New Roman" w:hAnsi="Times New Roman" w:eastAsia="Times New Roman" w:cs="Times New Roman"/>
          <w:sz w:val="24"/>
        </w:rPr>
        <w:t>Figure 1.1. The intellectual structure of the thesis: from industrial problem through FIAS, the adaptive-learning framework and the dynamic game-state engine to the industrial outcome.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26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30</w:t>
      </w:r>
    </w:p>
    <w:p>
      <w:pPr>
        <w:pStyle w:val="TOC1"/>
      </w:pPr>
      <w:r>
        <w:rPr>
          <w:szCs w:val="22"/>
          <w:lang w:val="en-US" w:eastAsia="en-US" w:bidi="ar-SA"/>
          <w:rFonts w:ascii="Times New Roman" w:hAnsi="Times New Roman" w:eastAsia="Times New Roman" w:cs="Times New Roman"/>
          <w:sz w:val="24"/>
        </w:rPr>
        <w:t>Figure 4.1B. The FRA balance station as deployed in the rehabilitation room of the Guangzhou facility.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40</w:t>
      </w:r>
    </w:p>
    <w:p>
      <w:pPr>
        <w:pStyle w:val="TOC1"/>
      </w:pPr>
      <w:r>
        <w:rPr>
          <w:szCs w:val="22"/>
          <w:lang w:val="en-US" w:eastAsia="en-US" w:bidi="ar-SA"/>
          <w:rFonts w:ascii="Times New Roman" w:hAnsi="Times New Roman" w:eastAsia="Times New Roman" w:cs="Times New Roman"/>
          <w:sz w:val="24"/>
        </w:rPr>
        <w:t>Figure 5.1A. The platform-game coupling demonstrated by a control person (development office, August 2024).</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pPr>
      <w:r>
        <w:rPr>
          <w:szCs w:val="22"/>
          <w:lang w:val="en-US" w:eastAsia="en-US" w:bidi="ar-SA"/>
          <w:rFonts w:ascii="Times New Roman" w:hAnsi="Times New Roman" w:eastAsia="Times New Roman" w:cs="Times New Roman"/>
          <w:sz w:val="24"/>
        </w:rPr>
        <w:t>Figure 5.1B. The deployed game artefact across difficulty levels 1–5 (screenshots from the archived game build).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5.4. Participant-level pre/post recorded FRA index for the Stage-2 cohort (N = 30), by engagement group.</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6.1. Stage-3 retention and observed non-return at the end of the study window by age band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6.2. Return behaviour after initial dropout, by age band: 62.5% return rate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6.3. Retention versus regular-use intention by age band: the 29.3-pp commitment gap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68</w:t>
      </w:r>
    </w:p>
    <w:p>
      <w:pPr>
        <w:pStyle w:val="TOC1"/>
      </w:pPr>
      <w:r>
        <w:t>Figure 8.1. The gerontechnology design space: measurement versus engagement, and the occupied middle ground.</w:t>
        <w:tab/>
        <w:t>79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90</w:t>
      </w:r>
    </w:p>
    <w:p>
      <w:pPr>
        <w:pStyle w:val="Normal"/>
      </w:pPr>
    </w:p>
    <w:p>
      <w:pPr>
        <w:pStyle w:val="Heading1"/>
      </w:pPr>
      <w:bookmarkStart w:id="3" w:name="_Toc232024494"/>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Tables</w:t>
      </w:r>
      <w:bookmarkEnd w:id="3"/>
    </w:p>
    <w:p>
      <w:pPr>
        <w:pStyle w:val="TOC1"/>
      </w:pPr>
      <w:r>
        <w:rPr>
          <w:szCs w:val="22"/>
          <w:lang w:val="en-US" w:eastAsia="en-US" w:bidi="ar-SA"/>
          <w:rFonts w:ascii="Times New Roman" w:hAnsi="Times New Roman" w:eastAsia="Times New Roman" w:cs="Times New Roman"/>
          <w:sz w:val="24"/>
        </w:rPr>
        <w:t>Table 2.1. From the rejected null hypothesis to candidate mechanisms: the structure of the FIAS account.</w:t>
      </w:r>
    </w:p>
    <w:p>
      <w:pPr>
        <w:pStyle w:val="TOC1"/>
      </w:pPr>
      <w:r>
        <w:rPr>
          <w:szCs w:val="22"/>
          <w:lang w:val="en-US" w:eastAsia="en-US" w:bidi="ar-SA"/>
          <w:rFonts w:ascii="Times New Roman" w:hAnsi="Times New Roman" w:eastAsia="Times New Roman" w:cs="Times New Roman"/>
          <w:sz w:val="24"/>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4.1. Stage-1 survey results (N = 200 residents surveyed, of a resident population of 280).</w:t>
        <w:tab/>
        <w:t>31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4.2. TAM limitations for elderly FRA users.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4.3. Octalysis drives contextualised against STAM characteristics.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5.1. Skiing game data structure summary.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5.2. Stage-2 engagement pattern (N = 30).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48</w:t>
      </w:r>
    </w:p>
    <w:p>
      <w:pPr>
        <w:pStyle w:val="TOC1"/>
      </w:pPr>
      <w:r>
        <w:rPr>
          <w:szCs w:val="22"/>
          <w:lang w:val="en-US" w:eastAsia="en-US" w:bidi="ar-SA"/>
          <w:rFonts w:ascii="Times New Roman" w:hAnsi="Times New Roman" w:eastAsia="Times New Roman" w:cs="Times New Roman"/>
          <w:sz w:val="24"/>
        </w:rPr>
        <w:t>Table 5.3. QFD deployment matrix: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6.1. Stage-3 overall engagement and dropout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6.2. Stage-3 age-stratified engagement.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6.3. Stage-3 coordination endorsement and regular-use intention by age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6.4. Three-tier nested model specification for the FIAS-vs-TAM/STAM quantitative comparison.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6.5. Consolidated statistical results for the key contrasts of Stages 2 and 3.</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7.1. Adaptive-learning principles, function and empirical anchor.</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8.0. The four contribution registers and where each is stated.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72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7.2. Adaptive-learning reference stack (L0–L7) mapped to adaptive-learning principles.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Abbreviations</w:t>
      </w:r>
    </w:p>
    <w:tbl>
      <w:tblPr>
        <w:tblStyle w:val="TableGrid"/>
        <w:tblW w:w="0" w:type="auto"/>
        <w:jc w:val="center"/>
        <w:tblLook w:val="04A0" w:firstRow="1" w:lastRow="0" w:firstColumn="1" w:lastColumn="0" w:noHBand="0" w:noVBand="1"/>
      </w:tblPr>
      <w:tblGrid>
        <w:gridCol w:w="4247"/>
        <w:gridCol w:w="4248"/>
      </w:tblGrid>
      <w:tr>
        <w:trPr>
          <w:jc w:val="center"/>
        </w:trPr>
        <w:tc>
          <w:tcPr>
            <w:tcW w:w="4247" w:type="dxa"/>
          </w:tcPr>
          <w:p>
            <w:pPr>
              <w:pStyle w:val="Normal"/>
            </w:pPr>
            <w:r>
              <w:rPr>
                <w:b/>
                <w:sz w:val="20"/>
                <w:szCs w:val="22"/>
                <w:lang w:val="en-US" w:eastAsia="en-US" w:bidi="ar-SA"/>
                <w:rFonts w:ascii="Times New Roman" w:hAnsi="Times New Roman" w:eastAsia="Times New Roman" w:cs="Times New Roman"/>
              </w:rPr>
              <w:t>AI</w:t>
            </w:r>
          </w:p>
        </w:tc>
        <w:tc>
          <w:tcPr>
            <w:tcW w:w="4248"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AIC / BIC</w:t>
            </w:r>
          </w:p>
        </w:tc>
        <w:tc>
          <w:tcPr>
            <w:tcW w:w="4248"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AUC</w:t>
            </w:r>
          </w:p>
        </w:tc>
        <w:tc>
          <w:tcPr>
            <w:tcW w:w="4248"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CI</w:t>
            </w:r>
          </w:p>
        </w:tc>
        <w:tc>
          <w:tcPr>
            <w:tcW w:w="4248"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COP</w:t>
            </w:r>
          </w:p>
        </w:tc>
        <w:tc>
          <w:tcPr>
            <w:tcW w:w="4248"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FES-I</w:t>
            </w:r>
          </w:p>
        </w:tc>
        <w:tc>
          <w:tcPr>
            <w:tcW w:w="4248"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FIAS</w:t>
            </w:r>
          </w:p>
        </w:tc>
        <w:tc>
          <w:tcPr>
            <w:tcW w:w="4248"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FIDS</w:t>
            </w:r>
          </w:p>
        </w:tc>
        <w:tc>
          <w:tcPr>
            <w:tcW w:w="4248"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FRA</w:t>
            </w:r>
          </w:p>
        </w:tc>
        <w:tc>
          <w:tcPr>
            <w:tcW w:w="4248"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PEOU</w:t>
            </w:r>
          </w:p>
        </w:tc>
        <w:tc>
          <w:tcPr>
            <w:tcW w:w="4248"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PIPL</w:t>
            </w:r>
          </w:p>
        </w:tc>
        <w:tc>
          <w:tcPr>
            <w:tcW w:w="4248"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4247" w:type="dxa"/>
          </w:tcPr>
          <w:p>
            <w:pPr>
              <w:pStyle w:val="Normal"/>
            </w:pPr>
            <w:r>
              <w:rPr>
                <w:szCs w:val="22"/>
                <w:lang w:val="en-US" w:eastAsia="en-US" w:bidi="ar-SA"/>
                <w:rFonts w:ascii="Times New Roman" w:hAnsi="Times New Roman" w:eastAsia="Times New Roman" w:cs="Times New Roman"/>
                <w:sz w:val="20"/>
              </w:rPr>
              <w:t>PU</w:t>
            </w:r>
          </w:p>
        </w:tc>
        <w:tc>
          <w:tcPr>
            <w:tcW w:w="4248"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STAM</w:t>
            </w:r>
          </w:p>
        </w:tc>
        <w:tc>
          <w:tcPr>
            <w:tcW w:w="4248"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TAM</w:t>
            </w:r>
          </w:p>
        </w:tc>
        <w:tc>
          <w:tcPr>
            <w:tcW w:w="4248"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UTAUT</w:t>
            </w:r>
          </w:p>
        </w:tc>
        <w:tc>
          <w:tcPr>
            <w:tcW w:w="4248"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WTA</w:t>
            </w:r>
          </w:p>
        </w:tc>
        <w:tc>
          <w:tcPr>
            <w:tcW w:w="4248"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WTP</w:t>
            </w:r>
          </w:p>
        </w:tc>
        <w:tc>
          <w:tcPr>
            <w:tcW w:w="4248"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Chapter 1 Introduction</w:t>
      </w:r>
      <w:bookmarkEnd w:id="4"/>
    </w:p>
    <w:p>
      <w:pPr>
        <w:pStyle w:val="Heading2"/>
      </w:pPr>
      <w:bookmarkStart w:id="5" w:name="_Toc23202449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pStyle w:val="Heading2"/>
      </w:pPr>
      <w:bookmarkStart w:id="6" w:name="_Toc23202449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pPr>
        <w:pStyle w:val="Heading2"/>
      </w:pPr>
      <w:bookmarkStart w:id="10" w:name="_Toc23202450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Working tables from the survey period also suggested favourable physical-access and perceived-benefit estimates; because those figures cannot be traced to items in the archived six-item instrument (Appendix A), they are not reported as survey results in this thesis. The survey therefore provides a strong descriptive problem signature, but its wording does not allow every negative first experience to be treated unambiguously as task failure.</w:t>
      </w:r>
    </w:p>
    <w:p>
      <w:pPr>
        <w:pStyle w:val="Normal"/>
        <w:jc w:val="both"/>
      </w:pPr>
      <w:r>
        <w:rPr>
          <w:szCs w:val="22"/>
          <w:lang w:val="en-US" w:eastAsia="en-US" w:bidi="ar-SA"/>
          <w:rFonts w:ascii="Times New Roman" w:hAnsi="Times New Roman" w:eastAsia="Times New Roman" w:cs="Times New Roman"/>
          <w:sz w:val="24"/>
        </w:rPr>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game and its instructions carried no clinical or fall-risk terminology and delivered no participant-facing clinical output; the activity was presented as a purely-fun coordination game; and the interface was re-skinned. The invitation e-mail itself openly disclosed the doctoral research context, including the programme's fall-risk origin — the decoupling operated at the artefact level, not by concealment.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2.3.5 The Null Hypothesis Built From Stages One and Two</w:t>
      </w:r>
    </w:p>
    <w:p>
      <w:pPr>
        <w:pStyle w:val="Normal"/>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pPr>
        <w:pStyle w:val="Normal"/>
      </w:pPr>
      <w:r>
        <w:rPr>
          <w:b/>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2.4 Stage Three: Self-Efficacy as the First Diagnostic Layer</w:t>
      </w:r>
      <w:bookmarkEnd w:id="28"/>
    </w:p>
    <w:p>
      <w:pPr>
        <w:pStyle w:val="Heading3"/>
      </w:pPr>
      <w:bookmarkStart w:id="29" w:name="_Toc232024523"/>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2.5 Stage Four: Behavioural Science as a Candidate FIAS Account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FigureCaption"/>
      </w:pPr>
      <w:r>
        <w:rPr>
          <w:sz w:val="22"/>
          <w:szCs w:val="22"/>
          <w:lang w:val="en-US" w:eastAsia="en-US" w:bidi="ar-SA"/>
          <w:rFonts w:ascii="Times New Roman" w:hAnsi="Times New Roman" w:eastAsia="Times New Roman" w:cs="Times New Roman"/>
          <w:i/>
        </w:rP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pStyle w:val="Normal"/>
            </w:pPr>
            <w:r>
              <w:rPr>
                <w:b/>
                <w:sz w:val="20"/>
                <w:szCs w:val="22"/>
                <w:lang w:val="en-US" w:eastAsia="en-US" w:bidi="ar-SA"/>
                <w:rFonts w:ascii="Times New Roman" w:hAnsi="Times New Roman" w:eastAsia="Times New Roman" w:cs="Times New Roman"/>
              </w:rPr>
              <w:t>Observation H0 cannot explain</w:t>
            </w:r>
          </w:p>
        </w:tc>
        <w:tc>
          <w:tcPr>
            <w:tcW w:type="dxa" w:w="2126"/>
          </w:tcPr>
          <w:p>
            <w:pPr>
              <w:pStyle w:val="Normal"/>
            </w:pPr>
            <w:r>
              <w:rPr>
                <w:b/>
                <w:sz w:val="20"/>
                <w:szCs w:val="22"/>
                <w:lang w:val="en-US" w:eastAsia="en-US" w:bidi="ar-SA"/>
                <w:rFonts w:ascii="Times New Roman" w:hAnsi="Times New Roman" w:eastAsia="Times New Roman" w:cs="Times New Roman"/>
              </w:rPr>
              <w:t>Behavioural theory</w:t>
            </w:r>
          </w:p>
        </w:tc>
        <w:tc>
          <w:tcPr>
            <w:tcW w:type="dxa" w:w="2126"/>
          </w:tcPr>
          <w:p>
            <w:pPr>
              <w:pStyle w:val="Normal"/>
            </w:pPr>
            <w:r>
              <w:rPr>
                <w:b/>
                <w:sz w:val="20"/>
                <w:szCs w:val="22"/>
                <w:lang w:val="en-US" w:eastAsia="en-US" w:bidi="ar-SA"/>
                <w:rFonts w:ascii="Times New Roman" w:hAnsi="Times New Roman" w:eastAsia="Times New Roman" w:cs="Times New Roman"/>
              </w:rPr>
              <w:t>Construct contributed to FIAS</w:t>
            </w:r>
          </w:p>
        </w:tc>
        <w:tc>
          <w:tcPr>
            <w:tcW w:type="dxa" w:w="2126"/>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126"/>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2126"/>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26"/>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126"/>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126"/>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2126"/>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26"/>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126"/>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126"/>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2126"/>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26"/>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126"/>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126"/>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2126"/>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26"/>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126"/>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126"/>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2126"/>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26"/>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126"/>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2.5.6 A Four-Layer Behavioural Integration Proposed for FIAS</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2.6 Stage Five: Positioning Decoupled Gameplay and Adaptive Learning as Design Responses</w:t>
      </w:r>
    </w:p>
    <w:p>
      <w:pPr>
        <w:pStyle w:val="Heading3"/>
      </w:pPr>
      <w:bookmarkStart w:id="37" w:name="_Toc23202453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2.6.2C Zero-Failure Design: A Research-Generated Concept That Inverts Octalysis D8</w:t>
      </w:r>
    </w:p>
    <w:p>
      <w:pPr>
        <w:pStyle w:val="Normal"/>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pPr>
      <w:r>
        <w:rPr>
          <w:szCs w:val="26"/>
          <w:lang w:val="en-US" w:eastAsia="en-US" w:bidi="ar-SA"/>
          <w:rFonts w:ascii="Times New Roman" w:hAnsi="Times New Roman" w:eastAsia="Times New Roman" w:cs="Times New Roman"/>
          <w:sz w:val="28"/>
          <w:b/>
        </w:rP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8"/>
          <w:b/>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8"/>
          <w:b/>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8"/>
          <w:b/>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2.7 Supporting Evidence and Adjacent Frameworks</w:t>
      </w:r>
      <w:bookmarkEnd w:id="40"/>
    </w:p>
    <w:p>
      <w:pPr>
        <w:pStyle w:val="Heading3"/>
      </w:pPr>
      <w:bookmarkStart w:id="41" w:name="_Toc232024541"/>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8"/>
          <w:b/>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8"/>
          <w:b/>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8"/>
          <w:b/>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pPr>
        <w:pStyle w:val="Heading3"/>
      </w:pPr>
      <w:bookmarkStart w:id="43" w:name="_Toc232024543"/>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8"/>
          <w:b/>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8"/>
          <w:b/>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pStyle w:val="Heading2"/>
      </w:pPr>
      <w:bookmarkStart w:id="45" w:name="_Toc23202454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8"/>
          <w:b/>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8"/>
          <w:b/>
        </w:rP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3 Research Methodology</w:t>
      </w:r>
      <w:bookmarkEnd w:id="46"/>
    </w:p>
    <w:p>
      <w:pPr>
        <w:pStyle w:val="Heading2"/>
      </w:pPr>
      <w:bookmarkStart w:id="47" w:name="_Toc2320245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8"/>
          <w:b/>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8"/>
          <w:b/>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8"/>
          <w:b/>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8"/>
          <w:b/>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pPr>
      <w:r>
        <w:rPr>
          <w:szCs w:val="26"/>
          <w:lang w:val="en-US" w:eastAsia="en-US" w:bidi="ar-SA"/>
          <w:rFonts w:ascii="Times New Roman" w:hAnsi="Times New Roman" w:eastAsia="Times New Roman" w:cs="Times New Roman"/>
          <w:sz w:val="28"/>
          <w:b/>
        </w:rP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FigureCaption"/>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pStyle w:val="Normal"/>
            </w:pPr>
            <w:r>
              <w:rPr>
                <w:b/>
                <w:sz w:val="32"/>
                <w:szCs w:val="28"/>
                <w:lang w:val="en-US" w:eastAsia="en-US" w:bidi="ar-SA"/>
                <w:rFonts w:ascii="Times New Roman" w:hAnsi="Times New Roman" w:eastAsia="Times New Roman" w:cs="Times New Roman"/>
              </w:rPr>
              <w:t>Claim</w:t>
            </w:r>
          </w:p>
        </w:tc>
        <w:tc>
          <w:tcPr>
            <w:tcW w:type="dxa" w:w="1701"/>
          </w:tcPr>
          <w:p>
            <w:pPr>
              <w:pStyle w:val="Normal"/>
            </w:pPr>
            <w:r>
              <w:rPr>
                <w:b/>
                <w:sz w:val="32"/>
                <w:szCs w:val="28"/>
                <w:lang w:val="en-US" w:eastAsia="en-US" w:bidi="ar-SA"/>
                <w:rFonts w:ascii="Times New Roman" w:hAnsi="Times New Roman" w:eastAsia="Times New Roman" w:cs="Times New Roman"/>
              </w:rPr>
              <w:t>Origin</w:t>
            </w:r>
          </w:p>
        </w:tc>
        <w:tc>
          <w:tcPr>
            <w:tcW w:type="dxa" w:w="1701"/>
          </w:tcPr>
          <w:p>
            <w:pPr>
              <w:pStyle w:val="Normal"/>
            </w:pPr>
            <w:r>
              <w:rPr>
                <w:b/>
                <w:sz w:val="32"/>
                <w:szCs w:val="28"/>
                <w:lang w:val="en-US" w:eastAsia="en-US" w:bidi="ar-SA"/>
                <w:rFonts w:ascii="Times New Roman" w:hAnsi="Times New Roman" w:eastAsia="Times New Roman" w:cs="Times New Roman"/>
              </w:rPr>
              <w:t>Stated</w:t>
            </w:r>
          </w:p>
        </w:tc>
        <w:tc>
          <w:tcPr>
            <w:tcW w:type="dxa" w:w="1701"/>
          </w:tcPr>
          <w:p>
            <w:pPr>
              <w:pStyle w:val="Normal"/>
            </w:pPr>
            <w:r>
              <w:rPr>
                <w:b/>
                <w:sz w:val="32"/>
                <w:szCs w:val="28"/>
                <w:lang w:val="en-US" w:eastAsia="en-US" w:bidi="ar-SA"/>
                <w:rFonts w:ascii="Times New Roman" w:hAnsi="Times New Roman" w:eastAsia="Times New Roman" w:cs="Times New Roman"/>
              </w:rPr>
              <w:t>Tested / examined</w:t>
            </w:r>
          </w:p>
        </w:tc>
        <w:tc>
          <w:tcPr>
            <w:tcW w:type="dxa" w:w="1701"/>
          </w:tcPr>
          <w:p>
            <w:pPr>
              <w:pStyle w:val="Normal"/>
            </w:pPr>
            <w:r>
              <w:rPr>
                <w:b/>
                <w:sz w:val="32"/>
                <w:szCs w:val="28"/>
                <w:lang w:val="en-US" w:eastAsia="en-US" w:bidi="ar-SA"/>
                <w:rFonts w:ascii="Times New Roman" w:hAnsi="Times New Roman" w:eastAsia="Times New Roman" w:cs="Times New Roman"/>
              </w:rPr>
              <w:t>Status in this thesis</w:t>
            </w:r>
          </w:p>
        </w:tc>
      </w:tr>
      <w:tr>
        <w:tc>
          <w:tcPr>
            <w:tcW w:type="dxa" w:w="1701"/>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70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1701"/>
          </w:tcPr>
          <w:p>
            <w:pPr>
              <w:pStyle w:val="Normal"/>
            </w:pPr>
            <w:r>
              <w:rPr>
                <w:sz w:val="24"/>
                <w:szCs w:val="22"/>
                <w:lang w:val="en-US" w:eastAsia="en-US" w:bidi="ar-SA"/>
                <w:rFonts w:ascii="Times New Roman" w:hAnsi="Times New Roman" w:eastAsia="Times New Roman" w:cs="Times New Roman"/>
                <w:b/>
              </w:rPr>
              <w:t>§2.3.5; §5.1</w:t>
            </w:r>
          </w:p>
        </w:tc>
        <w:tc>
          <w:tcPr>
            <w:tcW w:type="dxa" w:w="1701"/>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701"/>
          </w:tcPr>
          <w:p>
            <w:pPr>
              <w:pStyle w:val="Normal"/>
            </w:pPr>
            <w:r>
              <w:rPr>
                <w:sz w:val="24"/>
                <w:szCs w:val="22"/>
                <w:lang w:val="en-US" w:eastAsia="en-US" w:bidi="ar-SA"/>
                <w:rFonts w:ascii="Times New Roman" w:hAnsi="Times New Roman" w:eastAsia="Times New Roman" w:cs="Times New Roman"/>
                <w:b/>
              </w:rPr>
              <w:t>Rejected</w:t>
            </w:r>
          </w:p>
        </w:tc>
      </w:tr>
      <w:tr>
        <w:tc>
          <w:tcPr>
            <w:tcW w:type="dxa" w:w="1701"/>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701"/>
          </w:tcPr>
          <w:p>
            <w:pPr>
              <w:pStyle w:val="Normal"/>
            </w:pPr>
            <w:r>
              <w:rPr>
                <w:sz w:val="24"/>
                <w:szCs w:val="22"/>
                <w:lang w:val="en-US" w:eastAsia="en-US" w:bidi="ar-SA"/>
                <w:rFonts w:ascii="Times New Roman" w:hAnsi="Times New Roman" w:eastAsia="Times New Roman" w:cs="Times New Roman"/>
                <w:b/>
              </w:rPr>
              <w:t>Stage-1 observations</w:t>
            </w:r>
          </w:p>
        </w:tc>
        <w:tc>
          <w:tcPr>
            <w:tcW w:type="dxa" w:w="1701"/>
          </w:tcPr>
          <w:p>
            <w:pPr>
              <w:pStyle w:val="Normal"/>
            </w:pPr>
            <w:r>
              <w:rPr>
                <w:sz w:val="24"/>
                <w:szCs w:val="22"/>
                <w:lang w:val="en-US" w:eastAsia="en-US" w:bidi="ar-SA"/>
                <w:rFonts w:ascii="Times New Roman" w:hAnsi="Times New Roman" w:eastAsia="Times New Roman" w:cs="Times New Roman"/>
                <w:b/>
              </w:rPr>
              <w:t>§5.1</w:t>
            </w:r>
          </w:p>
        </w:tc>
        <w:tc>
          <w:tcPr>
            <w:tcW w:type="dxa" w:w="1701"/>
          </w:tcPr>
          <w:p>
            <w:pPr>
              <w:pStyle w:val="Normal"/>
            </w:pPr>
            <w:r>
              <w:rPr>
                <w:sz w:val="24"/>
                <w:szCs w:val="22"/>
                <w:lang w:val="en-US" w:eastAsia="en-US" w:bidi="ar-SA"/>
                <w:rFonts w:ascii="Times New Roman" w:hAnsi="Times New Roman" w:eastAsia="Times New Roman" w:cs="Times New Roman"/>
                <w:b/>
              </w:rPr>
              <w:t>Stage 2 (Ch 5)</w:t>
            </w:r>
          </w:p>
        </w:tc>
        <w:tc>
          <w:tcPr>
            <w:tcW w:type="dxa" w:w="1701"/>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1701"/>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70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1701"/>
          </w:tcPr>
          <w:p>
            <w:pPr>
              <w:pStyle w:val="Normal"/>
            </w:pPr>
            <w:r>
              <w:rPr>
                <w:sz w:val="24"/>
                <w:szCs w:val="22"/>
                <w:lang w:val="en-US" w:eastAsia="en-US" w:bidi="ar-SA"/>
                <w:rFonts w:ascii="Times New Roman" w:hAnsi="Times New Roman" w:eastAsia="Times New Roman" w:cs="Times New Roman"/>
                <w:b/>
              </w:rPr>
              <w:t>§5.1; §6.2</w:t>
            </w:r>
          </w:p>
        </w:tc>
        <w:tc>
          <w:tcPr>
            <w:tcW w:type="dxa" w:w="1701"/>
          </w:tcPr>
          <w:p>
            <w:pPr>
              <w:pStyle w:val="Normal"/>
            </w:pPr>
            <w:r>
              <w:rPr>
                <w:sz w:val="24"/>
                <w:szCs w:val="22"/>
                <w:lang w:val="en-US" w:eastAsia="en-US" w:bidi="ar-SA"/>
                <w:rFonts w:ascii="Times New Roman" w:hAnsi="Times New Roman" w:eastAsia="Times New Roman" w:cs="Times New Roman"/>
                <w:b/>
              </w:rPr>
              <w:t>Stage 3 (Ch 6)</w:t>
            </w:r>
          </w:p>
        </w:tc>
        <w:tc>
          <w:tcPr>
            <w:tcW w:type="dxa" w:w="1701"/>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1701"/>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70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1701"/>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701"/>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701"/>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1701"/>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70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1701"/>
          </w:tcPr>
          <w:p>
            <w:pPr>
              <w:pStyle w:val="Normal"/>
            </w:pPr>
            <w:r>
              <w:rPr>
                <w:sz w:val="24"/>
                <w:szCs w:val="22"/>
                <w:lang w:val="en-US" w:eastAsia="en-US" w:bidi="ar-SA"/>
                <w:rFonts w:ascii="Times New Roman" w:hAnsi="Times New Roman" w:eastAsia="Times New Roman" w:cs="Times New Roman"/>
                <w:b/>
              </w:rPr>
              <w:t>§3.2; §6.2</w:t>
            </w:r>
          </w:p>
        </w:tc>
        <w:tc>
          <w:tcPr>
            <w:tcW w:type="dxa" w:w="1701"/>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701"/>
          </w:tcPr>
          <w:p>
            <w:pPr>
              <w:pStyle w:val="Normal"/>
            </w:pPr>
            <w:r>
              <w:rPr>
                <w:szCs w:val="26"/>
                <w:lang w:val="en-US" w:eastAsia="en-US" w:bidi="ar-SA"/>
                <w:rFonts w:ascii="Times New Roman" w:hAnsi="Times New Roman" w:eastAsia="Times New Roman" w:cs="Times New Roman"/>
                <w:sz w:val="28"/>
                <w:b/>
              </w:rPr>
              <w:t>Nullified: initial dropout 0.0% (25-44) vs 39.0% (65-80), Fisher's exact p &lt; 0.0001; non-return converges low in all bands</w:t>
            </w:r>
          </w:p>
        </w:tc>
      </w:tr>
    </w:tbl>
    <w:p>
      <w:pPr>
        <w:pStyle w:val="Heading2"/>
      </w:pPr>
      <w:bookmarkStart w:id="49" w:name="_Toc2320245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8"/>
          <w:b/>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pPr>
        <w:pStyle w:val="Heading2"/>
      </w:pPr>
      <w:bookmarkStart w:id="50" w:name="_Toc2320245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8"/>
          <w:b/>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approved by the PolyU Human Subjects Ethics Sub-Committee (application reference HSEARS20260805008; Principal Investigator: Prof. Chi Fai Cheung, Department of Industrial and Systems Engineering; approved August 2026); the application described the procedures of all three stages and the expert consultations as conducted, and the approval memo is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r>
        <w:t>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8"/>
          <w:b/>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8"/>
          <w:b/>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pPr>
      <w:r>
        <w:rPr>
          <w:i w:val="0"/>
          <w:szCs w:val="26"/>
          <w:lang w:val="en-US" w:eastAsia="en-US" w:bidi="ar-SA"/>
          <w:rFonts w:ascii="Times New Roman" w:hAnsi="Times New Roman" w:eastAsia="Times New Roman" w:cs="Times New Roman"/>
          <w:sz w:val="28"/>
          <w:b/>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pPr>
      <w:r>
        <w:rPr>
          <w:szCs w:val="26"/>
          <w:lang w:val="en-US" w:eastAsia="en-US" w:bidi="ar-SA"/>
          <w:rFonts w:ascii="Times New Roman" w:hAnsi="Times New Roman" w:eastAsia="Times New Roman" w:cs="Times New Roman"/>
          <w:sz w:val="28"/>
          <w:b/>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8"/>
          <w:b/>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8"/>
          <w:b/>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8"/>
          <w:b/>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b/>
          <w:color w:val="000000"/>
          <w:sz w:val="28"/>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4 Stage 1 — From FIDS to FIAS</w:t>
      </w:r>
    </w:p>
    <w:p>
      <w:pPr>
        <w:pStyle w:val="Normal"/>
        <w:jc w:val="both"/>
      </w:pPr>
      <w:r>
        <w:rPr>
          <w:szCs w:val="26"/>
          <w:lang w:val="en-US" w:eastAsia="en-US" w:bidi="ar-SA"/>
          <w:rFonts w:ascii="Times New Roman" w:hAnsi="Times New Roman" w:eastAsia="Times New Roman" w:cs="Times New Roman"/>
          <w:sz w:val="28"/>
          <w:b/>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4.1 Purpose</w:t>
      </w:r>
      <w:bookmarkEnd w:id="53"/>
    </w:p>
    <w:p>
      <w:pPr>
        <w:pStyle w:val="Normal"/>
        <w:jc w:val="both"/>
      </w:pPr>
      <w:r>
        <w:rPr>
          <w:szCs w:val="26"/>
          <w:lang w:val="en-US" w:eastAsia="en-US" w:bidi="ar-SA"/>
          <w:rFonts w:ascii="Times New Roman" w:hAnsi="Times New Roman" w:eastAsia="Times New Roman" w:cs="Times New Roman"/>
          <w:sz w:val="28"/>
          <w:b/>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pStyle w:val="Heading2"/>
      </w:pPr>
      <w:bookmarkStart w:id="56" w:name="_Toc23202455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0" w:type="auto"/>
        <w:jc w:val="center"/>
        <w:tblLook w:val="04A0" w:firstRow="1" w:lastRow="0" w:firstColumn="1" w:lastColumn="0" w:noHBand="0" w:noVBand="1"/>
      </w:tblPr>
      <w:tblGrid>
        <w:gridCol w:w="5665"/>
        <w:gridCol w:w="1848"/>
      </w:tblGrid>
      <w:tr>
        <w:trPr>
          <w:jc w:val="center"/>
        </w:trPr>
        <w:tc>
          <w:tcPr>
            <w:tcW w:w="5665" w:type="dxa"/>
          </w:tcPr>
          <w:p>
            <w:pPr>
              <w:pStyle w:val="Normal"/>
            </w:pPr>
            <w:r>
              <w:rPr>
                <w:b/>
                <w:sz w:val="20"/>
                <w:szCs w:val="22"/>
                <w:lang w:val="en-US" w:eastAsia="en-US" w:bidi="ar-SA"/>
                <w:rFonts w:ascii="Times New Roman" w:hAnsi="Times New Roman" w:eastAsia="Times New Roman" w:cs="Times New Roman"/>
              </w:rPr>
              <w:t>Survey item</w:t>
            </w:r>
          </w:p>
        </w:tc>
        <w:tc>
          <w:tcPr>
            <w:tcW w:w="1848" w:type="dxa"/>
          </w:tcPr>
          <w:p>
            <w:pPr>
              <w:pStyle w:val="Normal"/>
            </w:pPr>
            <w:r>
              <w:rPr>
                <w:b/>
                <w:sz w:val="20"/>
                <w:szCs w:val="22"/>
                <w:lang w:val="en-US" w:eastAsia="en-US" w:bidi="ar-SA"/>
                <w:rFonts w:ascii="Times New Roman" w:hAnsi="Times New Roman" w:eastAsia="Times New Roman" w:cs="Times New Roman"/>
              </w:rPr>
              <w:t>Result</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Ever used FRA</w:t>
            </w:r>
          </w:p>
        </w:tc>
        <w:tc>
          <w:tcPr>
            <w:tcW w:w="1848" w:type="dxa"/>
          </w:tcPr>
          <w:p>
            <w:pPr>
              <w:pStyle w:val="Normal"/>
            </w:pPr>
            <w:r>
              <w:rPr>
                <w:sz w:val="20"/>
                <w:szCs w:val="22"/>
                <w:lang w:val="en-US" w:eastAsia="en-US" w:bidi="ar-SA"/>
                <w:rFonts w:ascii="Times New Roman" w:hAnsi="Times New Roman" w:eastAsia="Times New Roman" w:cs="Times New Roman"/>
              </w:rPr>
              <w:t>39%</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Never used FRA</w:t>
            </w:r>
          </w:p>
        </w:tc>
        <w:tc>
          <w:tcPr>
            <w:tcW w:w="1848" w:type="dxa"/>
          </w:tcPr>
          <w:p>
            <w:pPr>
              <w:pStyle w:val="Normal"/>
            </w:pPr>
            <w:r>
              <w:rPr>
                <w:sz w:val="20"/>
                <w:szCs w:val="22"/>
                <w:lang w:val="en-US" w:eastAsia="en-US" w:bidi="ar-SA"/>
                <w:rFonts w:ascii="Times New Roman" w:hAnsi="Times New Roman" w:eastAsia="Times New Roman" w:cs="Times New Roman"/>
              </w:rPr>
              <w:t>61%</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48" w:type="dxa"/>
          </w:tcPr>
          <w:p>
            <w:pPr>
              <w:pStyle w:val="Normal"/>
            </w:pPr>
            <w:r>
              <w:rPr>
                <w:sz w:val="20"/>
                <w:szCs w:val="22"/>
                <w:lang w:val="en-US" w:eastAsia="en-US" w:bidi="ar-SA"/>
                <w:rFonts w:ascii="Times New Roman" w:hAnsi="Times New Roman" w:eastAsia="Times New Roman" w:cs="Times New Roman"/>
              </w:rPr>
              <w:t>~74%</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48" w:type="dxa"/>
          </w:tcPr>
          <w:p>
            <w:pPr>
              <w:pStyle w:val="Normal"/>
            </w:pPr>
            <w:r>
              <w:rPr>
                <w:sz w:val="20"/>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trPr>
          <w:jc w:val="center"/>
        </w:trPr>
        <w:tc>
          <w:tcPr>
            <w:tcW w:w="2689" w:type="dxa"/>
          </w:tcPr>
          <w:p>
            <w:pPr>
              <w:pStyle w:val="Normal"/>
            </w:pPr>
            <w:r>
              <w:rPr>
                <w:b/>
                <w:sz w:val="20"/>
                <w:szCs w:val="22"/>
                <w:lang w:val="en-US" w:eastAsia="en-US" w:bidi="ar-SA"/>
                <w:rFonts w:ascii="Times New Roman" w:hAnsi="Times New Roman" w:eastAsia="Times New Roman" w:cs="Times New Roman"/>
              </w:rPr>
              <w:t>TAM assumption</w:t>
            </w:r>
          </w:p>
        </w:tc>
        <w:tc>
          <w:tcPr>
            <w:tcW w:w="2974" w:type="dxa"/>
          </w:tcPr>
          <w:p>
            <w:pPr>
              <w:pStyle w:val="Normal"/>
            </w:pPr>
            <w:r>
              <w:rPr>
                <w:b/>
                <w:sz w:val="20"/>
                <w:szCs w:val="22"/>
                <w:lang w:val="en-US" w:eastAsia="en-US" w:bidi="ar-SA"/>
                <w:rFonts w:ascii="Times New Roman" w:hAnsi="Times New Roman" w:eastAsia="Times New Roman" w:cs="Times New Roman"/>
              </w:rPr>
              <w:t>Reality for elderly FRA users</w:t>
            </w:r>
          </w:p>
        </w:tc>
        <w:tc>
          <w:tcPr>
            <w:tcW w:w="2832" w:type="dxa"/>
          </w:tcPr>
          <w:p>
            <w:pPr>
              <w:pStyle w:val="Normal"/>
            </w:pPr>
            <w:r>
              <w:rPr>
                <w:b/>
                <w:sz w:val="20"/>
                <w:szCs w:val="22"/>
                <w:lang w:val="en-US" w:eastAsia="en-US" w:bidi="ar-SA"/>
                <w:rFonts w:ascii="Times New Roman" w:hAnsi="Times New Roman" w:eastAsia="Times New Roman" w:cs="Times New Roman"/>
              </w:rPr>
              <w:t>Consequence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Usefulness tied to job performance</w:t>
            </w:r>
          </w:p>
        </w:tc>
        <w:tc>
          <w:tcPr>
            <w:tcW w:w="2974" w:type="dxa"/>
          </w:tcPr>
          <w:p>
            <w:pPr>
              <w:pStyle w:val="Normal"/>
            </w:pPr>
            <w:r>
              <w:rPr>
                <w:sz w:val="20"/>
                <w:szCs w:val="22"/>
                <w:lang w:val="en-US" w:eastAsia="en-US" w:bidi="ar-SA"/>
                <w:rFonts w:ascii="Times New Roman" w:hAnsi="Times New Roman" w:eastAsia="Times New Roman" w:cs="Times New Roman"/>
              </w:rPr>
              <w:t>Users are retired</w:t>
            </w:r>
          </w:p>
        </w:tc>
        <w:tc>
          <w:tcPr>
            <w:tcW w:w="2832" w:type="dxa"/>
          </w:tcPr>
          <w:p>
            <w:pPr>
              <w:pStyle w:val="Normal"/>
            </w:pPr>
            <w:r>
              <w:rPr>
                <w:sz w:val="20"/>
                <w:szCs w:val="22"/>
                <w:lang w:val="en-US" w:eastAsia="en-US" w:bidi="ar-SA"/>
                <w:rFonts w:ascii="Times New Roman" w:hAnsi="Times New Roman" w:eastAsia="Times New Roman" w:cs="Times New Roman"/>
              </w:rPr>
              <w:t>PU needs redefining</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Positive perceptions predict adoption</w:t>
            </w:r>
          </w:p>
        </w:tc>
        <w:tc>
          <w:tcPr>
            <w:tcW w:w="2974"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832"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Negative experience reduces acceptance gradually</w:t>
            </w:r>
          </w:p>
        </w:tc>
        <w:tc>
          <w:tcPr>
            <w:tcW w:w="2974"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832"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No construct for failure response</w:t>
            </w:r>
          </w:p>
        </w:tc>
        <w:tc>
          <w:tcPr>
            <w:tcW w:w="2974"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832"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trPr>
          <w:jc w:val="center"/>
        </w:trPr>
        <w:tc>
          <w:tcPr>
            <w:tcW w:w="2405" w:type="dxa"/>
          </w:tcPr>
          <w:p>
            <w:pPr>
              <w:pStyle w:val="Normal"/>
            </w:pPr>
            <w:r>
              <w:rPr>
                <w:b/>
                <w:sz w:val="20"/>
                <w:szCs w:val="22"/>
                <w:lang w:val="en-US" w:eastAsia="en-US" w:bidi="ar-SA"/>
                <w:rFonts w:ascii="Times New Roman" w:hAnsi="Times New Roman" w:eastAsia="Times New Roman" w:cs="Times New Roman"/>
              </w:rPr>
              <w:t>Octalysis drive</w:t>
            </w:r>
          </w:p>
        </w:tc>
        <w:tc>
          <w:tcPr>
            <w:tcW w:w="2977" w:type="dxa"/>
          </w:tcPr>
          <w:p>
            <w:pPr>
              <w:pStyle w:val="Normal"/>
            </w:pPr>
            <w:r>
              <w:rPr>
                <w:b/>
                <w:sz w:val="20"/>
                <w:szCs w:val="22"/>
                <w:lang w:val="en-US" w:eastAsia="en-US" w:bidi="ar-SA"/>
                <w:rFonts w:ascii="Times New Roman" w:hAnsi="Times New Roman" w:eastAsia="Times New Roman" w:cs="Times New Roman"/>
              </w:rPr>
              <w:t>Standard assumption</w:t>
            </w:r>
          </w:p>
        </w:tc>
        <w:tc>
          <w:tcPr>
            <w:tcW w:w="3113"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D2 Accomplishment</w:t>
            </w:r>
          </w:p>
        </w:tc>
        <w:tc>
          <w:tcPr>
            <w:tcW w:w="2977" w:type="dxa"/>
          </w:tcPr>
          <w:p>
            <w:pPr>
              <w:pStyle w:val="Normal"/>
            </w:pPr>
            <w:r>
              <w:rPr>
                <w:sz w:val="20"/>
                <w:szCs w:val="22"/>
                <w:lang w:val="en-US" w:eastAsia="en-US" w:bidi="ar-SA"/>
                <w:rFonts w:ascii="Times New Roman" w:hAnsi="Times New Roman" w:eastAsia="Times New Roman" w:cs="Times New Roman"/>
              </w:rPr>
              <w:t>Achievement challenges motivate</w:t>
            </w:r>
          </w:p>
        </w:tc>
        <w:tc>
          <w:tcPr>
            <w:tcW w:w="3113" w:type="dxa"/>
          </w:tcPr>
          <w:p>
            <w:pPr>
              <w:pStyle w:val="Normal"/>
            </w:pPr>
            <w:r>
              <w:rPr>
                <w:sz w:val="20"/>
                <w:szCs w:val="22"/>
                <w:lang w:val="en-US" w:eastAsia="en-US" w:bidi="ar-SA"/>
                <w:rFonts w:ascii="Times New Roman" w:hAnsi="Times New Roman" w:eastAsia="Times New Roman" w:cs="Times New Roman"/>
              </w:rPr>
              <w:t>May be undermined by failure</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D5 Social Influence</w:t>
            </w:r>
          </w:p>
        </w:tc>
        <w:tc>
          <w:tcPr>
            <w:tcW w:w="2977" w:type="dxa"/>
          </w:tcPr>
          <w:p>
            <w:pPr>
              <w:pStyle w:val="Normal"/>
            </w:pPr>
            <w:r>
              <w:rPr>
                <w:sz w:val="20"/>
                <w:szCs w:val="22"/>
                <w:lang w:val="en-US" w:eastAsia="en-US" w:bidi="ar-SA"/>
                <w:rFonts w:ascii="Times New Roman" w:hAnsi="Times New Roman" w:eastAsia="Times New Roman" w:cs="Times New Roman"/>
              </w:rPr>
              <w:t>Comparison drives engagement</w:t>
            </w:r>
          </w:p>
        </w:tc>
        <w:tc>
          <w:tcPr>
            <w:tcW w:w="3113"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D8 Loss and Avoidance</w:t>
            </w:r>
          </w:p>
        </w:tc>
        <w:tc>
          <w:tcPr>
            <w:tcW w:w="2977" w:type="dxa"/>
          </w:tcPr>
          <w:p>
            <w:pPr>
              <w:pStyle w:val="Normal"/>
            </w:pPr>
            <w:r>
              <w:rPr>
                <w:sz w:val="20"/>
                <w:szCs w:val="22"/>
                <w:lang w:val="en-US" w:eastAsia="en-US" w:bidi="ar-SA"/>
                <w:rFonts w:ascii="Times New Roman" w:hAnsi="Times New Roman" w:eastAsia="Times New Roman" w:cs="Times New Roman"/>
              </w:rPr>
              <w:t>Fear of losing progress sustains play</w:t>
            </w:r>
          </w:p>
        </w:tc>
        <w:tc>
          <w:tcPr>
            <w:tcW w:w="3113"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2"/>
          <w:szCs w:val="28"/>
          <w:i/>
        </w:rPr>
        <w:t>Chapter 5 Stage 2 — Action Research with Gamified FRA</w:t>
      </w:r>
      <w:bookmarkEnd w:id="66"/>
    </w:p>
    <w:p>
      <w:pPr>
        <w:pStyle w:val="Heading2"/>
      </w:pPr>
      <w:bookmarkStart w:id="67" w:name="_Toc232024564"/>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trPr>
          <w:jc w:val="center"/>
        </w:trPr>
        <w:tc>
          <w:tcPr>
            <w:tcW w:w="1271" w:type="dxa"/>
          </w:tcPr>
          <w:p>
            <w:pPr>
              <w:pStyle w:val="Normal"/>
            </w:pPr>
            <w:r>
              <w:rPr>
                <w:b/>
                <w:sz w:val="20"/>
                <w:szCs w:val="22"/>
                <w:lang w:val="en-US" w:eastAsia="en-US" w:bidi="ar-SA"/>
                <w:rFonts w:ascii="Times New Roman" w:hAnsi="Times New Roman" w:eastAsia="Times New Roman" w:cs="Times New Roman"/>
              </w:rPr>
              <w:t>Category</w:t>
            </w:r>
          </w:p>
        </w:tc>
        <w:tc>
          <w:tcPr>
            <w:tcW w:w="2268" w:type="dxa"/>
          </w:tcPr>
          <w:p>
            <w:pPr>
              <w:pStyle w:val="Normal"/>
            </w:pPr>
            <w:r>
              <w:rPr>
                <w:b/>
                <w:sz w:val="20"/>
                <w:szCs w:val="22"/>
                <w:lang w:val="en-US" w:eastAsia="en-US" w:bidi="ar-SA"/>
                <w:rFonts w:ascii="Times New Roman" w:hAnsi="Times New Roman" w:eastAsia="Times New Roman" w:cs="Times New Roman"/>
              </w:rPr>
              <w:t>Parameter</w:t>
            </w:r>
          </w:p>
        </w:tc>
        <w:tc>
          <w:tcPr>
            <w:tcW w:w="2126" w:type="dxa"/>
          </w:tcPr>
          <w:p>
            <w:pPr>
              <w:pStyle w:val="Normal"/>
            </w:pPr>
            <w:r>
              <w:rPr>
                <w:b/>
                <w:sz w:val="20"/>
                <w:szCs w:val="22"/>
                <w:lang w:val="en-US" w:eastAsia="en-US" w:bidi="ar-SA"/>
                <w:rFonts w:ascii="Times New Roman" w:hAnsi="Times New Roman" w:eastAsia="Times New Roman" w:cs="Times New Roman"/>
              </w:rPr>
              <w:t>Value</w:t>
            </w:r>
          </w:p>
        </w:tc>
        <w:tc>
          <w:tcPr>
            <w:tcW w:w="2830"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Slope</w:t>
            </w:r>
          </w:p>
        </w:tc>
        <w:tc>
          <w:tcPr>
            <w:tcW w:w="2268" w:type="dxa"/>
          </w:tcPr>
          <w:p>
            <w:pPr>
              <w:pStyle w:val="Normal"/>
            </w:pPr>
            <w:r>
              <w:rPr>
                <w:sz w:val="20"/>
                <w:szCs w:val="22"/>
                <w:lang w:val="en-US" w:eastAsia="en-US" w:bidi="ar-SA"/>
                <w:rFonts w:ascii="Times New Roman" w:hAnsi="Times New Roman" w:eastAsia="Times New Roman" w:cs="Times New Roman"/>
              </w:rPr>
              <w:t>slopeWidth / Length / Angle</w:t>
            </w:r>
          </w:p>
        </w:tc>
        <w:tc>
          <w:tcPr>
            <w:tcW w:w="2126" w:type="dxa"/>
          </w:tcPr>
          <w:p>
            <w:pPr>
              <w:pStyle w:val="Normal"/>
            </w:pPr>
            <w:r>
              <w:rPr>
                <w:sz w:val="20"/>
                <w:szCs w:val="22"/>
                <w:lang w:val="en-US" w:eastAsia="en-US" w:bidi="ar-SA"/>
                <w:rFonts w:ascii="Times New Roman" w:hAnsi="Times New Roman" w:eastAsia="Times New Roman" w:cs="Times New Roman"/>
              </w:rPr>
              <w:t>30 m / 2000 m / 12°</w:t>
            </w:r>
          </w:p>
        </w:tc>
        <w:tc>
          <w:tcPr>
            <w:tcW w:w="2830"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Player</w:t>
            </w:r>
          </w:p>
        </w:tc>
        <w:tc>
          <w:tcPr>
            <w:tcW w:w="2268"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2126" w:type="dxa"/>
          </w:tcPr>
          <w:p>
            <w:pPr>
              <w:pStyle w:val="Normal"/>
            </w:pPr>
            <w:r>
              <w:rPr>
                <w:sz w:val="20"/>
                <w:szCs w:val="22"/>
                <w:lang w:val="en-US" w:eastAsia="en-US" w:bidi="ar-SA"/>
                <w:rFonts w:ascii="Times New Roman" w:hAnsi="Times New Roman" w:eastAsia="Times New Roman" w:cs="Times New Roman"/>
              </w:rPr>
              <w:t>8 / 12 / 30 m/s</w:t>
            </w:r>
          </w:p>
        </w:tc>
        <w:tc>
          <w:tcPr>
            <w:tcW w:w="2830"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Balance</w:t>
            </w:r>
          </w:p>
        </w:tc>
        <w:tc>
          <w:tcPr>
            <w:tcW w:w="2268"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2126"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2830"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Obstacles</w:t>
            </w:r>
          </w:p>
        </w:tc>
        <w:tc>
          <w:tcPr>
            <w:tcW w:w="2268"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2126" w:type="dxa"/>
          </w:tcPr>
          <w:p>
            <w:pPr>
              <w:pStyle w:val="Normal"/>
            </w:pPr>
            <w:r>
              <w:rPr>
                <w:sz w:val="20"/>
                <w:szCs w:val="22"/>
                <w:lang w:val="en-US" w:eastAsia="en-US" w:bidi="ar-SA"/>
                <w:rFonts w:ascii="Times New Roman" w:hAnsi="Times New Roman" w:eastAsia="Times New Roman" w:cs="Times New Roman"/>
              </w:rPr>
              <w:t>0.4/m; 120 m / 30 m; 0.4–1.0 m</w:t>
            </w:r>
          </w:p>
        </w:tc>
        <w:tc>
          <w:tcPr>
            <w:tcW w:w="2830"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Coins</w:t>
            </w:r>
          </w:p>
        </w:tc>
        <w:tc>
          <w:tcPr>
            <w:tcW w:w="2268"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2126" w:type="dxa"/>
          </w:tcPr>
          <w:p>
            <w:pPr>
              <w:pStyle w:val="Normal"/>
            </w:pPr>
            <w:r>
              <w:rPr>
                <w:sz w:val="20"/>
                <w:szCs w:val="22"/>
                <w:lang w:val="en-US" w:eastAsia="en-US" w:bidi="ar-SA"/>
                <w:rFonts w:ascii="Times New Roman" w:hAnsi="Times New Roman" w:eastAsia="Times New Roman" w:cs="Times New Roman"/>
              </w:rPr>
              <w:t>0.3/m; 10 pts; 3 %</w:t>
            </w:r>
          </w:p>
        </w:tc>
        <w:tc>
          <w:tcPr>
            <w:tcW w:w="2830"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Lives</w:t>
            </w:r>
          </w:p>
        </w:tc>
        <w:tc>
          <w:tcPr>
            <w:tcW w:w="2268"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2126"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2830"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Difficulty</w:t>
            </w:r>
          </w:p>
        </w:tc>
        <w:tc>
          <w:tcPr>
            <w:tcW w:w="2268"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2126" w:type="dxa"/>
          </w:tcPr>
          <w:p>
            <w:pPr>
              <w:pStyle w:val="Normal"/>
            </w:pPr>
            <w:r>
              <w:rPr>
                <w:sz w:val="20"/>
                <w:szCs w:val="22"/>
                <w:lang w:val="en-US" w:eastAsia="en-US" w:bidi="ar-SA"/>
                <w:rFonts w:ascii="Times New Roman" w:hAnsi="Times New Roman" w:eastAsia="Times New Roman" w:cs="Times New Roman"/>
              </w:rPr>
              <w:t>\+0.15 / 200 m; 0.42–1.43</w:t>
            </w:r>
          </w:p>
        </w:tc>
        <w:tc>
          <w:tcPr>
            <w:tcW w:w="2830"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trPr>
          <w:jc w:val="center"/>
        </w:trPr>
        <w:tc>
          <w:tcPr>
            <w:tcW w:w="1129" w:type="dxa"/>
          </w:tcPr>
          <w:p>
            <w:pPr>
              <w:pStyle w:val="Normal"/>
            </w:pPr>
            <w:r>
              <w:rPr>
                <w:b/>
                <w:sz w:val="20"/>
                <w:szCs w:val="22"/>
                <w:lang w:val="en-US" w:eastAsia="en-US" w:bidi="ar-SA"/>
                <w:rFonts w:ascii="Times New Roman" w:hAnsi="Times New Roman" w:eastAsia="Times New Roman" w:cs="Times New Roman"/>
              </w:rPr>
              <w:t>Dimension</w:t>
            </w:r>
          </w:p>
        </w:tc>
        <w:tc>
          <w:tcPr>
            <w:tcW w:w="7366"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User</w:t>
            </w:r>
          </w:p>
        </w:tc>
        <w:tc>
          <w:tcPr>
            <w:tcW w:w="7366"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Game</w:t>
            </w:r>
          </w:p>
        </w:tc>
        <w:tc>
          <w:tcPr>
            <w:tcW w:w="7366"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Result</w:t>
            </w:r>
          </w:p>
        </w:tc>
        <w:tc>
          <w:tcPr>
            <w:tcW w:w="7366"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5.3.8 Why a Skiing Game?</w:t>
      </w:r>
      <w:bookmarkEnd w:id="82"/>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pStyle w:val="Normal"/>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trPr>
          <w:jc w:val="center"/>
        </w:trPr>
        <w:tc>
          <w:tcPr>
            <w:tcW w:w="4248" w:type="dxa"/>
          </w:tcPr>
          <w:p>
            <w:pPr>
              <w:pStyle w:val="Normal"/>
            </w:pPr>
            <w:r>
              <w:rPr>
                <w:b/>
                <w:sz w:val="28"/>
                <w:szCs w:val="26"/>
                <w:lang w:val="en-US" w:eastAsia="en-US" w:bidi="ar-SA"/>
                <w:rFonts w:ascii="Times New Roman" w:hAnsi="Times New Roman" w:eastAsia="Times New Roman" w:cs="Times New Roman"/>
              </w:rPr>
              <w:t>Engagement metric</w:t>
            </w:r>
          </w:p>
        </w:tc>
        <w:tc>
          <w:tcPr>
            <w:tcW w:w="4247" w:type="dxa"/>
          </w:tcPr>
          <w:p>
            <w:pPr>
              <w:pStyle w:val="Normal"/>
            </w:pPr>
            <w:r>
              <w:rPr>
                <w:b/>
                <w:sz w:val="28"/>
                <w:szCs w:val="26"/>
                <w:lang w:val="en-US" w:eastAsia="en-US" w:bidi="ar-SA"/>
                <w:rFonts w:ascii="Times New Roman" w:hAnsi="Times New Roman" w:eastAsia="Times New Roman" w:cs="Times New Roman"/>
              </w:rPr>
              <w:t>Value</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Low engagement (≤ 3 cycles)</w:t>
            </w:r>
          </w:p>
        </w:tc>
        <w:tc>
          <w:tcPr>
            <w:tcW w:w="4247" w:type="dxa"/>
          </w:tcPr>
          <w:p>
            <w:pPr>
              <w:pStyle w:val="Normal"/>
            </w:pPr>
            <w:r>
              <w:rPr>
                <w:sz w:val="20"/>
                <w:szCs w:val="22"/>
                <w:lang w:val="en-US" w:eastAsia="en-US" w:bidi="ar-SA"/>
                <w:rFonts w:ascii="Times New Roman" w:hAnsi="Times New Roman" w:eastAsia="Times New Roman" w:cs="Times New Roman"/>
              </w:rPr>
              <w:t>21/30 (70%)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Sustained (≥ 4 cycles)</w:t>
            </w:r>
          </w:p>
        </w:tc>
        <w:tc>
          <w:tcPr>
            <w:tcW w:w="4247" w:type="dxa"/>
          </w:tcPr>
          <w:p>
            <w:pPr>
              <w:pStyle w:val="Normal"/>
            </w:pPr>
            <w:r>
              <w:rPr>
                <w:sz w:val="20"/>
                <w:szCs w:val="22"/>
                <w:lang w:val="en-US" w:eastAsia="en-US" w:bidi="ar-SA"/>
                <w:rFonts w:ascii="Times New Roman" w:hAnsi="Times New Roman" w:eastAsia="Times New Roman" w:cs="Times New Roman"/>
              </w:rPr>
              <w:t>9/30 (30%)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Single-session exits</w:t>
            </w:r>
          </w:p>
        </w:tc>
        <w:tc>
          <w:tcPr>
            <w:tcW w:w="4247" w:type="dxa"/>
          </w:tcPr>
          <w:p>
            <w:pPr>
              <w:pStyle w:val="Normal"/>
            </w:pPr>
            <w:r>
              <w:rPr>
                <w:sz w:val="20"/>
                <w:szCs w:val="22"/>
                <w:lang w:val="en-US" w:eastAsia="en-US" w:bidi="ar-SA"/>
                <w:rFonts w:ascii="Times New Roman" w:hAnsi="Times New Roman" w:eastAsia="Times New Roman" w:cs="Times New Roman"/>
              </w:rPr>
              <w:t>8/30 (27%)</w:t>
            </w:r>
          </w:p>
        </w:tc>
      </w:tr>
      <w:tr>
        <w:trPr>
          <w:jc w:val="center"/>
        </w:trPr>
        <w:tc>
          <w:tcPr>
            <w:tcW w:w="4248"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4247"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5.5A Translating the Findings into Design Priorities: A QFD Pipeline</w:t>
      </w:r>
    </w:p>
    <w:p>
      <w:pPr>
        <w:pStyle w:val="Normal"/>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FigureCaption"/>
      </w:pPr>
      <w:r>
        <w:rPr>
          <w:sz w:val="24"/>
          <w:szCs w:val="22"/>
          <w:lang w:val="en-US" w:eastAsia="en-US" w:bidi="ar-SA"/>
          <w:rFonts w:ascii="Times New Roman" w:hAnsi="Times New Roman" w:eastAsia="Times New Roman" w:cs="Times New Roman"/>
          <w:i/>
          <w:b/>
        </w:rP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pStyle w:val="Normal"/>
            </w:pPr>
            <w:r>
              <w:rPr>
                <w:b/>
                <w:sz w:val="28"/>
                <w:szCs w:val="26"/>
                <w:lang w:val="en-US" w:eastAsia="en-US" w:bidi="ar-SA"/>
                <w:rFonts w:ascii="Times New Roman" w:hAnsi="Times New Roman" w:eastAsia="Times New Roman" w:cs="Times New Roman"/>
              </w:rPr>
              <w:t>User need (voice of the user)</w:t>
            </w:r>
          </w:p>
        </w:tc>
        <w:tc>
          <w:tcPr>
            <w:tcW w:type="dxa" w:w="1215"/>
          </w:tcPr>
          <w:p>
            <w:pPr>
              <w:pStyle w:val="Normal"/>
            </w:pPr>
            <w:r>
              <w:rPr>
                <w:b/>
                <w:sz w:val="28"/>
                <w:szCs w:val="26"/>
                <w:lang w:val="en-US" w:eastAsia="en-US" w:bidi="ar-SA"/>
                <w:rFonts w:ascii="Times New Roman" w:hAnsi="Times New Roman" w:eastAsia="Times New Roman" w:cs="Times New Roman"/>
              </w:rPr>
              <w:t>Evidence from the data</w:t>
            </w:r>
          </w:p>
        </w:tc>
        <w:tc>
          <w:tcPr>
            <w:tcW w:type="dxa" w:w="1215"/>
          </w:tcPr>
          <w:p>
            <w:pPr>
              <w:pStyle w:val="Normal"/>
            </w:pPr>
            <w:r>
              <w:rPr>
                <w:b/>
                <w:sz w:val="28"/>
                <w:szCs w:val="26"/>
                <w:lang w:val="en-US" w:eastAsia="en-US" w:bidi="ar-SA"/>
                <w:rFonts w:ascii="Times New Roman" w:hAnsi="Times New Roman" w:eastAsia="Times New Roman" w:cs="Times New Roman"/>
              </w:rPr>
              <w:t>Construct</w:t>
            </w:r>
          </w:p>
        </w:tc>
        <w:tc>
          <w:tcPr>
            <w:tcW w:type="dxa" w:w="1215"/>
          </w:tcPr>
          <w:p>
            <w:pPr>
              <w:pStyle w:val="Normal"/>
            </w:pPr>
            <w:r>
              <w:rPr>
                <w:b/>
                <w:sz w:val="28"/>
                <w:szCs w:val="26"/>
                <w:lang w:val="en-US" w:eastAsia="en-US" w:bidi="ar-SA"/>
                <w:rFonts w:ascii="Times New Roman" w:hAnsi="Times New Roman" w:eastAsia="Times New Roman" w:cs="Times New Roman"/>
              </w:rPr>
              <w:t>Adaptive difficulty (L2)</w:t>
            </w:r>
          </w:p>
        </w:tc>
        <w:tc>
          <w:tcPr>
            <w:tcW w:type="dxa" w:w="1215"/>
          </w:tcPr>
          <w:p>
            <w:pPr>
              <w:pStyle w:val="Normal"/>
            </w:pPr>
            <w:r>
              <w:rPr>
                <w:b/>
                <w:sz w:val="28"/>
                <w:szCs w:val="26"/>
                <w:lang w:val="en-US" w:eastAsia="en-US" w:bidi="ar-SA"/>
                <w:rFonts w:ascii="Times New Roman" w:hAnsi="Times New Roman" w:eastAsia="Times New Roman" w:cs="Times New Roman"/>
              </w:rPr>
              <w:t>Loss-free states</w:t>
            </w:r>
          </w:p>
        </w:tc>
        <w:tc>
          <w:tcPr>
            <w:tcW w:type="dxa" w:w="1215"/>
          </w:tcPr>
          <w:p>
            <w:pPr>
              <w:pStyle w:val="Normal"/>
            </w:pPr>
            <w:r>
              <w:rPr>
                <w:b/>
                <w:sz w:val="28"/>
                <w:szCs w:val="26"/>
                <w:lang w:val="en-US" w:eastAsia="en-US" w:bidi="ar-SA"/>
                <w:rFonts w:ascii="Times New Roman" w:hAnsi="Times New Roman" w:eastAsia="Times New Roman" w:cs="Times New Roman"/>
              </w:rPr>
              <w:t>Trajectory display (L5)</w:t>
            </w:r>
          </w:p>
        </w:tc>
        <w:tc>
          <w:tcPr>
            <w:tcW w:type="dxa" w:w="1215"/>
          </w:tcPr>
          <w:p>
            <w:pPr>
              <w:pStyle w:val="Normal"/>
            </w:pPr>
            <w:r>
              <w:rPr>
                <w:b/>
                <w:sz w:val="28"/>
                <w:szCs w:val="26"/>
                <w:lang w:val="en-US" w:eastAsia="en-US" w:bidi="ar-SA"/>
                <w:rFonts w:ascii="Times New Roman" w:hAnsi="Times New Roman" w:eastAsia="Times New Roman" w:cs="Times New Roman"/>
              </w:rPr>
              <w:t>Coaching (L6)</w:t>
            </w:r>
          </w:p>
        </w:tc>
      </w:tr>
      <w:tr>
        <w:tc>
          <w:tcPr>
            <w:tcW w:type="dxa" w:w="1215"/>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1215"/>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1215"/>
          </w:tcPr>
          <w:p>
            <w:pPr>
              <w:pStyle w:val="Normal"/>
            </w:pPr>
            <w:r>
              <w:rPr>
                <w:sz w:val="20"/>
                <w:szCs w:val="22"/>
                <w:lang w:val="en-US" w:eastAsia="en-US" w:bidi="ar-SA"/>
                <w:rFonts w:ascii="Times New Roman" w:hAnsi="Times New Roman" w:eastAsia="Times New Roman" w:cs="Times New Roman"/>
              </w:rPr>
              <w:t>Flow / PEOU (TAM)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1215"/>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1215"/>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Visible personal progress</w:t>
            </w:r>
          </w:p>
        </w:tc>
        <w:tc>
          <w:tcPr>
            <w:tcW w:type="dxa" w:w="1215"/>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1215"/>
          </w:tcPr>
          <w:p>
            <w:pPr>
              <w:pStyle w:val="Normal"/>
            </w:pPr>
            <w:r>
              <w:rPr>
                <w:sz w:val="20"/>
                <w:szCs w:val="22"/>
                <w:lang w:val="en-US" w:eastAsia="en-US" w:bidi="ar-SA"/>
                <w:rFonts w:ascii="Times New Roman" w:hAnsi="Times New Roman" w:eastAsia="Times New Roman" w:cs="Times New Roman"/>
              </w:rPr>
              <w:t>Competence (SDT) / D2</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1215"/>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1215"/>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1215"/>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1215"/>
          </w:tcPr>
          <w:p>
            <w:pPr>
              <w:pStyle w:val="Normal"/>
            </w:pPr>
            <w:r>
              <w:rPr>
                <w:sz w:val="20"/>
                <w:szCs w:val="22"/>
                <w:lang w:val="en-US" w:eastAsia="en-US" w:bidi="ar-SA"/>
                <w:rFonts w:ascii="Times New Roman" w:hAnsi="Times New Roman" w:eastAsia="Times New Roman" w:cs="Times New Roman"/>
              </w:rPr>
              <w:t>Learn-to-earn / D4</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r>
      <w:tr>
        <w:tc>
          <w:tcPr>
            <w:tcW w:type="dxa" w:w="1215"/>
          </w:tcPr>
          <w:p>
            <w:pPr>
              <w:pStyle w:val="Normal"/>
            </w:pPr>
            <w:r>
              <w:rPr>
                <w:sz w:val="20"/>
                <w:szCs w:val="22"/>
                <w:lang w:val="en-US" w:eastAsia="en-US" w:bidi="ar-SA"/>
                <w:rFonts w:ascii="Times New Roman" w:hAnsi="Times New Roman" w:eastAsia="Times New Roman" w:cs="Times New Roman"/>
              </w:rPr>
              <w:t>A reason to come back</w:t>
            </w:r>
          </w:p>
        </w:tc>
        <w:tc>
          <w:tcPr>
            <w:tcW w:type="dxa" w:w="1215"/>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1215"/>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bl>
    <w:p>
      <w:pPr>
        <w:pStyle w:val="Normal"/>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Chapter 6 Stage 3 — Participant-Facing Decoupling: Between-Cohort Evidence for a Frame-Sensitive Account</w:t>
      </w:r>
    </w:p>
    <w:p>
      <w:pPr>
        <w:pStyle w:val="Heading2"/>
      </w:pPr>
      <w:bookmarkStart w:id="93" w:name="_Toc23202458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That participants who knew the origin still returned after failure sharpens the reading rather than weakening it: what changed between the stages was not what participants knew, but what the artefact did with their failures.</w:t>
      </w:r>
    </w:p>
    <w:p>
      <w:pPr>
        <w:pStyle w:val="Heading2"/>
      </w:pPr>
      <w:bookmarkStart w:id="95" w:name="_Toc23202458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work contacts, a charity community network, university support channels and working peers in medical centres — in three age bands: 38 aged 25-44, 41 aged 45-64 and 41 aged 65-80. The invitation e-mails disclosed the doctoral research context, including the programme's fall-risk origin, while presenting the activity itself as a purely-fun coordination game; the game and its instructions carried no medical or fall-prevention language and delivered no clinical output. The distributor-tier invitations are archived (Appendix G, item G.5).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reduces, though it does not eliminate, the risk that participation reflected personal obligation to the researcher.</w:t>
      </w:r>
    </w:p>
    <w:p>
      <w:pPr>
        <w:pStyle w:val="Normal"/>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Engagement metric</w:t>
            </w:r>
          </w:p>
        </w:tc>
        <w:tc>
          <w:tcPr>
            <w:tcW w:w="2831" w:type="dxa"/>
          </w:tcPr>
          <w:p>
            <w:pPr>
              <w:pStyle w:val="Normal"/>
            </w:pPr>
            <w:r>
              <w:rPr>
                <w:b/>
                <w:sz w:val="28"/>
                <w:szCs w:val="26"/>
                <w:lang w:val="en-US" w:eastAsia="en-US" w:bidi="ar-SA"/>
                <w:rFonts w:ascii="Times New Roman" w:hAnsi="Times New Roman" w:eastAsia="Times New Roman" w:cs="Times New Roman"/>
              </w:rPr>
              <w:t>Count</w:t>
            </w:r>
          </w:p>
        </w:tc>
        <w:tc>
          <w:tcPr>
            <w:tcW w:w="2832" w:type="dxa"/>
          </w:tcPr>
          <w:p>
            <w:pPr>
              <w:pStyle w:val="Normal"/>
            </w:pPr>
            <w:r>
              <w:rPr>
                <w:b/>
                <w:sz w:val="28"/>
                <w:szCs w:val="26"/>
                <w:lang w:val="en-US" w:eastAsia="en-US" w:bidi="ar-SA"/>
                <w:rFonts w:ascii="Times New Roman" w:hAnsi="Times New Roman" w:eastAsia="Times New Roman" w:cs="Times New Roman"/>
              </w:rPr>
              <w:t>Percentage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Initial dropout</w:t>
            </w:r>
          </w:p>
        </w:tc>
        <w:tc>
          <w:tcPr>
            <w:tcW w:w="2831" w:type="dxa"/>
          </w:tcPr>
          <w:p>
            <w:pPr>
              <w:pStyle w:val="Normal"/>
            </w:pPr>
            <w:r>
              <w:rPr>
                <w:sz w:val="20"/>
                <w:szCs w:val="22"/>
                <w:lang w:val="en-US" w:eastAsia="en-US" w:bidi="ar-SA"/>
                <w:rFonts w:ascii="Times New Roman" w:hAnsi="Times New Roman" w:eastAsia="Times New Roman" w:cs="Times New Roman"/>
              </w:rPr>
              <w:t>23/120</w:t>
            </w:r>
          </w:p>
        </w:tc>
        <w:tc>
          <w:tcPr>
            <w:tcW w:w="2832" w:type="dxa"/>
          </w:tcPr>
          <w:p>
            <w:pPr>
              <w:pStyle w:val="Normal"/>
            </w:pPr>
            <w:r>
              <w:rPr>
                <w:sz w:val="20"/>
                <w:szCs w:val="22"/>
                <w:lang w:val="en-US" w:eastAsia="en-US" w:bidi="ar-SA"/>
                <w:rFonts w:ascii="Times New Roman" w:hAnsi="Times New Roman" w:eastAsia="Times New Roman" w:cs="Times New Roman"/>
              </w:rPr>
              <w:t>19.2</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Returned after dropout</w:t>
            </w:r>
          </w:p>
        </w:tc>
        <w:tc>
          <w:tcPr>
            <w:tcW w:w="2831" w:type="dxa"/>
          </w:tcPr>
          <w:p>
            <w:pPr>
              <w:pStyle w:val="Normal"/>
            </w:pPr>
            <w:r>
              <w:rPr>
                <w:sz w:val="20"/>
                <w:szCs w:val="22"/>
                <w:lang w:val="en-US" w:eastAsia="en-US" w:bidi="ar-SA"/>
                <w:rFonts w:ascii="Times New Roman" w:hAnsi="Times New Roman" w:eastAsia="Times New Roman" w:cs="Times New Roman"/>
              </w:rPr>
              <w:t>15/23</w:t>
            </w:r>
          </w:p>
        </w:tc>
        <w:tc>
          <w:tcPr>
            <w:tcW w:w="2832" w:type="dxa"/>
          </w:tcPr>
          <w:p>
            <w:pPr>
              <w:pStyle w:val="Normal"/>
            </w:pPr>
            <w:r>
              <w:rPr>
                <w:sz w:val="20"/>
                <w:szCs w:val="22"/>
                <w:lang w:val="en-US" w:eastAsia="en-US" w:bidi="ar-SA"/>
                <w:rFonts w:ascii="Times New Roman" w:hAnsi="Times New Roman" w:eastAsia="Times New Roman" w:cs="Times New Roman"/>
              </w:rPr>
              <w:t>65.2</w:t>
            </w:r>
          </w:p>
        </w:tc>
      </w:tr>
      <w:tr>
        <w:trPr>
          <w:jc w:val="center"/>
        </w:trPr>
        <w:tc>
          <w:tcPr>
            <w:tcW w:w="2832"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2831" w:type="dxa"/>
          </w:tcPr>
          <w:p>
            <w:pPr>
              <w:pStyle w:val="Normal"/>
            </w:pPr>
            <w:r>
              <w:rPr>
                <w:sz w:val="20"/>
                <w:szCs w:val="22"/>
                <w:lang w:val="en-US" w:eastAsia="en-US" w:bidi="ar-SA"/>
                <w:rFonts w:ascii="Times New Roman" w:hAnsi="Times New Roman" w:eastAsia="Times New Roman" w:cs="Times New Roman"/>
              </w:rPr>
              <w:t>8/120</w:t>
            </w:r>
          </w:p>
        </w:tc>
        <w:tc>
          <w:tcPr>
            <w:tcW w:w="2832" w:type="dxa"/>
          </w:tcPr>
          <w:p>
            <w:pPr>
              <w:pStyle w:val="Normal"/>
            </w:pPr>
            <w:r>
              <w:rPr>
                <w:sz w:val="20"/>
                <w:szCs w:val="22"/>
                <w:lang w:val="en-US" w:eastAsia="en-US" w:bidi="ar-SA"/>
                <w:rFonts w:ascii="Times New Roman" w:hAnsi="Times New Roman" w:eastAsia="Times New Roman" w:cs="Times New Roman"/>
              </w:rPr>
              <w:t>6.7</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Overall retention</w:t>
            </w:r>
          </w:p>
        </w:tc>
        <w:tc>
          <w:tcPr>
            <w:tcW w:w="2831" w:type="dxa"/>
          </w:tcPr>
          <w:p>
            <w:pPr>
              <w:pStyle w:val="Normal"/>
            </w:pPr>
            <w:r>
              <w:rPr>
                <w:sz w:val="20"/>
                <w:szCs w:val="22"/>
                <w:lang w:val="en-US" w:eastAsia="en-US" w:bidi="ar-SA"/>
                <w:rFonts w:ascii="Times New Roman" w:hAnsi="Times New Roman" w:eastAsia="Times New Roman" w:cs="Times New Roman"/>
              </w:rPr>
              <w:t>112/120</w:t>
            </w:r>
          </w:p>
        </w:tc>
        <w:tc>
          <w:tcPr>
            <w:tcW w:w="2832" w:type="dxa"/>
          </w:tcPr>
          <w:p>
            <w:pPr>
              <w:pStyle w:val="Normal"/>
            </w:pPr>
            <w:r>
              <w:rPr>
                <w:sz w:val="20"/>
                <w:szCs w:val="22"/>
                <w:lang w:val="en-US" w:eastAsia="en-US" w:bidi="ar-SA"/>
                <w:rFonts w:ascii="Times New Roman" w:hAnsi="Times New Roman" w:eastAsia="Times New Roman" w:cs="Times New Roman"/>
              </w:rPr>
              <w:t>93.3</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 rate among initial dropouts</w:t>
            </w:r>
          </w:p>
        </w:tc>
        <w:tc>
          <w:tcPr>
            <w:tcW w:w="2831" w:type="dxa"/>
          </w:tcPr>
          <w:p>
            <w:pPr>
              <w:pStyle w:val="Normal"/>
            </w:pPr>
            <w:r>
              <w:rPr>
                <w:sz w:val="20"/>
                <w:szCs w:val="22"/>
                <w:lang w:val="en-US" w:eastAsia="en-US" w:bidi="ar-SA"/>
                <w:rFonts w:ascii="Times New Roman" w:hAnsi="Times New Roman" w:eastAsia="Times New Roman" w:cs="Times New Roman"/>
              </w:rPr>
              <w:t>—</w:t>
            </w:r>
          </w:p>
        </w:tc>
        <w:tc>
          <w:tcPr>
            <w:tcW w:w="2832" w:type="dxa"/>
          </w:tcPr>
          <w:p>
            <w:pPr>
              <w:pStyle w:val="Normal"/>
            </w:pPr>
            <w:r>
              <w:rPr>
                <w:sz w:val="20"/>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trPr>
          <w:jc w:val="center"/>
        </w:trPr>
        <w:tc>
          <w:tcPr>
            <w:tcW w:w="1416" w:type="dxa"/>
          </w:tcPr>
          <w:p>
            <w:pPr>
              <w:pStyle w:val="Normal"/>
            </w:pPr>
            <w:r>
              <w:rPr>
                <w:szCs w:val="26"/>
                <w:lang w:val="en-US" w:eastAsia="en-US" w:bidi="ar-SA"/>
                <w:rFonts w:ascii="Times New Roman" w:hAnsi="Times New Roman" w:eastAsia="Times New Roman" w:cs="Times New Roman"/>
                <w:sz w:val="28"/>
                <w:b/>
              </w:rPr>
              <w:t>Age band</w:t>
            </w:r>
          </w:p>
        </w:tc>
        <w:tc>
          <w:tcPr>
            <w:tcW w:w="1415" w:type="dxa"/>
          </w:tcPr>
          <w:p>
            <w:pPr>
              <w:pStyle w:val="Normal"/>
            </w:pPr>
            <w:r>
              <w:rPr>
                <w:b/>
                <w:sz w:val="28"/>
                <w:szCs w:val="26"/>
                <w:lang w:val="en-US" w:eastAsia="en-US" w:bidi="ar-SA"/>
                <w:rFonts w:ascii="Times New Roman" w:hAnsi="Times New Roman" w:eastAsia="Times New Roman" w:cs="Times New Roman"/>
              </w:rPr>
              <w:t>n</w:t>
            </w:r>
          </w:p>
        </w:tc>
        <w:tc>
          <w:tcPr>
            <w:tcW w:w="1416" w:type="dxa"/>
          </w:tcPr>
          <w:p>
            <w:pPr>
              <w:pStyle w:val="Normal"/>
            </w:pPr>
            <w:r>
              <w:rPr>
                <w:b/>
                <w:sz w:val="28"/>
                <w:szCs w:val="26"/>
                <w:lang w:val="en-US" w:eastAsia="en-US" w:bidi="ar-SA"/>
                <w:rFonts w:ascii="Times New Roman" w:hAnsi="Times New Roman" w:eastAsia="Times New Roman" w:cs="Times New Roman"/>
              </w:rPr>
              <w:t>Initial dropout</w:t>
            </w:r>
          </w:p>
        </w:tc>
        <w:tc>
          <w:tcPr>
            <w:tcW w:w="1416" w:type="dxa"/>
          </w:tcPr>
          <w:p>
            <w:pPr>
              <w:pStyle w:val="Normal"/>
            </w:pPr>
            <w:r>
              <w:rPr>
                <w:b/>
                <w:sz w:val="28"/>
                <w:szCs w:val="26"/>
                <w:lang w:val="en-US" w:eastAsia="en-US" w:bidi="ar-SA"/>
                <w:rFonts w:ascii="Times New Roman" w:hAnsi="Times New Roman" w:eastAsia="Times New Roman" w:cs="Times New Roman"/>
              </w:rPr>
              <w:t>Returned</w:t>
            </w:r>
          </w:p>
        </w:tc>
        <w:tc>
          <w:tcPr>
            <w:tcW w:w="1416" w:type="dxa"/>
          </w:tcPr>
          <w:p>
            <w:pPr>
              <w:pStyle w:val="Normal"/>
            </w:pPr>
            <w:r>
              <w:rPr>
                <w:szCs w:val="22"/>
                <w:lang w:val="en-US" w:eastAsia="en-US" w:bidi="ar-SA"/>
                <w:rFonts w:ascii="Times New Roman" w:hAnsi="Times New Roman" w:eastAsia="Times New Roman" w:cs="Times New Roman"/>
                <w:sz w:val="24"/>
              </w:rPr>
              <w:t>Observed non-return</w:t>
            </w:r>
          </w:p>
        </w:tc>
        <w:tc>
          <w:tcPr>
            <w:tcW w:w="1416" w:type="dxa"/>
          </w:tcPr>
          <w:p>
            <w:pPr>
              <w:pStyle w:val="Normal"/>
            </w:pPr>
            <w:r>
              <w:rPr>
                <w:b/>
                <w:sz w:val="28"/>
                <w:szCs w:val="26"/>
                <w:lang w:val="en-US" w:eastAsia="en-US" w:bidi="ar-SA"/>
                <w:rFonts w:ascii="Times New Roman" w:hAnsi="Times New Roman" w:eastAsia="Times New Roman" w:cs="Times New Roman"/>
              </w:rPr>
              <w:t>Retention</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25–44</w:t>
            </w:r>
          </w:p>
        </w:tc>
        <w:tc>
          <w:tcPr>
            <w:tcW w:w="1415" w:type="dxa"/>
          </w:tcPr>
          <w:p>
            <w:pPr>
              <w:pStyle w:val="Normal"/>
            </w:pPr>
            <w:r>
              <w:rPr>
                <w:szCs w:val="22"/>
                <w:lang w:val="en-US" w:eastAsia="en-US" w:bidi="ar-SA"/>
                <w:rFonts w:ascii="Times New Roman" w:hAnsi="Times New Roman" w:eastAsia="Times New Roman" w:cs="Times New Roman"/>
                <w:sz w:val="24"/>
              </w:rPr>
              <w:t>38</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0</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100.0%</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45–64</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7 (17.1%)</w:t>
            </w:r>
          </w:p>
        </w:tc>
        <w:tc>
          <w:tcPr>
            <w:tcW w:w="1416" w:type="dxa"/>
          </w:tcPr>
          <w:p>
            <w:pPr>
              <w:pStyle w:val="Normal"/>
            </w:pPr>
            <w:r>
              <w:rPr>
                <w:sz w:val="20"/>
                <w:szCs w:val="22"/>
                <w:lang w:val="en-US" w:eastAsia="en-US" w:bidi="ar-SA"/>
                <w:rFonts w:ascii="Times New Roman" w:hAnsi="Times New Roman" w:eastAsia="Times New Roman" w:cs="Times New Roman"/>
              </w:rPr>
              <w:t>5</w:t>
            </w:r>
          </w:p>
        </w:tc>
        <w:tc>
          <w:tcPr>
            <w:tcW w:w="1416" w:type="dxa"/>
          </w:tcPr>
          <w:p>
            <w:pPr>
              <w:pStyle w:val="Normal"/>
            </w:pPr>
            <w:r>
              <w:rPr>
                <w:szCs w:val="22"/>
                <w:lang w:val="en-US" w:eastAsia="en-US" w:bidi="ar-SA"/>
                <w:rFonts w:ascii="Times New Roman" w:hAnsi="Times New Roman" w:eastAsia="Times New Roman" w:cs="Times New Roman"/>
                <w:sz w:val="24"/>
              </w:rPr>
              <w:t>2 (4.9%)</w:t>
            </w:r>
          </w:p>
        </w:tc>
        <w:tc>
          <w:tcPr>
            <w:tcW w:w="1416"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65–80</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16 (39.0%)</w:t>
            </w:r>
          </w:p>
        </w:tc>
        <w:tc>
          <w:tcPr>
            <w:tcW w:w="1416" w:type="dxa"/>
          </w:tcPr>
          <w:p>
            <w:pPr>
              <w:pStyle w:val="Normal"/>
            </w:pPr>
            <w:r>
              <w:rPr>
                <w:sz w:val="20"/>
                <w:szCs w:val="22"/>
                <w:lang w:val="en-US" w:eastAsia="en-US" w:bidi="ar-SA"/>
                <w:rFonts w:ascii="Times New Roman" w:hAnsi="Times New Roman" w:eastAsia="Times New Roman" w:cs="Times New Roman"/>
              </w:rPr>
              <w:t>10</w:t>
            </w:r>
          </w:p>
        </w:tc>
        <w:tc>
          <w:tcPr>
            <w:tcW w:w="1416" w:type="dxa"/>
          </w:tcPr>
          <w:p>
            <w:pPr>
              <w:pStyle w:val="Normal"/>
            </w:pPr>
            <w:r>
              <w:rPr>
                <w:szCs w:val="22"/>
                <w:lang w:val="en-US" w:eastAsia="en-US" w:bidi="ar-SA"/>
                <w:rFonts w:ascii="Times New Roman" w:hAnsi="Times New Roman" w:eastAsia="Times New Roman" w:cs="Times New Roman"/>
                <w:sz w:val="24"/>
              </w:rPr>
              <w:t>6 (14.6%)</w:t>
            </w:r>
          </w:p>
        </w:tc>
        <w:tc>
          <w:tcPr>
            <w:tcW w:w="1416"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Total</w:t>
            </w:r>
          </w:p>
        </w:tc>
        <w:tc>
          <w:tcPr>
            <w:tcW w:w="1415" w:type="dxa"/>
          </w:tcPr>
          <w:p>
            <w:pPr>
              <w:pStyle w:val="Normal"/>
            </w:pPr>
            <w:r>
              <w:rPr>
                <w:sz w:val="20"/>
                <w:szCs w:val="22"/>
                <w:lang w:val="en-US" w:eastAsia="en-US" w:bidi="ar-SA"/>
                <w:rFonts w:ascii="Times New Roman" w:hAnsi="Times New Roman" w:eastAsia="Times New Roman" w:cs="Times New Roman"/>
              </w:rPr>
              <w:t>120</w:t>
            </w:r>
          </w:p>
        </w:tc>
        <w:tc>
          <w:tcPr>
            <w:tcW w:w="1416" w:type="dxa"/>
          </w:tcPr>
          <w:p>
            <w:pPr>
              <w:pStyle w:val="Normal"/>
            </w:pPr>
            <w:r>
              <w:rPr>
                <w:sz w:val="20"/>
                <w:szCs w:val="22"/>
                <w:lang w:val="en-US" w:eastAsia="en-US" w:bidi="ar-SA"/>
                <w:rFonts w:ascii="Times New Roman" w:hAnsi="Times New Roman" w:eastAsia="Times New Roman" w:cs="Times New Roman"/>
              </w:rPr>
              <w:t>23 (19.2%)</w:t>
            </w:r>
          </w:p>
        </w:tc>
        <w:tc>
          <w:tcPr>
            <w:tcW w:w="1416" w:type="dxa"/>
          </w:tcPr>
          <w:p>
            <w:pPr>
              <w:pStyle w:val="Normal"/>
            </w:pPr>
            <w:r>
              <w:rPr>
                <w:sz w:val="20"/>
                <w:szCs w:val="22"/>
                <w:lang w:val="en-US" w:eastAsia="en-US" w:bidi="ar-SA"/>
                <w:rFonts w:ascii="Times New Roman" w:hAnsi="Times New Roman" w:eastAsia="Times New Roman" w:cs="Times New Roman"/>
              </w:rPr>
              <w:t>15</w:t>
            </w:r>
          </w:p>
        </w:tc>
        <w:tc>
          <w:tcPr>
            <w:tcW w:w="1416" w:type="dxa"/>
          </w:tcPr>
          <w:p>
            <w:pPr>
              <w:pStyle w:val="Normal"/>
            </w:pPr>
            <w:r>
              <w:rPr>
                <w:sz w:val="20"/>
                <w:szCs w:val="22"/>
                <w:lang w:val="en-US" w:eastAsia="en-US" w:bidi="ar-SA"/>
                <w:rFonts w:ascii="Times New Roman" w:hAnsi="Times New Roman" w:eastAsia="Times New Roman" w:cs="Times New Roman"/>
              </w:rPr>
              <w:t>8 (6.7%)</w:t>
            </w:r>
          </w:p>
        </w:tc>
        <w:tc>
          <w:tcPr>
            <w:tcW w:w="1416" w:type="dxa"/>
          </w:tcPr>
          <w:p>
            <w:pPr>
              <w:pStyle w:val="Normal"/>
            </w:pPr>
            <w:r>
              <w:rPr>
                <w:sz w:val="20"/>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trPr>
          <w:jc w:val="center"/>
        </w:trPr>
        <w:tc>
          <w:tcPr>
            <w:tcW w:w="1701" w:type="dxa"/>
          </w:tcPr>
          <w:p>
            <w:pPr>
              <w:pStyle w:val="Normal"/>
            </w:pPr>
            <w:r>
              <w:rPr>
                <w:b/>
                <w:sz w:val="28"/>
                <w:szCs w:val="26"/>
                <w:lang w:val="en-US" w:eastAsia="en-US" w:bidi="ar-SA"/>
                <w:rFonts w:ascii="Times New Roman" w:hAnsi="Times New Roman" w:eastAsia="Times New Roman" w:cs="Times New Roman"/>
              </w:rPr>
              <w:t>Item</w:t>
            </w:r>
          </w:p>
        </w:tc>
        <w:tc>
          <w:tcPr>
            <w:tcW w:w="1699" w:type="dxa"/>
          </w:tcPr>
          <w:p>
            <w:pPr>
              <w:pStyle w:val="Normal"/>
            </w:pPr>
            <w:r>
              <w:rPr>
                <w:b/>
                <w:sz w:val="28"/>
                <w:szCs w:val="26"/>
                <w:lang w:val="en-US" w:eastAsia="en-US" w:bidi="ar-SA"/>
                <w:rFonts w:ascii="Times New Roman" w:hAnsi="Times New Roman" w:eastAsia="Times New Roman" w:cs="Times New Roman"/>
              </w:rPr>
              <w:t>Younger 25–44</w:t>
            </w:r>
          </w:p>
        </w:tc>
        <w:tc>
          <w:tcPr>
            <w:tcW w:w="1699" w:type="dxa"/>
          </w:tcPr>
          <w:p>
            <w:pPr>
              <w:pStyle w:val="Normal"/>
            </w:pPr>
            <w:r>
              <w:rPr>
                <w:b/>
                <w:sz w:val="28"/>
                <w:szCs w:val="26"/>
                <w:lang w:val="en-US" w:eastAsia="en-US" w:bidi="ar-SA"/>
                <w:rFonts w:ascii="Times New Roman" w:hAnsi="Times New Roman" w:eastAsia="Times New Roman" w:cs="Times New Roman"/>
              </w:rPr>
              <w:t>Middle 45–64</w:t>
            </w:r>
          </w:p>
        </w:tc>
        <w:tc>
          <w:tcPr>
            <w:tcW w:w="1698" w:type="dxa"/>
          </w:tcPr>
          <w:p>
            <w:pPr>
              <w:pStyle w:val="Normal"/>
            </w:pPr>
            <w:r>
              <w:rPr>
                <w:b/>
                <w:sz w:val="28"/>
                <w:szCs w:val="26"/>
                <w:lang w:val="en-US" w:eastAsia="en-US" w:bidi="ar-SA"/>
                <w:rFonts w:ascii="Times New Roman" w:hAnsi="Times New Roman" w:eastAsia="Times New Roman" w:cs="Times New Roman"/>
              </w:rPr>
              <w:t>Older 65–80</w:t>
            </w:r>
          </w:p>
        </w:tc>
        <w:tc>
          <w:tcPr>
            <w:tcW w:w="1698" w:type="dxa"/>
          </w:tcPr>
          <w:p>
            <w:pPr>
              <w:pStyle w:val="Normal"/>
            </w:pPr>
            <w:r>
              <w:rPr>
                <w:b/>
                <w:sz w:val="28"/>
                <w:szCs w:val="26"/>
                <w:lang w:val="en-US" w:eastAsia="en-US" w:bidi="ar-SA"/>
                <w:rFonts w:ascii="Times New Roman" w:hAnsi="Times New Roman" w:eastAsia="Times New Roman" w:cs="Times New Roman"/>
              </w:rPr>
              <w:t>Total</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71.7%</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0"/>
              </w:rPr>
              <w:t>Would use regularly if accessible</w:t>
            </w:r>
          </w:p>
        </w:tc>
        <w:tc>
          <w:tcPr>
            <w:tcW w:w="1699" w:type="dxa"/>
          </w:tcPr>
          <w:p>
            <w:pPr>
              <w:pStyle w:val="Normal"/>
            </w:pPr>
            <w:r>
              <w:rPr>
                <w:szCs w:val="22"/>
                <w:lang w:val="en-US" w:eastAsia="en-US" w:bidi="ar-SA"/>
                <w:rFonts w:ascii="Times New Roman" w:hAnsi="Times New Roman" w:eastAsia="Times New Roman" w:cs="Times New Roman"/>
                <w:sz w:val="24"/>
              </w:rPr>
              <w:t>65.8%</w:t>
            </w:r>
          </w:p>
        </w:tc>
        <w:tc>
          <w:tcPr>
            <w:tcW w:w="1699" w:type="dxa"/>
          </w:tcPr>
          <w:p>
            <w:pPr>
              <w:pStyle w:val="Normal"/>
            </w:pPr>
            <w:r>
              <w:rPr>
                <w:szCs w:val="22"/>
                <w:lang w:val="en-US" w:eastAsia="en-US" w:bidi="ar-SA"/>
                <w:rFonts w:ascii="Times New Roman" w:hAnsi="Times New Roman" w:eastAsia="Times New Roman" w:cs="Times New Roman"/>
                <w:sz w:val="24"/>
              </w:rPr>
              <w:t>68.3%</w:t>
            </w:r>
          </w:p>
        </w:tc>
        <w:tc>
          <w:tcPr>
            <w:tcW w:w="1698" w:type="dxa"/>
          </w:tcPr>
          <w:p>
            <w:pPr>
              <w:pStyle w:val="Normal"/>
            </w:pPr>
            <w:r>
              <w:rPr>
                <w:szCs w:val="22"/>
                <w:lang w:val="en-US" w:eastAsia="en-US" w:bidi="ar-SA"/>
                <w:rFonts w:ascii="Times New Roman" w:hAnsi="Times New Roman" w:eastAsia="Times New Roman" w:cs="Times New Roman"/>
                <w:sz w:val="24"/>
              </w:rPr>
              <w:t>56.1%</w:t>
            </w:r>
          </w:p>
        </w:tc>
        <w:tc>
          <w:tcPr>
            <w:tcW w:w="1698" w:type="dxa"/>
          </w:tcPr>
          <w:p>
            <w:pPr>
              <w:pStyle w:val="Normal"/>
            </w:pPr>
            <w:r>
              <w:rPr>
                <w:sz w:val="20"/>
                <w:szCs w:val="22"/>
                <w:lang w:val="en-US" w:eastAsia="en-US" w:bidi="ar-SA"/>
                <w:rFonts w:ascii="Times New Roman" w:hAnsi="Times New Roman" w:eastAsia="Times New Roman" w:cs="Times New Roman"/>
              </w:rPr>
              <w:t>63.3%</w:t>
            </w:r>
          </w:p>
        </w:tc>
      </w:tr>
    </w:tbl>
    <w:p>
      <w:pPr>
        <w:pStyle w:val="Normal"/>
        <w:spacing w:after="40"/>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6.8A The Commitment Gap Read Through Group Dynamics: An Expert Consultation</w:t>
      </w:r>
    </w:p>
    <w:p>
      <w:pPr>
        <w:pStyle w:val="Normal"/>
      </w:pPr>
      <w:r>
        <w:rPr>
          <w:szCs w:val="22"/>
          <w:lang w:val="en-US" w:eastAsia="en-US" w:bidi="ar-SA"/>
          <w:rFonts w:ascii="Times New Roman" w:hAnsi="Times New Roman" w:eastAsia="Times New Roman" w:cs="Times New Roman"/>
          <w:sz w:val="24"/>
        </w:rP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Model</w:t>
            </w:r>
          </w:p>
        </w:tc>
        <w:tc>
          <w:tcPr>
            <w:tcW w:w="2832" w:type="dxa"/>
          </w:tcPr>
          <w:p>
            <w:pPr>
              <w:pStyle w:val="Normal"/>
            </w:pPr>
            <w:r>
              <w:rPr>
                <w:b/>
                <w:sz w:val="28"/>
                <w:szCs w:val="26"/>
                <w:lang w:val="en-US" w:eastAsia="en-US" w:bidi="ar-SA"/>
                <w:rFonts w:ascii="Times New Roman" w:hAnsi="Times New Roman" w:eastAsia="Times New Roman" w:cs="Times New Roman"/>
              </w:rPr>
              <w:t>Predictors</w:t>
            </w:r>
          </w:p>
        </w:tc>
        <w:tc>
          <w:tcPr>
            <w:tcW w:w="2831" w:type="dxa"/>
          </w:tcPr>
          <w:p>
            <w:pPr>
              <w:pStyle w:val="Normal"/>
            </w:pPr>
            <w:r>
              <w:rPr>
                <w:b/>
                <w:sz w:val="28"/>
                <w:szCs w:val="26"/>
                <w:lang w:val="en-US" w:eastAsia="en-US" w:bidi="ar-SA"/>
                <w:rFonts w:ascii="Times New Roman" w:hAnsi="Times New Roman" w:eastAsia="Times New Roman" w:cs="Times New Roman"/>
              </w:rPr>
              <w:t>Construct represented</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M0 Demographic baseline</w:t>
            </w:r>
          </w:p>
        </w:tc>
        <w:tc>
          <w:tcPr>
            <w:tcW w:w="2832" w:type="dxa"/>
          </w:tcPr>
          <w:p>
            <w:pPr>
              <w:pStyle w:val="Normal"/>
            </w:pPr>
            <w:r>
              <w:rPr>
                <w:sz w:val="20"/>
                <w:szCs w:val="22"/>
                <w:lang w:val="en-US" w:eastAsia="en-US" w:bidi="ar-SA"/>
                <w:rFonts w:ascii="Times New Roman" w:hAnsi="Times New Roman" w:eastAsia="Times New Roman" w:cs="Times New Roman"/>
              </w:rPr>
              <w:t>Age band, sex, education, baseline FES-I, fall history</w:t>
            </w:r>
          </w:p>
        </w:tc>
        <w:tc>
          <w:tcPr>
            <w:tcW w:w="2831" w:type="dxa"/>
          </w:tcPr>
          <w:p>
            <w:pPr>
              <w:pStyle w:val="Normal"/>
            </w:pPr>
            <w:r>
              <w:rPr>
                <w:sz w:val="20"/>
                <w:szCs w:val="22"/>
                <w:lang w:val="en-US" w:eastAsia="en-US" w:bidi="ar-SA"/>
                <w:rFonts w:ascii="Times New Roman" w:hAnsi="Times New Roman" w:eastAsia="Times New Roman" w:cs="Times New Roman"/>
              </w:rPr>
              <w:t>Standard control covariates</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M1 STAM-only</w:t>
            </w:r>
          </w:p>
        </w:tc>
        <w:tc>
          <w:tcPr>
            <w:tcW w:w="2832" w:type="dxa"/>
          </w:tcPr>
          <w:p>
            <w:pPr>
              <w:pStyle w:val="Normal"/>
            </w:pPr>
            <w:r>
              <w:rPr>
                <w:sz w:val="20"/>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2831" w:type="dxa"/>
          </w:tcPr>
          <w:p>
            <w:pPr>
              <w:pStyle w:val="Normal"/>
            </w:pPr>
            <w:r>
              <w:rPr>
                <w:sz w:val="20"/>
                <w:szCs w:val="22"/>
                <w:lang w:val="en-US" w:eastAsia="en-US" w:bidi="ar-SA"/>
                <w:rFonts w:ascii="Times New Roman" w:hAnsi="Times New Roman" w:eastAsia="Times New Roman" w:cs="Times New Roman"/>
              </w:rPr>
              <w:t>Acceptance-model account of intention; predicts initial use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M2 STAM + FIAS operators</w:t>
            </w:r>
          </w:p>
        </w:tc>
        <w:tc>
          <w:tcPr>
            <w:tcW w:w="2832"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2831"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trPr>
          <w:jc w:val="center"/>
        </w:trPr>
        <w:tc>
          <w:tcPr>
            <w:tcW w:w="3114" w:type="dxa"/>
          </w:tcPr>
          <w:p>
            <w:pPr>
              <w:pStyle w:val="Normal"/>
            </w:pPr>
            <w:r>
              <w:rPr>
                <w:b/>
                <w:sz w:val="20"/>
                <w:szCs w:val="22"/>
                <w:lang w:val="en-US" w:eastAsia="en-US" w:bidi="ar-SA"/>
                <w:rFonts w:ascii="Times New Roman" w:hAnsi="Times New Roman" w:eastAsia="Times New Roman" w:cs="Times New Roman"/>
              </w:rPr>
              <w:t>Contrast or quantity</w:t>
            </w:r>
          </w:p>
        </w:tc>
        <w:tc>
          <w:tcPr>
            <w:tcW w:w="1092" w:type="dxa"/>
          </w:tcPr>
          <w:p>
            <w:pPr>
              <w:pStyle w:val="Normal"/>
            </w:pPr>
            <w:r>
              <w:rPr>
                <w:b/>
                <w:sz w:val="20"/>
                <w:szCs w:val="22"/>
                <w:lang w:val="en-US" w:eastAsia="en-US" w:bidi="ar-SA"/>
                <w:rFonts w:ascii="Times New Roman" w:hAnsi="Times New Roman" w:eastAsia="Times New Roman" w:cs="Times New Roman"/>
              </w:rPr>
              <w:t>Estimate</w:t>
            </w:r>
          </w:p>
        </w:tc>
        <w:tc>
          <w:tcPr>
            <w:tcW w:w="1280" w:type="dxa"/>
          </w:tcPr>
          <w:p>
            <w:pPr>
              <w:pStyle w:val="Normal"/>
            </w:pPr>
            <w:r>
              <w:rPr>
                <w:b/>
                <w:sz w:val="20"/>
                <w:szCs w:val="22"/>
                <w:lang w:val="en-US" w:eastAsia="en-US" w:bidi="ar-SA"/>
                <w:rFonts w:ascii="Times New Roman" w:hAnsi="Times New Roman" w:eastAsia="Times New Roman" w:cs="Times New Roman"/>
              </w:rPr>
              <w:t>95% CI</w:t>
            </w:r>
          </w:p>
        </w:tc>
        <w:tc>
          <w:tcPr>
            <w:tcW w:w="605" w:type="dxa"/>
          </w:tcPr>
          <w:p>
            <w:pPr>
              <w:pStyle w:val="Normal"/>
            </w:pPr>
            <w:r>
              <w:rPr>
                <w:b/>
                <w:sz w:val="20"/>
                <w:szCs w:val="22"/>
                <w:lang w:val="en-US" w:eastAsia="en-US" w:bidi="ar-SA"/>
                <w:rFonts w:ascii="Times New Roman" w:hAnsi="Times New Roman" w:eastAsia="Times New Roman" w:cs="Times New Roman"/>
              </w:rPr>
              <w:t>n</w:t>
            </w:r>
          </w:p>
        </w:tc>
        <w:tc>
          <w:tcPr>
            <w:tcW w:w="2090" w:type="dxa"/>
          </w:tcPr>
          <w:p>
            <w:pPr>
              <w:pStyle w:val="Normal"/>
            </w:pPr>
            <w:r>
              <w:rPr>
                <w:b/>
                <w:sz w:val="20"/>
                <w:szCs w:val="22"/>
                <w:lang w:val="en-US" w:eastAsia="en-US" w:bidi="ar-SA"/>
                <w:rFonts w:ascii="Times New Roman" w:hAnsi="Times New Roman" w:eastAsia="Times New Roman" w:cs="Times New Roman"/>
              </w:rPr>
              <w:t>Test / source</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092" w:type="dxa"/>
          </w:tcPr>
          <w:p>
            <w:pPr>
              <w:pStyle w:val="Normal"/>
            </w:pPr>
            <w:r>
              <w:rPr>
                <w:szCs w:val="22"/>
                <w:lang w:val="en-US" w:eastAsia="en-US" w:bidi="ar-SA"/>
                <w:rFonts w:ascii="Times New Roman" w:hAnsi="Times New Roman" w:eastAsia="Times New Roman" w:cs="Times New Roman"/>
                <w:sz w:val="24"/>
              </w:rPr>
              <w:t>70.0%</w:t>
            </w:r>
          </w:p>
        </w:tc>
        <w:tc>
          <w:tcPr>
            <w:tcW w:w="1280" w:type="dxa"/>
          </w:tcPr>
          <w:p>
            <w:pPr>
              <w:pStyle w:val="Normal"/>
            </w:pPr>
            <w:r>
              <w:rPr>
                <w:szCs w:val="22"/>
                <w:lang w:val="en-US" w:eastAsia="en-US" w:bidi="ar-SA"/>
                <w:rFonts w:ascii="Times New Roman" w:hAnsi="Times New Roman" w:eastAsia="Times New Roman" w:cs="Times New Roman"/>
                <w:sz w:val="24"/>
              </w:rPr>
              <w:t>52.1–83.3%*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092"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280" w:type="dxa"/>
          </w:tcPr>
          <w:p>
            <w:pPr>
              <w:pStyle w:val="Normal"/>
            </w:pPr>
            <w:r>
              <w:rPr>
                <w:szCs w:val="22"/>
                <w:lang w:val="en-US" w:eastAsia="en-US" w:bidi="ar-SA"/>
                <w:rFonts w:ascii="Times New Roman" w:hAnsi="Times New Roman" w:eastAsia="Times New Roman" w:cs="Times New Roman"/>
                <w:sz w:val="24"/>
              </w:rPr>
              <w:t>dz 0.95–3.46; mean 4.5–9.3</w:t>
            </w:r>
          </w:p>
        </w:tc>
        <w:tc>
          <w:tcPr>
            <w:tcW w:w="605" w:type="dxa"/>
          </w:tcPr>
          <w:p>
            <w:pPr>
              <w:pStyle w:val="Normal"/>
            </w:pPr>
            <w:r>
              <w:rPr>
                <w:szCs w:val="22"/>
                <w:lang w:val="en-US" w:eastAsia="en-US" w:bidi="ar-SA"/>
                <w:rFonts w:ascii="Times New Roman" w:hAnsi="Times New Roman" w:eastAsia="Times New Roman" w:cs="Times New Roman"/>
                <w:sz w:val="24"/>
              </w:rPr>
              <w:t>9</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092" w:type="dxa"/>
          </w:tcPr>
          <w:p>
            <w:pPr>
              <w:pStyle w:val="Normal"/>
            </w:pPr>
            <w:r>
              <w:rPr>
                <w:szCs w:val="22"/>
                <w:lang w:val="en-US" w:eastAsia="en-US" w:bidi="ar-SA"/>
                <w:rFonts w:ascii="Times New Roman" w:hAnsi="Times New Roman" w:eastAsia="Times New Roman" w:cs="Times New Roman"/>
                <w:sz w:val="24"/>
              </w:rPr>
              <w:t>dz = 0.42; mean +4.0 points</w:t>
            </w:r>
          </w:p>
        </w:tc>
        <w:tc>
          <w:tcPr>
            <w:tcW w:w="1280" w:type="dxa"/>
          </w:tcPr>
          <w:p>
            <w:pPr>
              <w:pStyle w:val="Normal"/>
            </w:pPr>
            <w:r>
              <w:rPr>
                <w:szCs w:val="22"/>
                <w:lang w:val="en-US" w:eastAsia="en-US" w:bidi="ar-SA"/>
                <w:rFonts w:ascii="Times New Roman" w:hAnsi="Times New Roman" w:eastAsia="Times New Roman" w:cs="Times New Roman"/>
                <w:sz w:val="24"/>
              </w:rPr>
              <w:t>dz 0.05–0.79; mean 0.5–7.6</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092" w:type="dxa"/>
          </w:tcPr>
          <w:p>
            <w:pPr>
              <w:pStyle w:val="Normal"/>
            </w:pPr>
            <w:r>
              <w:rPr>
                <w:szCs w:val="22"/>
                <w:lang w:val="en-US" w:eastAsia="en-US" w:bidi="ar-SA"/>
                <w:rFonts w:ascii="Times New Roman" w:hAnsi="Times New Roman" w:eastAsia="Times New Roman" w:cs="Times New Roman"/>
                <w:sz w:val="24"/>
              </w:rPr>
              <w:t>9/9 vs 11/21 satisfied</w:t>
            </w:r>
          </w:p>
        </w:tc>
        <w:tc>
          <w:tcPr>
            <w:tcW w:w="1280" w:type="dxa"/>
          </w:tcPr>
          <w:p>
            <w:pPr>
              <w:pStyle w:val="Normal"/>
            </w:pPr>
            <w:r>
              <w:rPr>
                <w:szCs w:val="22"/>
                <w:lang w:val="en-US" w:eastAsia="en-US" w:bidi="ar-SA"/>
                <w:rFonts w:ascii="Times New Roman" w:hAnsi="Times New Roman" w:eastAsia="Times New Roman" w:cs="Times New Roman"/>
                <w:sz w:val="24"/>
              </w:rPr>
              <w:t>p = 0.013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092" w:type="dxa"/>
          </w:tcPr>
          <w:p>
            <w:pPr>
              <w:pStyle w:val="Normal"/>
            </w:pPr>
            <w:r>
              <w:rPr>
                <w:sz w:val="24"/>
                <w:szCs w:val="22"/>
                <w:lang w:val="en-US" w:eastAsia="en-US" w:bidi="ar-SA"/>
                <w:rFonts w:ascii="Times New Roman" w:hAnsi="Times New Roman" w:eastAsia="Times New Roman" w:cs="Times New Roman"/>
                <w:b/>
              </w:rPr>
              <w:t>0.0%</w:t>
            </w:r>
          </w:p>
        </w:tc>
        <w:tc>
          <w:tcPr>
            <w:tcW w:w="1280" w:type="dxa"/>
          </w:tcPr>
          <w:p>
            <w:pPr>
              <w:pStyle w:val="Normal"/>
            </w:pPr>
            <w:r>
              <w:rPr>
                <w:sz w:val="24"/>
                <w:szCs w:val="22"/>
                <w:lang w:val="en-US" w:eastAsia="en-US" w:bidi="ar-SA"/>
                <w:rFonts w:ascii="Times New Roman" w:hAnsi="Times New Roman" w:eastAsia="Times New Roman" w:cs="Times New Roman"/>
                <w:b/>
              </w:rPr>
              <w:t>0.0–15.5%*</w:t>
            </w:r>
          </w:p>
        </w:tc>
        <w:tc>
          <w:tcPr>
            <w:tcW w:w="605" w:type="dxa"/>
          </w:tcPr>
          <w:p>
            <w:pPr>
              <w:pStyle w:val="Normal"/>
            </w:pPr>
            <w:r>
              <w:rPr>
                <w:sz w:val="24"/>
                <w:szCs w:val="22"/>
                <w:lang w:val="en-US" w:eastAsia="en-US" w:bidi="ar-SA"/>
                <w:rFonts w:ascii="Times New Roman" w:hAnsi="Times New Roman" w:eastAsia="Times New Roman" w:cs="Times New Roman"/>
                <w:b/>
              </w:rPr>
              <w:t>21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092" w:type="dxa"/>
          </w:tcPr>
          <w:p>
            <w:pPr>
              <w:pStyle w:val="Normal"/>
            </w:pPr>
            <w:r>
              <w:rPr>
                <w:sz w:val="24"/>
                <w:szCs w:val="22"/>
                <w:lang w:val="en-US" w:eastAsia="en-US" w:bidi="ar-SA"/>
                <w:rFonts w:ascii="Times New Roman" w:hAnsi="Times New Roman" w:eastAsia="Times New Roman" w:cs="Times New Roman"/>
                <w:b/>
              </w:rPr>
              <w:t>65.2%</w:t>
            </w:r>
          </w:p>
        </w:tc>
        <w:tc>
          <w:tcPr>
            <w:tcW w:w="1280" w:type="dxa"/>
          </w:tcPr>
          <w:p>
            <w:pPr>
              <w:pStyle w:val="Normal"/>
            </w:pPr>
            <w:r>
              <w:rPr>
                <w:sz w:val="24"/>
                <w:szCs w:val="22"/>
                <w:lang w:val="en-US" w:eastAsia="en-US" w:bidi="ar-SA"/>
                <w:rFonts w:ascii="Times New Roman" w:hAnsi="Times New Roman" w:eastAsia="Times New Roman" w:cs="Times New Roman"/>
                <w:b/>
              </w:rPr>
              <w:t>44.9–81.2%*</w:t>
            </w:r>
          </w:p>
        </w:tc>
        <w:tc>
          <w:tcPr>
            <w:tcW w:w="605" w:type="dxa"/>
          </w:tcPr>
          <w:p>
            <w:pPr>
              <w:pStyle w:val="Normal"/>
            </w:pPr>
            <w:r>
              <w:rPr>
                <w:sz w:val="24"/>
                <w:szCs w:val="22"/>
                <w:lang w:val="en-US" w:eastAsia="en-US" w:bidi="ar-SA"/>
                <w:rFonts w:ascii="Times New Roman" w:hAnsi="Times New Roman" w:eastAsia="Times New Roman" w:cs="Times New Roman"/>
                <w:b/>
              </w:rPr>
              <w:t>23</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092" w:type="dxa"/>
          </w:tcPr>
          <w:p>
            <w:pPr>
              <w:pStyle w:val="Normal"/>
            </w:pPr>
            <w:r>
              <w:rPr>
                <w:sz w:val="24"/>
                <w:szCs w:val="22"/>
                <w:lang w:val="en-US" w:eastAsia="en-US" w:bidi="ar-SA"/>
                <w:rFonts w:ascii="Times New Roman" w:hAnsi="Times New Roman" w:eastAsia="Times New Roman" w:cs="Times New Roman"/>
                <w:b/>
              </w:rPr>
              <w:t>62.5%</w:t>
            </w:r>
          </w:p>
        </w:tc>
        <w:tc>
          <w:tcPr>
            <w:tcW w:w="1280" w:type="dxa"/>
          </w:tcPr>
          <w:p>
            <w:pPr>
              <w:pStyle w:val="Normal"/>
            </w:pPr>
            <w:r>
              <w:rPr>
                <w:sz w:val="24"/>
                <w:szCs w:val="22"/>
                <w:lang w:val="en-US" w:eastAsia="en-US" w:bidi="ar-SA"/>
                <w:rFonts w:ascii="Times New Roman" w:hAnsi="Times New Roman" w:eastAsia="Times New Roman" w:cs="Times New Roman"/>
                <w:b/>
              </w:rPr>
              <w:t>38.6–81.5%*</w:t>
            </w:r>
          </w:p>
        </w:tc>
        <w:tc>
          <w:tcPr>
            <w:tcW w:w="605" w:type="dxa"/>
          </w:tcPr>
          <w:p>
            <w:pPr>
              <w:pStyle w:val="Normal"/>
            </w:pPr>
            <w:r>
              <w:rPr>
                <w:sz w:val="24"/>
                <w:szCs w:val="22"/>
                <w:lang w:val="en-US" w:eastAsia="en-US" w:bidi="ar-SA"/>
                <w:rFonts w:ascii="Times New Roman" w:hAnsi="Times New Roman" w:eastAsia="Times New Roman" w:cs="Times New Roman"/>
                <w:b/>
              </w:rPr>
              <w:t>16</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092" w:type="dxa"/>
          </w:tcPr>
          <w:p>
            <w:pPr>
              <w:pStyle w:val="Normal"/>
            </w:pPr>
            <w:r>
              <w:rPr>
                <w:szCs w:val="22"/>
                <w:lang w:val="en-US" w:eastAsia="en-US" w:bidi="ar-SA"/>
                <w:rFonts w:ascii="Times New Roman" w:hAnsi="Times New Roman" w:eastAsia="Times New Roman" w:cs="Times New Roman"/>
                <w:sz w:val="24"/>
              </w:rPr>
              <w:t>14.6%</w:t>
            </w:r>
          </w:p>
        </w:tc>
        <w:tc>
          <w:tcPr>
            <w:tcW w:w="1280" w:type="dxa"/>
          </w:tcPr>
          <w:p>
            <w:pPr>
              <w:pStyle w:val="Normal"/>
            </w:pPr>
            <w:r>
              <w:rPr>
                <w:szCs w:val="22"/>
                <w:lang w:val="en-US" w:eastAsia="en-US" w:bidi="ar-SA"/>
                <w:rFonts w:ascii="Times New Roman" w:hAnsi="Times New Roman" w:eastAsia="Times New Roman" w:cs="Times New Roman"/>
                <w:sz w:val="24"/>
              </w:rPr>
              <w:t>6.9–28.4%*</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092" w:type="dxa"/>
          </w:tcPr>
          <w:p>
            <w:pPr>
              <w:pStyle w:val="Normal"/>
            </w:pPr>
            <w:r>
              <w:rPr>
                <w:sz w:val="24"/>
                <w:szCs w:val="22"/>
                <w:lang w:val="en-US" w:eastAsia="en-US" w:bidi="ar-SA"/>
                <w:rFonts w:ascii="Times New Roman" w:hAnsi="Times New Roman" w:eastAsia="Times New Roman" w:cs="Times New Roman"/>
                <w:b/>
              </w:rPr>
              <w:t>71.7%</w:t>
            </w:r>
          </w:p>
        </w:tc>
        <w:tc>
          <w:tcPr>
            <w:tcW w:w="1280" w:type="dxa"/>
          </w:tcPr>
          <w:p>
            <w:pPr>
              <w:pStyle w:val="Normal"/>
            </w:pPr>
            <w:r>
              <w:rPr>
                <w:sz w:val="24"/>
                <w:szCs w:val="22"/>
                <w:lang w:val="en-US" w:eastAsia="en-US" w:bidi="ar-SA"/>
                <w:rFonts w:ascii="Times New Roman" w:hAnsi="Times New Roman" w:eastAsia="Times New Roman" w:cs="Times New Roman"/>
                <w:b/>
              </w:rPr>
              <w:t>63.0–79.0%*</w:t>
            </w:r>
          </w:p>
        </w:tc>
        <w:tc>
          <w:tcPr>
            <w:tcW w:w="605" w:type="dxa"/>
          </w:tcPr>
          <w:p>
            <w:pPr>
              <w:pStyle w:val="Normal"/>
            </w:pPr>
            <w:r>
              <w:rPr>
                <w:sz w:val="24"/>
                <w:szCs w:val="22"/>
                <w:lang w:val="en-US" w:eastAsia="en-US" w:bidi="ar-SA"/>
                <w:rFonts w:ascii="Times New Roman" w:hAnsi="Times New Roman" w:eastAsia="Times New Roman" w:cs="Times New Roman"/>
                <w:b/>
              </w:rPr>
              <w:t>120</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092" w:type="dxa"/>
          </w:tcPr>
          <w:p>
            <w:pPr>
              <w:pStyle w:val="Normal"/>
            </w:pPr>
            <w:r>
              <w:rPr>
                <w:szCs w:val="22"/>
                <w:lang w:val="en-US" w:eastAsia="en-US" w:bidi="ar-SA"/>
                <w:rFonts w:ascii="Times New Roman" w:hAnsi="Times New Roman" w:eastAsia="Times New Roman" w:cs="Times New Roman"/>
                <w:sz w:val="24"/>
              </w:rPr>
              <w:t>56.1%</w:t>
            </w:r>
          </w:p>
        </w:tc>
        <w:tc>
          <w:tcPr>
            <w:tcW w:w="1280" w:type="dxa"/>
          </w:tcPr>
          <w:p>
            <w:pPr>
              <w:pStyle w:val="Normal"/>
            </w:pPr>
            <w:r>
              <w:rPr>
                <w:szCs w:val="22"/>
                <w:lang w:val="en-US" w:eastAsia="en-US" w:bidi="ar-SA"/>
                <w:rFonts w:ascii="Times New Roman" w:hAnsi="Times New Roman" w:eastAsia="Times New Roman" w:cs="Times New Roman"/>
                <w:sz w:val="24"/>
              </w:rPr>
              <w:t>41.0–70.1%*</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092" w:type="dxa"/>
          </w:tcPr>
          <w:p>
            <w:pPr>
              <w:pStyle w:val="Normal"/>
            </w:pPr>
            <w:r>
              <w:rPr>
                <w:szCs w:val="22"/>
                <w:lang w:val="en-US" w:eastAsia="en-US" w:bidi="ar-SA"/>
                <w:rFonts w:ascii="Times New Roman" w:hAnsi="Times New Roman" w:eastAsia="Times New Roman" w:cs="Times New Roman"/>
                <w:sz w:val="24"/>
              </w:rPr>
              <w:t>29.3 pp</w:t>
            </w:r>
          </w:p>
        </w:tc>
        <w:tc>
          <w:tcPr>
            <w:tcW w:w="1280" w:type="dxa"/>
          </w:tcPr>
          <w:p>
            <w:pPr>
              <w:pStyle w:val="Normal"/>
            </w:pPr>
            <w:r>
              <w:rPr>
                <w:sz w:val="24"/>
                <w:szCs w:val="22"/>
                <w:lang w:val="en-US" w:eastAsia="en-US" w:bidi="ar-SA"/>
                <w:rFonts w:ascii="Times New Roman" w:hAnsi="Times New Roman" w:eastAsia="Times New Roman" w:cs="Times New Roman"/>
                <w:b/>
              </w:rPr>
              <w:t>see note</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7 Discussion: Adaptive Learning as the Behavioural-Change Driver</w:t>
      </w:r>
      <w:bookmarkEnd w:id="111"/>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trPr>
          <w:jc w:val="center"/>
        </w:trPr>
        <w:tc>
          <w:tcPr>
            <w:tcW w:w="2833" w:type="dxa"/>
          </w:tcPr>
          <w:p>
            <w:pPr>
              <w:pStyle w:val="Normal"/>
            </w:pPr>
            <w:r>
              <w:rPr>
                <w:b/>
                <w:sz w:val="20"/>
                <w:szCs w:val="22"/>
                <w:lang w:val="en-US" w:eastAsia="en-US" w:bidi="ar-SA"/>
                <w:rFonts w:ascii="Times New Roman" w:hAnsi="Times New Roman" w:eastAsia="Times New Roman" w:cs="Times New Roman"/>
              </w:rPr>
              <w:t>Principle</w:t>
            </w:r>
          </w:p>
        </w:tc>
        <w:tc>
          <w:tcPr>
            <w:tcW w:w="2831" w:type="dxa"/>
          </w:tcPr>
          <w:p>
            <w:pPr>
              <w:pStyle w:val="Normal"/>
            </w:pPr>
            <w:r>
              <w:rPr>
                <w:b/>
                <w:sz w:val="20"/>
                <w:szCs w:val="22"/>
                <w:lang w:val="en-US" w:eastAsia="en-US" w:bidi="ar-SA"/>
                <w:rFonts w:ascii="Times New Roman" w:hAnsi="Times New Roman" w:eastAsia="Times New Roman" w:cs="Times New Roman"/>
              </w:rPr>
              <w:t>What it does</w:t>
            </w:r>
          </w:p>
        </w:tc>
        <w:tc>
          <w:tcPr>
            <w:tcW w:w="2831" w:type="dxa"/>
          </w:tcPr>
          <w:p>
            <w:pPr>
              <w:pStyle w:val="Normal"/>
            </w:pPr>
            <w:r>
              <w:rPr>
                <w:b/>
                <w:sz w:val="20"/>
                <w:szCs w:val="22"/>
                <w:lang w:val="en-US" w:eastAsia="en-US" w:bidi="ar-SA"/>
                <w:rFonts w:ascii="Times New Roman" w:hAnsi="Times New Roman" w:eastAsia="Times New Roman" w:cs="Times New Roman"/>
              </w:rPr>
              <w:t>Empirical anchor</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P1 Identity Disentanglement</w:t>
            </w:r>
          </w:p>
        </w:tc>
        <w:tc>
          <w:tcPr>
            <w:tcW w:w="2831" w:type="dxa"/>
          </w:tcPr>
          <w:p>
            <w:pPr>
              <w:pStyle w:val="Normal"/>
            </w:pPr>
            <w:r>
              <w:rPr>
                <w:sz w:val="20"/>
                <w:szCs w:val="22"/>
                <w:lang w:val="en-US" w:eastAsia="en-US" w:bidi="ar-SA"/>
                <w:rFonts w:ascii="Times New Roman" w:hAnsi="Times New Roman" w:eastAsia="Times New Roman" w:cs="Times New Roman"/>
              </w:rPr>
              <w:t>Removes the cue that sorts the activity into the user's health account</w:t>
            </w:r>
          </w:p>
        </w:tc>
        <w:tc>
          <w:tcPr>
            <w:tcW w:w="2831"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P2 Trajectory Installation</w:t>
            </w:r>
          </w:p>
        </w:tc>
        <w:tc>
          <w:tcPr>
            <w:tcW w:w="2831" w:type="dxa"/>
          </w:tcPr>
          <w:p>
            <w:pPr>
              <w:pStyle w:val="Normal"/>
            </w:pPr>
            <w:r>
              <w:rPr>
                <w:sz w:val="20"/>
                <w:szCs w:val="22"/>
                <w:lang w:val="en-US" w:eastAsia="en-US" w:bidi="ar-SA"/>
                <w:rFonts w:ascii="Times New Roman" w:hAnsi="Times New Roman" w:eastAsia="Times New Roman" w:cs="Times New Roman"/>
              </w:rPr>
              <w:t>Makes a dynamic self-concept trajectory the reference point against which performance is read</w:t>
            </w:r>
          </w:p>
        </w:tc>
        <w:tc>
          <w:tcPr>
            <w:tcW w:w="2831"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P3 Adaptive Calibration</w:t>
            </w:r>
          </w:p>
        </w:tc>
        <w:tc>
          <w:tcPr>
            <w:tcW w:w="2831" w:type="dxa"/>
          </w:tcPr>
          <w:p>
            <w:pPr>
              <w:pStyle w:val="Normal"/>
            </w:pPr>
            <w:r>
              <w:rPr>
                <w:sz w:val="20"/>
                <w:szCs w:val="22"/>
                <w:lang w:val="en-US" w:eastAsia="en-US" w:bidi="ar-SA"/>
                <w:rFonts w:ascii="Times New Roman" w:hAnsi="Times New Roman" w:eastAsia="Times New Roman" w:cs="Times New Roman"/>
              </w:rPr>
              <w:t>Continuously matches challenge, feedback affect and pacing to the user's position</w:t>
            </w:r>
          </w:p>
        </w:tc>
        <w:tc>
          <w:tcPr>
            <w:tcW w:w="2831"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0"/>
              </w:rPr>
              <w:t>Layer</w:t>
            </w:r>
          </w:p>
        </w:tc>
        <w:tc>
          <w:tcPr>
            <w:tcW w:w="3118" w:type="dxa"/>
          </w:tcPr>
          <w:p>
            <w:pPr>
              <w:pStyle w:val="Normal"/>
            </w:pPr>
            <w:r>
              <w:rPr>
                <w:b/>
                <w:sz w:val="20"/>
                <w:szCs w:val="22"/>
                <w:lang w:val="en-US" w:eastAsia="en-US" w:bidi="ar-SA"/>
                <w:rFonts w:ascii="Times New Roman" w:hAnsi="Times New Roman" w:eastAsia="Times New Roman" w:cs="Times New Roman"/>
              </w:rPr>
              <w:t>Component</w:t>
            </w:r>
          </w:p>
        </w:tc>
        <w:tc>
          <w:tcPr>
            <w:tcW w:w="1700"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126"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L0 Sensor</w:t>
            </w:r>
          </w:p>
        </w:tc>
        <w:tc>
          <w:tcPr>
            <w:tcW w:w="3118"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L1 Game Engine</w:t>
            </w:r>
          </w:p>
        </w:tc>
        <w:tc>
          <w:tcPr>
            <w:tcW w:w="3118"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L2 AI Adaptation</w:t>
            </w:r>
          </w:p>
        </w:tc>
        <w:tc>
          <w:tcPr>
            <w:tcW w:w="3118"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L3 Logging</w:t>
            </w:r>
          </w:p>
        </w:tc>
        <w:tc>
          <w:tcPr>
            <w:tcW w:w="3118"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700" w:type="dxa"/>
          </w:tcPr>
          <w:p>
            <w:pPr>
              <w:pStyle w:val="Normal"/>
            </w:pPr>
            <w:r>
              <w:rPr>
                <w:sz w:val="20"/>
                <w:szCs w:val="22"/>
                <w:lang w:val="en-US" w:eastAsia="en-US" w:bidi="ar-SA"/>
                <w:rFonts w:ascii="Times New Roman" w:hAnsi="Times New Roman" w:eastAsia="Times New Roman" w:cs="Times New Roman"/>
              </w:rPr>
              <w:t>P2/P3</w:t>
            </w:r>
          </w:p>
        </w:tc>
        <w:tc>
          <w:tcPr>
            <w:tcW w:w="2126"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L4 Clinical Output</w:t>
            </w:r>
          </w:p>
        </w:tc>
        <w:tc>
          <w:tcPr>
            <w:tcW w:w="3118"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L5 User-Facing Trajectory</w:t>
            </w:r>
          </w:p>
        </w:tc>
        <w:tc>
          <w:tcPr>
            <w:tcW w:w="3118"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700" w:type="dxa"/>
          </w:tcPr>
          <w:p>
            <w:pPr>
              <w:pStyle w:val="Normal"/>
            </w:pPr>
            <w:r>
              <w:rPr>
                <w:sz w:val="20"/>
                <w:szCs w:val="22"/>
                <w:lang w:val="en-US" w:eastAsia="en-US" w:bidi="ar-SA"/>
                <w:rFonts w:ascii="Times New Roman" w:hAnsi="Times New Roman" w:eastAsia="Times New Roman" w:cs="Times New Roman"/>
              </w:rPr>
              <w:t>P2</w:t>
            </w:r>
          </w:p>
        </w:tc>
        <w:tc>
          <w:tcPr>
            <w:tcW w:w="2126"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8"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700" w:type="dxa"/>
          </w:tcPr>
          <w:p>
            <w:pPr>
              <w:pStyle w:val="Normal"/>
            </w:pPr>
            <w:r>
              <w:rPr>
                <w:sz w:val="20"/>
                <w:szCs w:val="22"/>
                <w:lang w:val="en-US" w:eastAsia="en-US" w:bidi="ar-SA"/>
                <w:rFonts w:ascii="Times New Roman" w:hAnsi="Times New Roman" w:eastAsia="Times New Roman" w:cs="Times New Roman"/>
              </w:rPr>
              <w:t>P1/P2</w:t>
            </w:r>
          </w:p>
        </w:tc>
        <w:tc>
          <w:tcPr>
            <w:tcW w:w="2126"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8"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7.5A One Architecture: Phenomenon, Principles, Engine</w:t>
      </w:r>
    </w:p>
    <w:p>
      <w:pPr>
        <w:pStyle w:val="Normal"/>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 Applied Case Studies</w:t>
      </w:r>
      <w:bookmarkEnd w:id="121"/>
    </w:p>
    <w:p>
      <w:pPr>
        <w:pStyle w:val="Heading3"/>
      </w:pPr>
      <w:bookmarkStart w:id="122" w:name="_Toc23202461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never as assessment — a decoupled frame arrived at by commercial instinct; and the engagement scaffold is explicitly social, anticipating the group-dynamics mechanism raised in the §6.8A consultation. What the model does not contain is the layer this thesis contributes: GrandPad avoids threatening frames by carrying no clinical measurement at all, whereas the present programme concerns technologies that must measure while remaining bearable. The comparator therefore marks a boundary in the design space: engagement without clinical purpose is commercially solved; engagement with clinical purpose intact is the open problem the adaptive-learning framework addresses.</w:t>
      </w:r>
    </w:p>
    <w:p>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(§8.8),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r>
        <w:t>Read as a boundary case, the comparator also sharpens what commercial gerontechnology has so far left unaddressed, and locates this programme's contribution to gerontology as AI-enabled health technology arrives. Three omissions matter. First, the avoided middle: the market divides into clinical instruments that measure but are abandoned (the FRA of Chapter 4) and consumer platforms that engage but do not measure (the GrandPad class); the technologies that population ageing actually requires — instruments that assess fall risk, cognition and function, repeatedly and acceptably — sit in the middle that both poles avoid. Second, the missing failure model: GrandPad-class design treats disengagement as a usability and access problem and answers it by minimising occasions for failure; it carries no account of what an adverse result does to an older user's self-concept, because it never delivers one. Curated ease also caps challenge, and with it the mastery experiences on which learning and flow depend (Csikszentmihalyi, 1990; Vygotsky, 1978).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make individually calibrated challenge inexpensive to implement at scale — the enabling technology for the Chapter 7 framework — but the same wave is filling gerontechnology with continuous monitoring, risk scores and predictions: more verdicts about ageing bodies, delivered more often, to the population this thesis shows may respond to unfavourable verdicts by leaving permanently. Without a behavioural layer, AI-era gerontechnology risks industrialising the abandonment pattern documented here. The programme's contribution to gerontology is that layer: FIAS names the failure mode that verdict-bearing technology must design against; the Stage-3 frame-sensitivity evidence indicates where the leverage lies; and the adaptive-learning framework specifies how a measuring technology can remain bearable — challenge calibrated to the person, results presented as a trajectory, coaching absorbing the failure moment. The gamified FRA is the working demonstration that the middle ground is occupiable: one physical action that plays and measures, made returnable-to by design. In an AI decade, that is the difference between health technologies older adults live with and health technologies that fall silent (§8.6B). Figure 8.1 maps this design space.</w:t>
      </w:r>
    </w:p>
    <w:p>
      <w:r>
        <w:drawing>
          <wp:inline>
            <wp:extent cx="5120640" cy="3995517"/>
            <wp:docPr id="32" name="Picture 32"/>
            <wp:cNvGraphicFramePr>
              <a:graphicFrameLocks noChangeAspect="1"/>
            </wp:cNvGraphicFramePr>
            <a:graphic>
              <a:graphicData uri="http://schemas.openxmlformats.org/drawingml/2006/picture">
                <pic:pic>
                  <pic:nvPicPr>
                    <pic:cNvPr id="0" name="fig_8_1_design_spac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Commercial platforms of the GrandPad class achieve sustained engagement by carrying no clinical measurement; clinical instruments carry full measurement but are abandoned after adverse first experiences (Chapter 4). The programme's contribution occupies the upper right: the gamified FRA and the adaptive-learning framework specify how a technology can measure while remaining bearable and returnable-to for older users (Chapters 5-7, §8.6).</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8 Contributions, Alternative Explanations, Limitations and Ethics</w:t>
      </w:r>
      <w:bookmarkEnd w:id="130"/>
    </w:p>
    <w:p>
      <w:pPr>
        <w:pStyle w:val="Normal"/>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pPr>
              <w:pStyle w:val="Normal"/>
            </w:pPr>
            <w:r>
              <w:rPr>
                <w:b/>
                <w:sz w:val="24"/>
                <w:szCs w:val="22"/>
                <w:lang w:val="en-US" w:eastAsia="en-US" w:bidi="ar-SA"/>
                <w:rFonts w:ascii="Times New Roman" w:hAnsi="Times New Roman" w:eastAsia="Times New Roman" w:cs="Times New Roman"/>
              </w:rPr>
              <w:t>Register</w:t>
            </w:r>
          </w:p>
        </w:tc>
        <w:tc>
          <w:tcPr>
            <w:tcW w:type="dxa" w:w="2835"/>
          </w:tcPr>
          <w:p>
            <w:pPr>
              <w:pStyle w:val="Normal"/>
            </w:pPr>
            <w:r>
              <w:rPr>
                <w:b/>
                <w:sz w:val="24"/>
                <w:szCs w:val="22"/>
                <w:lang w:val="en-US" w:eastAsia="en-US" w:bidi="ar-SA"/>
                <w:rFonts w:ascii="Times New Roman" w:hAnsi="Times New Roman" w:eastAsia="Times New Roman" w:cs="Times New Roman"/>
              </w:rPr>
              <w:t>Contribution</w:t>
            </w:r>
          </w:p>
        </w:tc>
        <w:tc>
          <w:tcPr>
            <w:tcW w:type="dxa" w:w="2835"/>
          </w:tcPr>
          <w:p>
            <w:pPr>
              <w:pStyle w:val="Normal"/>
            </w:pPr>
            <w:r>
              <w:rPr>
                <w:b/>
                <w:sz w:val="24"/>
                <w:szCs w:val="22"/>
                <w:lang w:val="en-US" w:eastAsia="en-US" w:bidi="ar-SA"/>
                <w:rFonts w:ascii="Times New Roman" w:hAnsi="Times New Roman" w:eastAsia="Times New Roman" w:cs="Times New Roman"/>
              </w:rPr>
              <w:t>Stated in</w:t>
            </w:r>
          </w:p>
        </w:tc>
      </w:tr>
      <w:tr>
        <w:tc>
          <w:tcPr>
            <w:tcW w:type="dxa" w:w="2835"/>
          </w:tcPr>
          <w:p>
            <w:pPr>
              <w:pStyle w:val="Normal"/>
            </w:pPr>
            <w:r>
              <w:rPr>
                <w:sz w:val="24"/>
                <w:szCs w:val="22"/>
                <w:lang w:val="en-US" w:eastAsia="en-US" w:bidi="ar-SA"/>
                <w:rFonts w:ascii="Times New Roman" w:hAnsi="Times New Roman" w:eastAsia="Times New Roman" w:cs="Times New Roman"/>
              </w:rPr>
              <w:t>Scientific</w:t>
            </w:r>
          </w:p>
        </w:tc>
        <w:tc>
          <w:tcPr>
            <w:tcW w:type="dxa" w:w="2835"/>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2835"/>
          </w:tcPr>
          <w:p>
            <w:pPr>
              <w:pStyle w:val="Normal"/>
            </w:pPr>
            <w:r>
              <w:rPr>
                <w:sz w:val="24"/>
                <w:szCs w:val="22"/>
                <w:lang w:val="en-US" w:eastAsia="en-US" w:bidi="ar-SA"/>
                <w:rFonts w:ascii="Times New Roman" w:hAnsi="Times New Roman" w:eastAsia="Times New Roman" w:cs="Times New Roman"/>
              </w:rPr>
              <w:t>§8.1, §8.3; Chs 2, 9</w:t>
            </w:r>
          </w:p>
        </w:tc>
      </w:tr>
      <w:tr>
        <w:tc>
          <w:tcPr>
            <w:tcW w:type="dxa" w:w="2835"/>
          </w:tcPr>
          <w:p>
            <w:pPr>
              <w:pStyle w:val="Normal"/>
            </w:pPr>
            <w:r>
              <w:rPr>
                <w:sz w:val="24"/>
                <w:szCs w:val="22"/>
                <w:lang w:val="en-US" w:eastAsia="en-US" w:bidi="ar-SA"/>
                <w:rFonts w:ascii="Times New Roman" w:hAnsi="Times New Roman" w:eastAsia="Times New Roman" w:cs="Times New Roman"/>
              </w:rPr>
              <w:t>Engineering</w:t>
            </w:r>
          </w:p>
        </w:tc>
        <w:tc>
          <w:tcPr>
            <w:tcW w:type="dxa" w:w="2835"/>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2835"/>
          </w:tcPr>
          <w:p>
            <w:pPr>
              <w:pStyle w:val="Normal"/>
            </w:pPr>
            <w:r>
              <w:rPr>
                <w:sz w:val="24"/>
                <w:szCs w:val="22"/>
                <w:lang w:val="en-US" w:eastAsia="en-US" w:bidi="ar-SA"/>
                <w:rFonts w:ascii="Times New Roman" w:hAnsi="Times New Roman" w:eastAsia="Times New Roman" w:cs="Times New Roman"/>
              </w:rPr>
              <w:t>Ch 7 (§7.4, §7.5, §7.5A); §8.4</w:t>
            </w:r>
          </w:p>
        </w:tc>
      </w:tr>
      <w:tr>
        <w:tc>
          <w:tcPr>
            <w:tcW w:type="dxa" w:w="2835"/>
          </w:tcPr>
          <w:p>
            <w:pPr>
              <w:pStyle w:val="Normal"/>
            </w:pPr>
            <w:r>
              <w:rPr>
                <w:sz w:val="24"/>
                <w:szCs w:val="22"/>
                <w:lang w:val="en-US" w:eastAsia="en-US" w:bidi="ar-SA"/>
                <w:rFonts w:ascii="Times New Roman" w:hAnsi="Times New Roman" w:eastAsia="Times New Roman" w:cs="Times New Roman"/>
              </w:rPr>
              <w:t>Industrial</w:t>
            </w:r>
          </w:p>
        </w:tc>
        <w:tc>
          <w:tcPr>
            <w:tcW w:type="dxa" w:w="2835"/>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2835"/>
          </w:tcPr>
          <w:p>
            <w:pPr>
              <w:pStyle w:val="Normal"/>
            </w:pPr>
            <w:r>
              <w:rPr>
                <w:sz w:val="24"/>
                <w:szCs w:val="22"/>
                <w:lang w:val="en-US" w:eastAsia="en-US" w:bidi="ar-SA"/>
                <w:rFonts w:ascii="Times New Roman" w:hAnsi="Times New Roman" w:eastAsia="Times New Roman" w:cs="Times New Roman"/>
              </w:rPr>
              <w:t>§8.4; §9.8</w:t>
            </w:r>
          </w:p>
        </w:tc>
      </w:tr>
      <w:tr>
        <w:tc>
          <w:tcPr>
            <w:tcW w:type="dxa" w:w="2835"/>
          </w:tcPr>
          <w:p>
            <w:pPr>
              <w:pStyle w:val="Normal"/>
            </w:pPr>
            <w:r>
              <w:rPr>
                <w:sz w:val="24"/>
                <w:szCs w:val="22"/>
                <w:lang w:val="en-US" w:eastAsia="en-US" w:bidi="ar-SA"/>
                <w:rFonts w:ascii="Times New Roman" w:hAnsi="Times New Roman" w:eastAsia="Times New Roman" w:cs="Times New Roman"/>
              </w:rPr>
              <w:t>Methodological</w:t>
            </w:r>
          </w:p>
        </w:tc>
        <w:tc>
          <w:tcPr>
            <w:tcW w:type="dxa" w:w="2835"/>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2835"/>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pStyle w:val="Heading2"/>
      </w:pPr>
      <w:bookmarkStart w:id="144" w:name="_Toc23202463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8.6B Extending the Unit of Analysis: Abandonment as a Three-Party Decision</w:t>
      </w:r>
    </w:p>
    <w:p>
      <w:pPr>
        <w:pStyle w:val="Normal"/>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pStyle w:val="Heading2"/>
      </w:pPr>
      <w:bookmarkStart w:id="146" w:name="_Toc23202463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8.7 Ethical Considerations</w:t>
      </w:r>
      <w:bookmarkEnd w:id="146"/>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8.8 Future Research</w:t>
      </w:r>
      <w:bookmarkEnd w:id="152"/>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pStyle w:val="Heading2"/>
      </w:pPr>
      <w:bookmarkStart w:id="153" w:name="_Toc23202464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Chapter 9 Conclusion</w:t>
      </w:r>
      <w:bookmarkEnd w:id="154"/>
    </w:p>
    <w:p>
      <w:pPr>
        <w:pStyle w:val="Heading2"/>
      </w:pPr>
      <w:bookmarkStart w:id="155" w:name="_Toc23202464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pStyle w:val="Heading2"/>
      </w:pPr>
      <w:bookmarkStart w:id="157" w:name="_Toc23202464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positive control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pPr>
              <w:pStyle w:val="Normal"/>
            </w:pPr>
            <w:r>
              <w:rPr>
                <w:b/>
                <w:sz w:val="24"/>
                <w:szCs w:val="22"/>
                <w:lang w:val="en-US" w:eastAsia="en-US" w:bidi="ar-SA"/>
                <w:rFonts w:ascii="Times New Roman" w:hAnsi="Times New Roman" w:eastAsia="Times New Roman" w:cs="Times New Roman"/>
              </w:rPr>
              <w:t>Dimension</w:t>
            </w:r>
          </w:p>
        </w:tc>
        <w:tc>
          <w:tcPr>
            <w:tcW w:w="2976"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969"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2976"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969"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Input at run time</w:t>
            </w:r>
          </w:p>
        </w:tc>
        <w:tc>
          <w:tcPr>
            <w:tcW w:w="2976"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969"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Timescale</w:t>
            </w:r>
          </w:p>
        </w:tc>
        <w:tc>
          <w:tcPr>
            <w:tcW w:w="2976"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969"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Object of learning</w:t>
            </w:r>
          </w:p>
        </w:tc>
        <w:tc>
          <w:tcPr>
            <w:tcW w:w="2976"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969"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Output</w:t>
            </w:r>
          </w:p>
        </w:tc>
        <w:tc>
          <w:tcPr>
            <w:tcW w:w="2976"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969"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4"/>
              </w:rPr>
              <w:t>Feedback channel</w:t>
            </w:r>
          </w:p>
        </w:tc>
        <w:tc>
          <w:tcPr>
            <w:tcW w:w="2976"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969"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2976"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969"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Theoretical anchors</w:t>
            </w:r>
          </w:p>
        </w:tc>
        <w:tc>
          <w:tcPr>
            <w:tcW w:w="2976"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969"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Evaluation criterion</w:t>
            </w:r>
          </w:p>
        </w:tc>
        <w:tc>
          <w:tcPr>
            <w:tcW w:w="2976"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969"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References</w:t>
      </w:r>
      <w:bookmarkEnd w:id="166"/>
    </w:p>
    <w:p>
      <w:pPr>
        <w:pStyle w:val="Normal"/>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r>
        <w:t>Czaja, S. J., Boot, W. R., Charness, N., Rogers, W. A., &amp; Sharit, J. (2018). Improving social support for older adults through technology: Findings from the PRISM randomized controlled trial. The Gerontologist, 58(3), 467-477. https://doi.org/10.1093/geront/gnw249</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r>
        <w:t>GrandPad. (n.d.). GrandPad: The tablet for seniors [Product and subscription information]. GrandPad, Inc. https://www.grandpad.net</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r>
        <w:t>Liu, X., Cruz Rivera, S., Moher, D., Calvert, M. J., Denniston, A. K., &amp; SPIRIT-AI and CONSORT-AI Working Group. (2020). Reporting guidelines for clinical trials evaluating artificial intelligence interventions: The SPIRIT-AI and CONSORT-AI extensions. Nature Medicine, 26(9), 1364-1374.</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r>
        <w:t>Park, D. C., Lodi-Smith, J., Drew, L., Haber, S., Hebrank, A., Bischof, G. N., &amp; Aamodt, W. (2014). The impact of sustained engagement on cognitive function in older adults: The Synapse Project. Psychological Science, 25(1), 103-112. https://doi.org/10.1177/0956797613499592</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r>
        <w:t>Perissinotto, C., Zhang, C., Oseau, T., Balik, D., Sou, C., Burnight, C., &amp; Burnight, K. (2019). Feasibility of a tablet designed for older adults to facilitate telemedicine visits [Conference abstract]. Innovation in Aging, 3(Suppl. 1), S975. https://doi.org/10.1093/geroni/igz038.3534</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r>
        <w:t>Tha, S. H., Hough, K., Bui, N., Dulaney, S., &amp; Perissinotto, C. (2025). The use of age-friendly technology in the care of older adults: Two implementation case studies. Journal of Applied Gerontology. https://doi.org/10.1177/07334648251343513</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pStyle w:val="Heading1"/>
        <w:pageBreakBefore/>
      </w:pPr>
      <w:bookmarkStart w:id="167" w:name="_Toc232024664"/>
      <w:r>
        <w:rPr>
          <w:lang w:val="en-US" w:eastAsia="en-US" w:bidi="ar-SA"/>
          <w:rFonts w:asciiTheme="majorHAnsi" w:eastAsiaTheme="majorEastAsia" w:hAnsiTheme="majorHAnsi" w:cstheme="majorBidi" w:ascii="Times New Roman" w:hAnsi="Times New Roman" w:eastAsia="Times New Roman" w:cs="Times New Roman"/>
          <w:b/>
          <w:color w:val="000000"/>
          <w:sz w:val="24"/>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pPr>
              <w:pStyle w:val="Normal"/>
            </w:pPr>
            <w:r>
              <w:rPr>
                <w:b/>
                <w:sz w:val="24"/>
                <w:szCs w:val="22"/>
                <w:lang w:val="en-US" w:eastAsia="en-US" w:bidi="ar-SA"/>
                <w:rFonts w:ascii="Times New Roman" w:hAnsi="Times New Roman" w:eastAsia="Times New Roman" w:cs="Times New Roman"/>
              </w:rPr>
              <w:t>Construct</w:t>
            </w:r>
          </w:p>
        </w:tc>
        <w:tc>
          <w:tcPr>
            <w:tcW w:w="5952"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FIDS</w:t>
            </w:r>
          </w:p>
        </w:tc>
        <w:tc>
          <w:tcPr>
            <w:tcW w:w="5952"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FIAS</w:t>
            </w:r>
          </w:p>
        </w:tc>
        <w:tc>
          <w:tcPr>
            <w:tcW w:w="5952"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5952"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Decoupling</w:t>
            </w:r>
          </w:p>
        </w:tc>
        <w:tc>
          <w:tcPr>
            <w:tcW w:w="5952"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5952"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Frame-Suppression</w:t>
            </w:r>
          </w:p>
        </w:tc>
        <w:tc>
          <w:tcPr>
            <w:tcW w:w="5952"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Commitment Gap</w:t>
            </w:r>
          </w:p>
        </w:tc>
        <w:tc>
          <w:tcPr>
            <w:tcW w:w="5952"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Adaptive-Learning Framework</w:t>
            </w:r>
          </w:p>
        </w:tc>
        <w:tc>
          <w:tcPr>
            <w:tcW w:w="5952"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Entropy Constraint</w:t>
            </w:r>
          </w:p>
        </w:tc>
        <w:tc>
          <w:tcPr>
            <w:tcW w:w="5952"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M0 / M1 / M2</w:t>
            </w:r>
          </w:p>
        </w:tc>
        <w:tc>
          <w:tcPr>
            <w:tcW w:w="5952"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Decision-Curve Analysis</w:t>
            </w:r>
          </w:p>
        </w:tc>
        <w:tc>
          <w:tcPr>
            <w:tcW w:w="5952"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Adaptive Learning</w:t>
            </w:r>
          </w:p>
        </w:tc>
        <w:tc>
          <w:tcPr>
            <w:tcW w:w="5952"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G · Raw Data, Photographs and Supplementary Materials</w:t>
      </w:r>
      <w:bookmarkEnd w:id="181"/>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r>
        <w:t>H.5  Interview guide (as used). The consultation followed a semi-structured guide (45-60 minutes; archived as Expert_Interview_Guide_2026.docx, Appendix G item G.8),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V36: HSESC approval HSEARS20260805008 inserted; Stage-2 consent-as-conducted written into 3.4. | Ch4 attribution expanded to full ICMSS 2026 citation.</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