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r>
        <w:t xml:space="preserve"> Blinding: all participants receive the identical build and are not told that two presentation variants exist; assignment is silent and random at first launch. The consent screen truthfully describes the activity, recording and voluntariness — variant assignment is presentation-level A/B allocation.</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r>
        <w:t xml:space="preserve"> COHORT INDEPENDENCE: participants must be NEW — Stage-3 (March-April) players are not re-recruited, for the same contamination reason the Stage-2 facility was not re-used in Stage 3 (prior exposure invalidates first-contact behaviour and practice effects distort calibration). Distribution CHANNELS may be re-used; distributors invite different people. Safeguard: the enrolment screen includes one screening item — 'Did you play the skiing game earlier this year? Yes/No' — and any 'Yes' participant is flagged at entry and analysed separately (excluded from primary outcomes), never silently pooled.</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Primary (behavioural): voluntary sessions played per participant; return after a below-personal-best run (the FIAS-critical behaviour). Secondary: D1, D2, F1, F2; completion of the five-attempt structure; band differences. Analysis: descriptive proportions with Wilson CIs; arm comparison (Option A) by proportion difference; band gradients compared with Stage 3's pattern as an indicative, build-caveated cross-check — NOT as replication. All outcomes reported regardless of direction.</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