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Research Proposal and Protocol</w:t>
      </w:r>
    </w:p>
    <w:p>
      <w:pPr>
        <w:jc w:val="center"/>
      </w:pPr>
      <w:r>
        <w:rPr>
          <w:b/>
          <w:sz w:val="26"/>
        </w:rPr>
        <w:t>Leveraging Gamification as a Proactive Approach for Continuous Improvement and Innovation Enhancement</w:t>
      </w:r>
    </w:p>
    <w:p>
      <w:pPr>
        <w:jc w:val="center"/>
      </w:pPr>
      <w:r>
        <w:rPr>
          <w:sz w:val="21"/>
        </w:rPr>
        <w:t>Submitted in support of the application to the Human Subjects Ethics Sub-Committee</w:t>
        <w:br/>
        <w:t>The Hong Kong Polytechnic University</w:t>
        <w:br/>
        <w:br/>
        <w:t>Student researcher: Sidney Kwok To Tam, Engineering Doctorate candidate, Department of Industrial and Systems Engineering</w:t>
        <w:br/>
        <w:t>Chief Supervisor: Prof. Benny C. F. Cheung</w:t>
        <w:br/>
        <w:t>Date: August 2026</w:t>
      </w:r>
    </w:p>
    <w:p>
      <w:pPr>
        <w:pStyle w:val="Heading1"/>
      </w:pPr>
      <w:r>
        <w:t>1. Statement of Review Basis</w:t>
      </w:r>
    </w:p>
    <w:p>
      <w:r>
        <w:rPr>
          <w:i w:val="0"/>
        </w:rPr>
        <w:t>The empirical programme described in this proposal has been substantially conducted between July 2024 and August 2026, in the course of a part-time Engineering Doctorate undertaken alongside the applicant's professional work. This application therefore asks the Committee to do two things: (a) review and characterise the procedures already conducted, which are described in full and without omission in Part A of the protocol; and (b) prospectively approve the remaining activities, described in Part B, which consist of documentation completion, participant validation of records, data-audit assembly and publication. The applicant makes no claim that prior approval was obtained; the programme's consent arrangements as actually operated are stated in section 7 and their limitations acknowledged.</w:t>
      </w:r>
    </w:p>
    <w:p>
      <w:pPr>
        <w:pStyle w:val="Heading1"/>
      </w:pPr>
      <w:r>
        <w:t>2. Background and Rationale</w:t>
      </w:r>
    </w:p>
    <w:p>
      <w:r>
        <w:rPr>
          <w:i w:val="0"/>
        </w:rPr>
        <w:t>Falls are a leading cause of injury, dependence and death among older adults, and balance assessment is among the most effective preventive tools. Clinical Fall Risk Assessment (FRA) platforms exist and are installed in rehabilitation settings in Hong Kong and the region, yet sustained use by the population that needs them most is poor, and fall-risk assessment is under-practised relative to its preventive value.</w:t>
      </w:r>
    </w:p>
    <w:p>
      <w:r>
        <w:rPr>
          <w:i w:val="0"/>
        </w:rPr>
        <w:t>Gamification has documented promise for engagement in health contexts, and learning-theoretic accounts (flow; the zone of proximal development; selective optimisation with compensation) predict engagement is sustained when challenge is calibrated to the individual. What the literature does not explain is a pattern the applicant observed in professional practice: older users who play a gamified assessment willingly, and improve at it, nevertheless abandon it permanently after receiving unfavourable assessment results. The programme names this pattern failure-induced disengagement/abandonment (FIDS/FIAS) and investigates its mechanism and design implications. Key references are listed in section 11.</w:t>
      </w:r>
    </w:p>
    <w:p>
      <w:pPr>
        <w:pStyle w:val="Heading1"/>
      </w:pPr>
      <w:r>
        <w:t>3. Objectives</w:t>
      </w:r>
    </w:p>
    <w:p>
      <w:r>
        <w:rPr>
          <w:i w:val="0"/>
        </w:rPr>
        <w:t>(1) Document and characterise older adults' abandonment of gamified fall-risk assessment technology in a real deployment, distinguishing disengagement from the game from abandonment of the underlying health technology. (2) Identify the mechanism — whether abandonment is attributable to game difficulty and usability, or to the clinical verdict and its threat to self-concept. (3) Test frame-sensitivity of acceptance: whether the same activity, decoupled from clinical framing, changes willingness to engage and intention to continue, and whether the sensitivity is age-graded. (4) Derive a design framework (adaptive challenge calibration, trajectory-based feedback, coaching support) and validate its interpretation through expert consultation.</w:t>
      </w:r>
    </w:p>
    <w:p>
      <w:pPr>
        <w:pStyle w:val="Heading1"/>
      </w:pPr>
      <w:r>
        <w:t>4. Hypotheses</w:t>
      </w:r>
    </w:p>
    <w:p>
      <w:r>
        <w:rPr>
          <w:i w:val="0"/>
        </w:rPr>
        <w:t>Central hypothesis (H0): abandonment of the gamified FRA arises from the health verdict the system delivers — its threat to self-concept — rather than from game failure, difficulty or usability as such. Subsidiary predictions: (H1) disengagement events cluster after unfavourable assessment outcomes rather than after in-game failure alone; (H2) re-engagement after verdict-linked disengagement is rare to absent under clinical framing; (H4) with the clinical frame decoupled, willingness to engage rises and the age gradient of refusal flattens. A registered social-comparison hypothesis (H3) was retired as not separably testable; this is disclosed in the thesis.</w:t>
      </w:r>
    </w:p>
    <w:p>
      <w:pPr>
        <w:pStyle w:val="Heading1"/>
      </w:pPr>
      <w:r>
        <w:t>5. Study Design Overview</w:t>
      </w:r>
    </w:p>
    <w:p>
      <w:r>
        <w:rPr>
          <w:i w:val="0"/>
        </w:rPr>
        <w:t>A three-stage, multi-method action-research programme at a single elderly-care facility (Stages 1-2) and in a separate remote community cohort (Stage 3), supplemented by an expert consultation panel. Stage 1 establishes the field signal retrospectively; Stage 2 tests H0 prospectively under clinical framing; Stage 3 tests frame-sensitivity with the clinical frame decoupled; the expert panel provides interpretation and practice validation. The unit of analysis is the engagement/abandonment behaviour of older and middle-aged adults with a gamified balance-assessment activity.</w:t>
      </w:r>
    </w:p>
    <w:p>
      <w:pPr>
        <w:pStyle w:val="Heading1"/>
      </w:pPr>
      <w:r>
        <w:t>6. Protocol — Part A: Procedures Conducted (July 2024 - August 2026)</w:t>
      </w:r>
    </w:p>
    <w:p>
      <w:pPr>
        <w:pStyle w:val="Heading2"/>
      </w:pPr>
      <w:r>
        <w:t>6.1 Stage 1 — Retrospective survey (July-August 2024)</w:t>
      </w:r>
    </w:p>
    <w:p>
      <w:r>
        <w:rPr>
          <w:i w:val="0"/>
        </w:rPr>
        <w:t>Setting: the Poly Group elderly-care facility, Guangzhou. Participants: 200 residents aged 65-88, of the resident population of 280, meeting five eligibility criteria verified by the facility's management office (secondary education or above; no significant cognitive impairment; capable of unsupported standing; sufficient vision for screen reading; no acute mental-health conditions). Instrument: a six-item Yes/No survey on awareness, prior FRA use, understanding and acceptance of the first result, subsequent return, discomfort or discouragement, and willingness to use a friendlier version. Administration: face-to-face by the facility's nursing staff, chosen to reduce literacy and digital-skill barriers. Data: anonymous; no health measurements; aggregate analysis only.</w:t>
      </w:r>
    </w:p>
    <w:p>
      <w:pPr>
        <w:pStyle w:val="Heading2"/>
      </w:pPr>
      <w:r>
        <w:t>6.2 Stage 2 — Facility deployment under clinical framing (eight weeks)</w:t>
      </w:r>
    </w:p>
    <w:p>
      <w:r>
        <w:rPr>
          <w:i w:val="0"/>
        </w:rPr>
        <w:t>Setting: the same facility's rehabilitation room, where a balance-platform FRA station (pressure-panel platform with support rails, monitor and cart) was installed. Participants: thirty residents. Intervention: an AI-assisted skiing game whose weight-shift control doubles as the clinical balance measurement; in-run difficulty adjustment operated by a deterministic rule agent. Procedure: residents were invited by the facility to try the activity as a facility activity; the research purpose was not disclosed at the time (see section 7.2 for the rationale and consent arrangement). Sessions took place under facility supervision; no photography of participants was permitted or conducted. Measures: session play records; the pre/post FRA balance measurement produced by the platform; an after-activity paper questionnaire completed by all thirty; post-deployment intensive interviews with the nine participants who persisted through the eight weeks (conducted 1-2 days after the cycle, Mandarin/Cantonese, paper questionnaire, researcher's notes primary); and interviews with three centre managers. A designed nine-question interview protocol for one resident sub-group was never administered. Primary outcomes: engagement, disengagement and non-return patterns, and their timing relative to unfavourable assessment results.</w:t>
      </w:r>
    </w:p>
    <w:p>
      <w:pPr>
        <w:pStyle w:val="Heading2"/>
      </w:pPr>
      <w:r>
        <w:t>6.3 Stage 3 — Remote decoupled deployment (March-April 2026)</w:t>
      </w:r>
    </w:p>
    <w:p>
      <w:r>
        <w:rPr>
          <w:i w:val="0"/>
        </w:rPr>
        <w:t>Design: the game was ported to a browser HTML build with the clinical platform decoupled: no medical or fall-prevention language, no clinical output, score-based feedback only, zero-failure run design, deterministic rule-based difficulty (no AI service was called in any Stage-3 session). Recruitment: e-mail invitation through the applicant's networks (family and personal contacts, work contacts, a charity community network, university support channels, medical-centre peers) in a two-tier snowball: direct participants plus distributors who forwarded the build within target age ranges and compiled their contacts' returns. Invitations disclosed the doctoral research context including the programme's fall-risk origin, accompanied by the applicant's research introduction; the game artifact itself carried no clinical framing (artefact-level decoupling). Participants: register of 120 adults aged 25-80 in three bands (25-44, 45-64, 65-80). Procedure: unsupervised play on participants' own devices (trackpad, arrow keys, or foot-pad sensor where available); enrolment collected age band, gender and education only; after play, a two-item questionnaire (endorsement of the activity as a good coordination challenge; willingness to play regularly). Returns: the build's results file and questionnaire replies, returned by e-mail directly or via distributors. Consent: implied-consent model (section 7.3). Outcomes: participation, dropout and return rates by age band; endorsement and intention; comparison with Stage 2's clinically framed deployment.</w:t>
      </w:r>
    </w:p>
    <w:p>
      <w:pPr>
        <w:pStyle w:val="Heading2"/>
      </w:pPr>
      <w:r>
        <w:t>6.4 Expert consultation panel (March-August 2026)</w:t>
      </w:r>
    </w:p>
    <w:p>
      <w:r>
        <w:rPr>
          <w:i w:val="0"/>
        </w:rPr>
        <w:t>Four semi-structured consultations to interpret findings and review the design framework: a physiotherapist in private practice (March 2026, telephone, ~25 minutes, with a follow-up on 5 August 2026 in which the expert played the decoupled build); a consultant neurologist and medical educator (June 2026, in person, ~1 hour); a medical sociologist and demographer of aging (25 July 2026, telephone, ~35 minutes); and a naturopathic practitioner with a large elderly chronic-disease caseload (4 August 2026, telephone, ~30 minutes). Languages: English, or Cantonese mixed with English; the researcher's notes are the primary records; summaries are returned to each expert for validation (member checking). Consent and attribution arrangements are in section 7.4.</w:t>
      </w:r>
    </w:p>
    <w:p>
      <w:pPr>
        <w:pStyle w:val="Heading1"/>
      </w:pPr>
      <w:r>
        <w:t>7. Consent Arrangements (as operated)</w:t>
      </w:r>
    </w:p>
    <w:p>
      <w:pPr>
        <w:pStyle w:val="Heading2"/>
      </w:pPr>
      <w:r>
        <w:t>7.1 Stage 1</w:t>
      </w:r>
    </w:p>
    <w:p>
      <w:r>
        <w:rPr>
          <w:i w:val="0"/>
        </w:rPr>
        <w:t>Voluntary anonymous survey; verbal agreement at face-to-face administration by nursing staff; no written instrument; no identifiers collected.</w:t>
      </w:r>
    </w:p>
    <w:p>
      <w:pPr>
        <w:pStyle w:val="Heading2"/>
      </w:pPr>
      <w:r>
        <w:t>7.2 Stage 2 — incomplete disclosure with scientific rationale</w:t>
      </w:r>
    </w:p>
    <w:p>
      <w:r>
        <w:rPr>
          <w:i w:val="0"/>
        </w:rPr>
        <w:t>Participants were not told at the time that the facility activity formed part of a research project. The study's subject matter is assessment fear: disclosure of a research/assessment frame at invitation would have re-imposed the very condition under study. The arrangement was made with and known to the facility's operators, nursing staff and general manager (gatekeeper consent; the arrangement conversation is documented). After the eight-week window, the nine persistent participants were individually informed and gave written consent, recorded at a small rewards presentation; all written consent was therefore retrospective. Dropouts were not interviewed and did not sign. The applicant asks the Committee to characterise this arrangement under its provisions for incomplete disclosure / consent waiver in minimal-risk observational research, and acknowledges plainly that individual informed consent was not obtained at enrolment.</w:t>
      </w:r>
    </w:p>
    <w:p>
      <w:pPr>
        <w:pStyle w:val="Heading2"/>
      </w:pPr>
      <w:r>
        <w:t>7.3 Stage 3 — implied consent</w:t>
      </w:r>
    </w:p>
    <w:p>
      <w:r>
        <w:rPr>
          <w:i w:val="0"/>
        </w:rPr>
        <w:t>Invitation e-mails explained the research purpose and the use of replies; participation was voluntary and unpaid; no names were collected; returning the game's results file and questionnaire replies constituted consent. No written consent instrument was used — an acknowledged limitation. Distributor-level transmittals and the invitation record are archived.</w:t>
      </w:r>
    </w:p>
    <w:p>
      <w:pPr>
        <w:pStyle w:val="Heading2"/>
      </w:pPr>
      <w:r>
        <w:t>7.4 Expert panel</w:t>
      </w:r>
    </w:p>
    <w:p>
      <w:r>
        <w:rPr>
          <w:i w:val="0"/>
        </w:rPr>
        <w:t>Written consent on a nine-statement form (participation, recording permissions, quotation use, data storage, withdrawal), with an explicit identification election: named attribution or anonymity/pseudonymity. Three experts elected named attribution; one elected anonymity and is pseudonymised in all outputs. Where interviews preceded the signed form, records state both dates (retrospective consent disclosed). Signed forms are archived with transmittal evidence; one form is awaited at the date of this application.</w:t>
      </w:r>
    </w:p>
    <w:p>
      <w:pPr>
        <w:pStyle w:val="Heading1"/>
      </w:pPr>
      <w:r>
        <w:t>8. Risks, Benefits and Vulnerability</w:t>
      </w:r>
    </w:p>
    <w:p>
      <w:r>
        <w:rPr>
          <w:i w:val="0"/>
        </w:rPr>
        <w:t>Risk profile: low. The physical activity (Stage 2) used a clinical balance platform with support rails under facility supervision, within the facility's normal activity programme; Stage 3 involved casual browser play with no physical apparatus. The salient risk in this programme is psychological — discouragement from unfavourable assessment results — and is itself the phenomenon under study; Stage 3's decoupled design removed clinical verdicts entirely. Stage-2 participants were older adults in residential care, a potentially vulnerable group: protections were the facility's gatekeeping and safety screening, supervised sessions, no photography, and post-hoc individual consent from those interviewed. Benefits: no direct personal benefit was promised; participants engaged in a balance-exercising activity; the research contributes design knowledge for acceptable preventive assessment.</w:t>
      </w:r>
    </w:p>
    <w:p>
      <w:pPr>
        <w:pStyle w:val="Heading1"/>
      </w:pPr>
      <w:r>
        <w:t>9. Data Management</w:t>
      </w:r>
    </w:p>
    <w:p>
      <w:r>
        <w:rPr>
          <w:i w:val="0"/>
        </w:rPr>
        <w:t>Analysis datasets carry participant codes with demographic fields limited to age band, gender and education; no names, addresses or contact details. Identifier-bearing records (signed consent forms, correspondence, contact details) are stored separately on password-protected, access-controlled systems and never linked into analysis data; paper records are in locked storage. The research archive is version-controlled with a provenance log recording origin, transmittal date and handling of every data file. Retention: identifier-bearing records ten years after completion of the research, then securely destroyed; anonymised data a minimum of ten years after first publication; aggregate results remain in the published record. Withdrawal: participants may withdraw their data up to 14 days after receiving their interview transcript or summary; after anonymised aggregation or publication, removal may no longer be practicable (stated in the information sheet).</w:t>
      </w:r>
    </w:p>
    <w:p>
      <w:pPr>
        <w:pStyle w:val="Heading1"/>
      </w:pPr>
      <w:r>
        <w:t>10. Protocol — Part B: Activities Remaining To Be Performed</w:t>
      </w:r>
    </w:p>
    <w:p>
      <w:r>
        <w:rPr>
          <w:i w:val="0"/>
        </w:rPr>
        <w:t>The remaining activities are documentary and analytical; no new experimental deployment is planned within this project. (1) Completion of the expert-panel record: receipt of the final signed consent form; member-checking of the remaining consultation summaries (each summary sent to its expert for review and endorsement); if follow-up clarification calls are needed they will be brief, within the scope of the signed consents, and dated in the records. (2) Compilation and audit of the Stage-3 logbook from as-received returns: assembly of distributor sub-logbooks and direct returns with their transmittal evidence into an auditable participant-level logbook, reconciled against the published register; files whose provenance cannot be established are excluded under the programme's provenance rule. (3) Archival assembly: instruments, consent artifacts, invitation records and the AI/rule-agent configuration record into the thesis appendices. (4) Regularisation of participant-facing documents (removal of draft banners) per the Committee's guidance. (5) Dissemination: examination of the EngD thesis and submission of two journal papers reporting Stage 2 and Stage 3 in aggregate, with ethics statements reflecting the Committee's characterisation of this application. No activity in Part B collects new data from human subjects beyond the member-checking and possible brief clarification contacts with the four consenting experts.</w:t>
      </w:r>
    </w:p>
    <w:p>
      <w:pPr>
        <w:pStyle w:val="Heading1"/>
      </w:pPr>
      <w:r>
        <w:t>11. Key References</w:t>
      </w:r>
    </w:p>
    <w:p>
      <w:r>
        <w:t>An, F., et al. (2024, 2025). Gamified learning systems for older adults' technology adoption (mobile payments; mobile navigation). [Research-group lineage; full citations in thesis reference list.]</w:t>
      </w:r>
    </w:p>
    <w:p>
      <w:r>
        <w:t>Baltes, P. B., &amp; Baltes, M. M. (1990). Psychological perspectives on successful aging: The model of selective optimization with compensation. Cambridge University Press.</w:t>
      </w:r>
    </w:p>
    <w:p>
      <w:r>
        <w:t>Csikszentmihalyi, M. (1990). Flow: The psychology of optimal experience. Harper &amp; Row.</w:t>
      </w:r>
    </w:p>
    <w:p>
      <w:r>
        <w:t>Czaja, S. J., Boot, W. R., Charness, N., Rogers, W. A., &amp; Sharit, J. (2018). Improving social support for older adults through technology: Findings from the PRISM randomized controlled trial. The Gerontologist, 58(3), 467-477.</w:t>
      </w:r>
    </w:p>
    <w:p>
      <w:r>
        <w:t>Deterding, S., Dixon, D., Khaled, R., &amp; Nacke, L. (2011). From game design elements to gamefulness: Defining "gamification". Proceedings of MindTrek 2011.</w:t>
      </w:r>
    </w:p>
    <w:p>
      <w:r>
        <w:t>Koivisto, J., &amp; Malik, A. (2021). Gamification for older adults: A systematic literature review. The Gerontologist, 61(7), e360-e372.</w:t>
      </w:r>
    </w:p>
    <w:p>
      <w:r>
        <w:t>Park, D. C., Lodi-Smith, J., Drew, L., Haber, S., Hebrank, A., Bischof, G. N., &amp; Aamodt, W. (2014). The impact of sustained engagement on cognitive function in older adults: The Synapse Project. Psychological Science, 25(1), 103-112.</w:t>
      </w:r>
    </w:p>
    <w:p>
      <w:r>
        <w:t>Tsai, T.-H., et al. (2020). [Acceptance of gamified health technology by older adults; full citation in thesis reference list.]</w:t>
      </w:r>
    </w:p>
    <w:p>
      <w:r>
        <w:t>Vygotsky, L. S. (1978). Mind in society: The development of higher psychological processes. Harvard University Press.</w:t>
      </w:r>
    </w:p>
    <w:p>
      <w:r>
        <w:t>World Health Organization. Falls fact sheet.</w:t>
      </w:r>
    </w:p>
    <w:p>
      <w:r>
        <w:rPr>
          <w:i w:val="0"/>
        </w:rPr>
      </w:r>
    </w:p>
    <w:p>
      <w:r>
        <w:rPr>
          <w:i/>
        </w:rPr>
        <w:t>Note to supervisor: citations marked with bracketed notes should be replaced with the full entries from the thesis reference list before upload.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