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8"/>
        </w:rPr>
        <w:t>Table 6. Engagement pattern (N = 30).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 (95% CI)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Low engagement (≤ 3 cycles)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21/30, 70.0% (52.1–83.3%)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Sustained (≥ 4 cycles)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9/30, 30.0%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Single-session exits (1 cycle)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8/30, 26.7% (14.2–44.4%)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Re-engagement after disengagement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0/21, 0.0% (0.0–15.5%)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Gamification as a Proactive Approach (JIKM submission)</dc:title>
  <dc:subject/>
  <dc:creator/>
  <cp:keywords/>
  <dc:description/>
  <cp:lastModifiedBy/>
  <cp:revision>1</cp:revision>
  <dcterms:created xsi:type="dcterms:W3CDTF">2026-09-20T19:20:20Z</dcterms:created>
  <dcterms:modified xsi:type="dcterms:W3CDTF">2026-09-20T19:20:20Z</dcterms:modified>
  <cp:category/>
</cp:coreProperties>
</file>