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Table 10. Qualitative findings, supporting records, and alternative interpretations.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Supporting record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Alternative interpretation</w:t>
            </w:r>
          </w:p>
        </w:tc>
      </w:tr>
      <w:tr>
        <w:tc>
          <w:tcPr>
            <w:tcW w:type="dxa" w:w="2880"/>
          </w:tcPr>
          <w:p>
            <w:r>
              <w:t>Collapse sequence: players acknowledged the FRA’s benefits and recorded index gains, met recurring in-game failures across their second and third runs, and gave up despite the gains.</w:t>
            </w:r>
          </w:p>
        </w:tc>
        <w:tc>
          <w:tcPr>
            <w:tcW w:type="dxa" w:w="2880"/>
          </w:tcPr>
          <w:p>
            <w:r>
              <w:t>Contemporaneous researcher field notes, compiled from near-daily therapist reports during the eight-week window; a qualitative sequence with no per-participant counts.</w:t>
            </w:r>
          </w:p>
        </w:tc>
        <w:tc>
          <w:tcPr>
            <w:tcW w:type="dxa" w:w="2880"/>
          </w:tcPr>
          <w:p>
            <w:r>
              <w:t>Ordinary attrition (novelty wear-off) coinciding with the second and third runs; the ordering rests on the note-taker’s account, not on instrumented timing.</w:t>
            </w:r>
          </w:p>
        </w:tc>
      </w:tr>
      <w:tr>
        <w:tc>
          <w:tcPr>
            <w:tcW w:type="dxa" w:w="2880"/>
          </w:tcPr>
          <w:p>
            <w:r>
              <w:t>Visible-dropout social channel: remaining players saw the group thinning as dropouts accumulated, which contributed to further abandonment.</w:t>
            </w:r>
          </w:p>
        </w:tc>
        <w:tc>
          <w:tcPr>
            <w:tcW w:type="dxa" w:w="2880"/>
          </w:tcPr>
          <w:p>
            <w:r>
              <w:t>Same field-note record, retrieved from the archive during verification.</w:t>
            </w:r>
          </w:p>
        </w:tc>
        <w:tc>
          <w:tcPr>
            <w:tcW w:type="dxa" w:w="2880"/>
          </w:tcPr>
          <w:p>
            <w:r>
              <w:t>A collective, socially shared narrative about the station (Section XII); visible thinning may reflect, rather than cause, exit decisions already made.</w:t>
            </w:r>
          </w:p>
        </w:tc>
      </w:tr>
      <w:tr>
        <w:tc>
          <w:tcPr>
            <w:tcW w:type="dxa" w:w="2880"/>
          </w:tcPr>
          <w:p>
            <w:r>
              <w:t>Verdict-fear stance: ‘the game is fun… but I do not want it telling me where my health problems are’ — a paraphrase compiled from the therapist-recorded interview entry, not a verbatim quotation.</w:t>
            </w:r>
          </w:p>
        </w:tc>
        <w:tc>
          <w:tcPr>
            <w:tcW w:type="dxa" w:w="2880"/>
          </w:tcPr>
          <w:p>
            <w:r>
              <w:t>Stage-2 interview record (therapist-completed forms and centre logbook as the primary record; the researcher’s compilation is secondary).</w:t>
            </w:r>
          </w:p>
        </w:tc>
        <w:tc>
          <w:tcPr>
            <w:tcW w:type="dxa" w:w="2880"/>
          </w:tcPr>
          <w:p>
            <w:r>
              <w:t>The interview record reaches sustained participants and centre managers only; the stance shows the salience of the clinical frame but cannot establish the internal reasons of those who discontinued.</w:t>
            </w:r>
          </w:p>
        </w:tc>
      </w:tr>
      <w:tr>
        <w:tc>
          <w:tcPr>
            <w:tcW w:type="dxa" w:w="2880"/>
          </w:tcPr>
          <w:p>
            <w:r>
              <w:t>Satisfaction and observed symptom improvement tracked engagement: 9/9 sustained participants recorded satisfied or very satisfied, against 11/21 in the low-engagement group.</w:t>
            </w:r>
          </w:p>
        </w:tc>
        <w:tc>
          <w:tcPr>
            <w:tcW w:type="dxa" w:w="2880"/>
          </w:tcPr>
          <w:p>
            <w:r>
              <w:t>Symptom-improvement entries compiled by the researcher from therapists’ near-daily verbal reports (therapists kept no written per-participant records); satisfaction ratings from the after-game questionnaire.</w:t>
            </w:r>
          </w:p>
        </w:tc>
        <w:tc>
          <w:tcPr>
            <w:tcW w:type="dxa" w:w="2880"/>
          </w:tcPr>
          <w:p>
            <w:r>
              <w:t>Selection by outcome: the association may run in reverse, longer participation giving more opportunity for improvement and a positive rating; individual attribution of therapist observations was performed by the researcher at compilation.</w:t>
            </w:r>
          </w:p>
        </w:tc>
      </w:tr>
      <w:tr>
        <w:tc>
          <w:tcPr>
            <w:tcW w:type="dxa" w:w="2880"/>
          </w:tcPr>
          <w:p>
            <w:r>
              <w:t>Gains without return: most low-engagement participants left despite recorded index gains (group mean +2.8), and three F4-cluster members recorded an improved index in their single completed run yet did not return within the observation window.</w:t>
            </w:r>
          </w:p>
        </w:tc>
        <w:tc>
          <w:tcPr>
            <w:tcW w:type="dxa" w:w="2880"/>
          </w:tcPr>
          <w:p>
            <w:r>
              <w:t>Workbook index records paired with documented non-return within the observation window (no later recorded runs, corroborated by field observation).</w:t>
            </w:r>
          </w:p>
        </w:tc>
        <w:tc>
          <w:tcPr>
            <w:tcW w:type="dxa" w:w="2880"/>
          </w:tcPr>
          <w:p>
            <w:r>
              <w:t>Recorded gains of this size may reflect measurement variation or familiarisation; and because no clinical numbers were shown on the play screen, non-return need not have been decided in knowledge of the recorded gain.</w:t>
            </w:r>
          </w:p>
        </w:tc>
      </w:tr>
      <w:tr>
        <w:tc>
          <w:tcPr>
            <w:tcW w:type="dxa" w:w="2880"/>
          </w:tcPr>
          <w:p>
            <w:r>
              <w:t>Sustained-side puzzlement at non-participation: two of nine interviewees said they did not know why others would not try</w:t>
            </w:r>
          </w:p>
        </w:tc>
        <w:tc>
          <w:tcPr>
            <w:tcW w:type="dxa" w:w="2880"/>
          </w:tcPr>
          <w:p>
            <w:r>
              <w:t>Sustained-participant interview entry record (nine records; archived 10 September 2026)</w:t>
            </w:r>
          </w:p>
        </w:tc>
        <w:tc>
          <w:tcPr>
            <w:tcW w:type="dxa" w:w="2880"/>
          </w:tcPr>
          <w:p>
            <w:r>
              <w:t>Politeness or interviewer effect; a sustained-only view that cannot describe non-participants' reasons</w:t>
            </w:r>
          </w:p>
        </w:tc>
      </w:tr>
      <w:tr>
        <w:tc>
          <w:tcPr>
            <w:tcW w:type="dxa" w:w="2880"/>
          </w:tcPr>
          <w:p>
            <w:r>
              <w:t>Aesthetic criticism co-existing with satisfaction: four of nine criticised the visuals as weak or childish while rating enjoyment 4-5</w:t>
            </w:r>
          </w:p>
        </w:tc>
        <w:tc>
          <w:tcPr>
            <w:tcW w:type="dxa" w:w="2880"/>
          </w:tcPr>
          <w:p>
            <w:r>
              <w:t>Same interview entry record</w:t>
            </w:r>
          </w:p>
        </w:tc>
        <w:tc>
          <w:tcPr>
            <w:tcW w:type="dxa" w:w="2880"/>
          </w:tcPr>
          <w:p>
            <w:r>
              <w:t>Cohort-specific taste; consistent with the infantilisation risk raised in expert consultation, but not evidence of its behavioural effect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Gamification as a Proactive Approach (JIKM submission)</dc:title>
  <dc:subject/>
  <dc:creator/>
  <cp:keywords/>
  <dc:description/>
  <cp:lastModifiedBy/>
  <cp:revision>1</cp:revision>
  <dcterms:created xsi:type="dcterms:W3CDTF">2026-09-20T19:20:20Z</dcterms:created>
  <dcterms:modified xsi:type="dcterms:W3CDTF">2026-09-20T19:20:20Z</dcterms:modified>
  <cp:category/>
</cp:coreProperties>
</file>