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 promising health-technology intervention encounters difficulty. The setting is gamified Fall Risk Assessment (FRA) with older adults; the central problem is continued voluntary engagement after an adverse experience, not initial acceptance alone. A three-stage field programme examines this problem and develops a proposed adaptive-learning framework. Gamification supplies the participatory setting and feedback; adaptation is a candidate mechanism through which difficulty can inform the next interaction and the next design revision, without assuming that adaptation itself establishes improvement.</w:t>
      </w:r>
    </w:p>
    <w:p w14:paraId="4BEDA2C7" w14:textId="77777777" w:rsidR="0062437E" w:rsidRDefault="00000000">
      <w:pPr>
        <w:jc w:val="both"/>
      </w:pPr>
      <w:r>
        <w:t>Stage 1 surveyed 200 of 280 residents at a Guangzhou care facility and identified retrospective accounts of adverse first experiences followed by non-return (aggregate record; the response file is not archived). Stage 2 prospectively observed thirty residents using an AI-assisted skiing game in which weight-shift control also contributed to FRA measurement.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Continued or resumed play was 93.3% overall and 85.4% in the 65–80 band among the 120 compiled participants (including dropouts who played again; the invitation denominator and return timing are not recoverable),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crossing adaptive support with static presentation and zero-failure with game-over modes, is documented descriptively in Appendix I and is not used to test the adaptive-learning proposition, which is carried forward as future study.</w:t>
      </w:r>
      <w:commentRangeEnd w:id="1"/>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1AD68D3A" w14:textId="77777777" w:rsidR="0062437E" w:rsidRDefault="00000000">
      <w:pPr>
        <w:pStyle w:val="Heading1"/>
        <w:pageBreakBefore/>
      </w:pPr>
      <w:r>
        <w:rPr>
          <w:color w:val="000000"/>
        </w:rPr>
        <w:t>Publications and Outputs Arising from the Programme</w:t>
      </w:r>
    </w:p>
    <w:p w14:paraId="33F4A869" w14:textId="77777777" w:rsidR="0062437E" w:rsidRDefault="00000000">
      <w:pPr>
        <w:jc w:val="both"/>
      </w:pPr>
      <w:r>
        <w:t>The following outputs arise from the programme reported in this thesis. The thesis is the primary account; each manuscript is cited as a companion record, and no result is reported in the thesis that is not also traceable to the records listed in Appendix G.</w:t>
      </w:r>
    </w:p>
    <w:p w14:paraId="33F4A869" w14:textId="77777777" w:rsidR="0062437E" w:rsidRDefault="00000000">
      <w:pPr>
        <w:jc w:val="both"/>
      </w:pPr>
      <w:r>
        <w:t>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submitted to IEEE Xplore. Basis of Chapter 4 (Stage 1). Candidate's contribution: conception, survey design and administration arrangements, analysis and drafting; the co-author supervised the study and reviewed the manuscript.</w:t>
      </w:r>
    </w:p>
    <w:p w14:paraId="33F4A869" w14:textId="77777777" w:rsidR="0062437E" w:rsidRDefault="00000000">
      <w:pPr>
        <w:jc w:val="both"/>
      </w:pPr>
      <w:r>
        <w:t>2. Tam, S. K. T., &amp; Cheung, C. F. (under review). Gamification as a Proactive Approach: A Study of Elderly Failure-Induced Abandonment in Gamified Fall Risk Assessment. Journal of Information and Knowledge Management, manuscript JIKMS2602466, submitted 9 September 2026. Companion to Chapter 5 (Stage 2). Candidate's contribution: conception, game design and deployment, data compilation, analysis and drafting; the co-author supervised the study and reviewed the manuscript. The manuscript's title retains the word 'elderly'; the thesis uses 'older adults' for the same populations.</w:t>
      </w:r>
    </w:p>
    <w:p w14:paraId="33F4A869" w14:textId="77777777" w:rsidR="0062437E" w:rsidRDefault="00000000">
      <w:pPr>
        <w:jc w:val="both"/>
      </w:pPr>
      <w:r>
        <w:t>3. Tam, S. K. T., &amp; Cheung, C. F. (in preparation). Stage-3A decoupling study manuscript, prepared in JMIR format (working revision R20, 2 October 2026); not submitted, and subject to the supervisor's approval. Companion to Chapter 6. Candidate's contribution: conception, build, distribution arrangements, compilation, analysis and drafting.</w:t>
      </w:r>
    </w:p>
    <w:p w14:paraId="33F4A869" w14:textId="77777777" w:rsidR="0062437E" w:rsidRDefault="00000000">
      <w:pPr>
        <w:jc w:val="both"/>
      </w:pPr>
      <w:r>
        <w:t>The Stage-3B component study (Appendix I) and the expert consultations (Appendix H) are internal records of the programme and are not listed as outputs.</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twenty distributors and the Hong Kong networks and groups through which Stage 3 was recruited,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and Professor Willoughby, whose 2024 study with my supervisor, Professor Cheung,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Publications and Outputs Arising from the Programme</w:t>
        <w:tab/>
        <w:t>v</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vi</w:t>
      </w:r>
    </w:p>
    <w:p>
      <w:pPr>
        <w:pStyle w:val="TOC1"/>
        <w:keepNext w:val="0"/>
        <w:keepLines/>
        <w:tabs>
          <w:tab w:pos="8496" w:val="right" w:leader="dot"/>
        </w:tabs>
        <w:spacing w:before="0" w:after="80" w:line="276" w:lineRule="auto"/>
        <w:ind w:right="374"/>
      </w:pPr>
      <w:r>
        <w:rPr>
          <w:rFonts w:ascii="Times New Roman" w:hAnsi="Times New Roman"/>
          <w:sz w:val="22"/>
        </w:rPr>
        <w:t>List of Figures</w:t>
        <w:tab/>
        <w:t>?</w:t>
      </w:r>
    </w:p>
    <w:p>
      <w:pPr>
        <w:pStyle w:val="TOC1"/>
        <w:keepNext w:val="0"/>
        <w:keepLines/>
        <w:tabs>
          <w:tab w:pos="8496" w:val="right" w:leader="dot"/>
        </w:tabs>
        <w:spacing w:before="0" w:after="80" w:line="276" w:lineRule="auto"/>
        <w:ind w:right="374"/>
      </w:pPr>
      <w:r>
        <w:rPr>
          <w:rFonts w:ascii="Times New Roman" w:hAnsi="Times New Roman"/>
          <w:sz w:val="22"/>
        </w:rPr>
        <w:t>List of Tables</w:t>
        <w:tab/>
        <w:t>?</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xv</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The Empty Station as a Service-Design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5</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8</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9</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10</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11</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12</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13</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14</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14</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15</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15</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15</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16</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16</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16</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17</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17</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18</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18</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19</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19</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20</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20</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20</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21</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21</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22</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23</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23</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24</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24</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24</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24</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26</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26</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27</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28</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29</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29</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29</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29</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30</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30</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38</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38</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38</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43</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46</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49</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51</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53</w:t>
      </w:r>
    </w:p>
    <w:p>
      <w:pPr>
        <w:pStyle w:val="TOC2"/>
        <w:keepNext w:val="0"/>
        <w:keepLines/>
        <w:tabs>
          <w:tab w:pos="8496" w:val="right" w:leader="dot"/>
        </w:tabs>
        <w:spacing w:before="0" w:after="80" w:line="276" w:lineRule="auto"/>
        <w:ind w:right="374"/>
      </w:pPr>
      <w:r>
        <w:rPr>
          <w:rFonts w:ascii="Times New Roman" w:hAnsi="Times New Roman"/>
          <w:sz w:val="22"/>
        </w:rPr>
        <w:t>4.1 Purpose</w:t>
        <w:tab/>
        <w:t>53</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53</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57</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59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60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61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61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62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62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64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64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65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65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69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69</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70</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70</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73</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75</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76</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76</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77</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The Claude Code-Assisted Workflow</w:t>
        <w:tab/>
        <w:t>78</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80</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82</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83</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90</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93</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96</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97</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97</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100</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100</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100</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101</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102</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106</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110</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111</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111</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113</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114</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115</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115</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116</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117</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117</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118</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118</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120</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123</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123</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123</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124</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124</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127</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128</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129</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131</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132</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132</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(proposed)</w:t>
        <w:tab/>
        <w:t>132</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133</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133</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133</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133</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134</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135</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135</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143</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144</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144</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146</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146</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146</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147</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147</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147</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147</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148</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148</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148</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149</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150</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150</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151</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152</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153</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153</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154</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154</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154</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155</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155</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161</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163</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163</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163</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165</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171</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172</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175</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175</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176</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177</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178</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179</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180</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181</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183</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184</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184</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185</w:t>
      </w:r>
    </w:p>
    <w:p>
      <w:pPr>
        <w:pStyle w:val="TOC1"/>
        <w:keepNext w:val="0"/>
        <w:keepLines/>
        <w:tabs>
          <w:tab w:pos="8496" w:val="right" w:leader="dot"/>
        </w:tabs>
        <w:spacing w:before="0" w:after="80" w:line="276" w:lineRule="auto"/>
        <w:ind w:right="374"/>
      </w:pPr>
      <w:r>
        <w:rPr>
          <w:rFonts w:ascii="Times New Roman" w:hAnsi="Times New Roman"/>
          <w:sz w:val="22"/>
        </w:rPr>
        <w:t>References</w:t>
        <w:tab/>
        <w:t>188</w:t>
      </w:r>
    </w:p>
    <w:p>
      <w:pPr>
        <w:pStyle w:val="TOC1"/>
        <w:keepNext w:val="0"/>
        <w:keepLines/>
        <w:tabs>
          <w:tab w:pos="8496" w:val="right" w:leader="dot"/>
        </w:tabs>
        <w:spacing w:before="0" w:after="80" w:line="276" w:lineRule="auto"/>
        <w:ind w:right="374"/>
      </w:pPr>
      <w:r>
        <w:rPr>
          <w:rFonts w:ascii="Times New Roman" w:hAnsi="Times New Roman"/>
          <w:sz w:val="22"/>
        </w:rPr>
        <w:t>Appendices</w:t>
        <w:tab/>
        <w:t>196</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197</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197</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198</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199</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200</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202</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202</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203</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204</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204</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205</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205</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206</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208</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215</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30 September 2026 Cut-off</w:t>
        <w:tab/>
        <w:t>219</w:t>
      </w:r>
    </w:p>
    <w:p>
      <w:pPr>
        <w:pStyle w:val="TOC3"/>
        <w:keepNext w:val="0"/>
        <w:keepLines/>
        <w:tabs>
          <w:tab w:pos="8496" w:val="right" w:leader="dot"/>
        </w:tabs>
        <w:spacing w:before="0" w:after="80" w:line="276" w:lineRule="auto"/>
        <w:ind w:right="374"/>
      </w:pPr>
      <w:r>
        <w:rPr>
          <w:rFonts w:ascii="Times New Roman" w:hAnsi="Times New Roman"/>
          <w:sz w:val="22"/>
        </w:rPr>
        <w:t>I.1 · Status and Scope</w:t>
        <w:tab/>
        <w:t>219</w:t>
      </w:r>
    </w:p>
    <w:p>
      <w:pPr>
        <w:pStyle w:val="TOC3"/>
        <w:keepNext w:val="0"/>
        <w:keepLines/>
        <w:tabs>
          <w:tab w:pos="8496" w:val="right" w:leader="dot"/>
        </w:tabs>
        <w:spacing w:before="0" w:after="80" w:line="276" w:lineRule="auto"/>
        <w:ind w:right="374"/>
      </w:pPr>
      <w:r>
        <w:rPr>
          <w:rFonts w:ascii="Times New Roman" w:hAnsi="Times New Roman"/>
          <w:sz w:val="22"/>
        </w:rPr>
        <w:t>I.2 · Design as Pre-specified (Repository-dated 8–9 August 2026)</w:t>
        <w:tab/>
        <w:t>221</w:t>
      </w:r>
    </w:p>
    <w:p>
      <w:pPr>
        <w:pStyle w:val="TOC3"/>
        <w:keepNext w:val="0"/>
        <w:keepLines/>
        <w:tabs>
          <w:tab w:pos="8496" w:val="right" w:leader="dot"/>
        </w:tabs>
        <w:spacing w:before="0" w:after="80" w:line="276" w:lineRule="auto"/>
        <w:ind w:right="374"/>
      </w:pPr>
      <w:r>
        <w:rPr>
          <w:rFonts w:ascii="Times New Roman" w:hAnsi="Times New Roman"/>
          <w:sz w:val="22"/>
        </w:rPr>
        <w:t>I.3 · Build and Distribution Lineage</w:t>
        <w:tab/>
        <w:t>223</w:t>
      </w:r>
    </w:p>
    <w:p>
      <w:pPr>
        <w:pStyle w:val="TOC3"/>
        <w:keepNext w:val="0"/>
        <w:keepLines/>
        <w:tabs>
          <w:tab w:pos="8496" w:val="right" w:leader="dot"/>
        </w:tabs>
        <w:spacing w:before="0" w:after="80" w:line="276" w:lineRule="auto"/>
        <w:ind w:right="374"/>
      </w:pPr>
      <w:r>
        <w:rPr>
          <w:rFonts w:ascii="Times New Roman" w:hAnsi="Times New Roman"/>
          <w:sz w:val="22"/>
        </w:rPr>
        <w:t>I.4 · Returns on Record</w:t>
        <w:tab/>
        <w:t>226</w:t>
      </w:r>
    </w:p>
    <w:p>
      <w:pPr>
        <w:pStyle w:val="TOC3"/>
        <w:keepNext w:val="0"/>
        <w:keepLines/>
        <w:tabs>
          <w:tab w:pos="8496" w:val="right" w:leader="dot"/>
        </w:tabs>
        <w:spacing w:before="0" w:after="80" w:line="276" w:lineRule="auto"/>
        <w:ind w:right="374"/>
      </w:pPr>
      <w:r>
        <w:rPr>
          <w:rFonts w:ascii="Times New Roman" w:hAnsi="Times New Roman"/>
          <w:sz w:val="22"/>
        </w:rPr>
        <w:t>I.5 · Stage-3B Pro v4.1 Researcher Self-Test: Batch 01 and Two Later-Received Exports (19–20 September 2026)</w:t>
        <w:tab/>
        <w:t>230</w:t>
      </w:r>
    </w:p>
    <w:p>
      <w:pPr>
        <w:pStyle w:val="TOC3"/>
        <w:keepNext w:val="0"/>
        <w:keepLines/>
        <w:tabs>
          <w:tab w:pos="8496" w:val="right" w:leader="dot"/>
        </w:tabs>
        <w:spacing w:before="0" w:after="80" w:line="276" w:lineRule="auto"/>
        <w:ind w:right="374"/>
      </w:pPr>
      <w:r>
        <w:rPr>
          <w:rFonts w:ascii="Times New Roman" w:hAnsi="Times New Roman"/>
          <w:sz w:val="22"/>
        </w:rPr>
        <w:t>I.6 · Why the Learning Measurement Was Not Articulated to Adaptive Learning, and What a Later Study Needs</w:t>
        <w:tab/>
        <w:t>238</w:t>
      </w:r>
    </w:p>
    <w:p>
      <w:pPr>
        <w:pStyle w:val="TOC3"/>
        <w:keepNext w:val="0"/>
        <w:keepLines/>
        <w:tabs>
          <w:tab w:pos="8496" w:val="right" w:leader="dot"/>
        </w:tabs>
        <w:spacing w:before="0" w:after="80" w:line="276" w:lineRule="auto"/>
        <w:ind w:right="374"/>
      </w:pPr>
      <w:r>
        <w:rPr>
          <w:rFonts w:ascii="Times New Roman" w:hAnsi="Times New Roman"/>
          <w:sz w:val="22"/>
        </w:rPr>
        <w:t>I.7 · Ethics, Scope and Outstanding Author Records</w:t>
        <w:tab/>
        <w:t>240</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Figure 2.1. The five-part literature-to-design synthesis: conceptual rationale for gamification, continuous improvement and innovation enhancement</w:t>
        <w:tab/>
        <w:t>37</w:t>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 provides a non-equivalent-cohort decoupling comparison</w:t>
        <w:tab/>
        <w:t>44</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55</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56</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66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71</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w:t>
        <w:tab/>
        <w:t>72</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 (screenshots from the programme's archived successor build in the same design lineage as the Stage-2 deployment, not from the deployed Stage-2 build)</w:t>
        <w:tab/>
        <w:t>73</w:t>
      </w:r>
    </w:p>
    <w:p>
      <w:pPr>
        <w:pStyle w:val="TOC1"/>
        <w:keepNext w:val="0"/>
        <w:keepLines/>
        <w:tabs>
          <w:tab w:pos="8496" w:val="right" w:leader="dot"/>
        </w:tabs>
        <w:spacing w:before="0" w:after="80" w:line="276" w:lineRule="auto"/>
        <w:ind w:right="374"/>
      </w:pPr>
      <w:r>
        <w:rPr>
          <w:rFonts w:ascii="Times New Roman" w:hAnsi="Times New Roman"/>
          <w:sz w:val="22"/>
        </w:rPr>
        <w:t>Figure 5.2. Five-layer architecture of the gamified FRA system as specified</w:t>
        <w:tab/>
        <w:t>74</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81</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(standard-mode baseline to final play; provenance in §5.5) for the Stage-2 cohort (N = 30), by engagement group</w:t>
        <w:tab/>
        <w:t>89</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tab/>
        <w:t>89</w:t>
      </w:r>
    </w:p>
    <w:p>
      <w:pPr>
        <w:pStyle w:val="TOC1"/>
        <w:keepNext w:val="0"/>
        <w:keepLines/>
        <w:tabs>
          <w:tab w:pos="8496" w:val="right" w:leader="dot"/>
        </w:tabs>
        <w:spacing w:before="0" w:after="80" w:line="276" w:lineRule="auto"/>
        <w:ind w:right="374"/>
      </w:pPr>
      <w:r>
        <w:rPr>
          <w:rFonts w:ascii="Times New Roman" w:hAnsi="Times New Roman"/>
          <w:sz w:val="22"/>
        </w:rPr>
        <w:t>Figure 5.6. Observed non-return and candidate explanatory pathways</w:t>
        <w:tab/>
        <w:t>97</w:t>
      </w:r>
    </w:p>
    <w:p>
      <w:pPr>
        <w:pStyle w:val="TOC1"/>
        <w:keepNext w:val="0"/>
        <w:keepLines/>
        <w:tabs>
          <w:tab w:pos="8496" w:val="right" w:leader="dot"/>
        </w:tabs>
        <w:spacing w:before="0" w:after="80" w:line="276" w:lineRule="auto"/>
        <w:ind w:right="374"/>
      </w:pPr>
      <w:r>
        <w:rPr>
          <w:rFonts w:ascii="Times New Roman" w:hAnsi="Times New Roman"/>
          <w:sz w:val="22"/>
        </w:rPr>
        <w:t>Figure 6.1. Stage-3 continued or resumed play and observed non-return by the July 2026 compilation, by age band (N = 120)</w:t>
        <w:tab/>
        <w:t>109</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110</w:t>
      </w:r>
    </w:p>
    <w:p>
      <w:pPr>
        <w:pStyle w:val="TOC1"/>
        <w:keepNext w:val="0"/>
        <w:keepLines/>
        <w:tabs>
          <w:tab w:pos="8496" w:val="right" w:leader="dot"/>
        </w:tabs>
        <w:spacing w:before="0" w:after="80" w:line="276" w:lineRule="auto"/>
        <w:ind w:right="374"/>
      </w:pPr>
      <w:r>
        <w:rPr>
          <w:rFonts w:ascii="Times New Roman" w:hAnsi="Times New Roman"/>
          <w:sz w:val="22"/>
        </w:rPr>
        <w:t>Figure 6.3. Continued or resumed play and regular-use intention by age band</w:t>
        <w:tab/>
        <w:t>113</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129</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138</w:t>
      </w:r>
    </w:p>
    <w:p>
      <w:pPr>
        <w:pStyle w:val="TOC1"/>
        <w:keepNext w:val="0"/>
        <w:keepLines/>
        <w:tabs>
          <w:tab w:pos="8496" w:val="right" w:leader="dot"/>
        </w:tabs>
        <w:spacing w:before="0" w:after="80" w:line="276" w:lineRule="auto"/>
        <w:ind w:right="374"/>
      </w:pPr>
      <w:r>
        <w:rPr>
          <w:rFonts w:ascii="Times New Roman" w:hAnsi="Times New Roman"/>
          <w:sz w:val="22"/>
        </w:rPr>
        <w:t>Figure 7.3. The gerontechnology design space as documented in this programme and the cited material</w:t>
        <w:tab/>
        <w:t>142</w:t>
      </w:r>
    </w:p>
    <w:p>
      <w:pPr>
        <w:pStyle w:val="TOC1"/>
        <w:keepNext w:val="0"/>
        <w:keepLines/>
        <w:tabs>
          <w:tab w:pos="8496" w:val="right" w:leader="dot"/>
        </w:tabs>
        <w:spacing w:before="0" w:after="80" w:line="276" w:lineRule="auto"/>
        <w:ind w:right="374"/>
      </w:pPr>
      <w:r>
        <w:rPr>
          <w:rFonts w:ascii="Times New Roman" w:hAnsi="Times New Roman"/>
          <w:sz w:val="22"/>
        </w:rPr>
        <w:t>Figure 9.1. Proposed person-conditioned adaptive loop</w:t>
        <w:tab/>
        <w:t>183</w:t>
      </w:r>
    </w:p>
    <w:p>
      <w:pPr>
        <w:pStyle w:val="TOC1"/>
        <w:keepNext w:val="0"/>
        <w:keepLines/>
        <w:tabs>
          <w:tab w:pos="8496" w:val="right" w:leader="dot"/>
        </w:tabs>
        <w:spacing w:before="0" w:after="80" w:line="276" w:lineRule="auto"/>
        <w:ind w:right="374"/>
      </w:pPr>
      <w:r>
        <w:rPr>
          <w:rFonts w:ascii="Times New Roman" w:hAnsi="Times New Roman"/>
          <w:sz w:val="22"/>
        </w:rPr>
        <w:t>Figure B.1. Distribution of provisional FIAS composite scores across all 30 participants</w:t>
        <w:tab/>
        <w:t>198</w:t>
      </w:r>
    </w:p>
    <w:p>
      <w:pPr>
        <w:pStyle w:val="TOC1"/>
        <w:keepNext w:val="0"/>
        <w:keepLines/>
        <w:tabs>
          <w:tab w:pos="8496" w:val="right" w:leader="dot"/>
        </w:tabs>
        <w:spacing w:before="0" w:after="80" w:line="276" w:lineRule="auto"/>
        <w:ind w:right="374"/>
      </w:pPr>
      <w:r>
        <w:rPr>
          <w:rFonts w:ascii="Times New Roman" w:hAnsi="Times New Roman"/>
          <w:sz w:val="22"/>
        </w:rPr>
        <w:t>Figure I.1. Repository-dated events for Stage 3B</w:t>
        <w:tab/>
        <w:t>226</w:t>
      </w:r>
    </w:p>
    <w:p>
      <w:pPr>
        <w:pStyle w:val="TOC1"/>
        <w:keepNext w:val="0"/>
        <w:keepLines/>
        <w:tabs>
          <w:tab w:pos="8496" w:val="right" w:leader="dot"/>
        </w:tabs>
        <w:spacing w:before="0" w:after="80" w:line="276" w:lineRule="auto"/>
        <w:ind w:right="374"/>
      </w:pPr>
      <w:r>
        <w:rPr>
          <w:rFonts w:ascii="Times New Roman" w:hAnsi="Times New Roman"/>
          <w:sz w:val="22"/>
        </w:rPr>
        <w:t>Figure I.2. Pace multiplier applied to successive practice runs after each feedback → proposal → decision chain (twelve chains, three codes, visit 1)</w:t>
        <w:tab/>
        <w:t>235</w:t>
      </w:r>
    </w:p>
    <w:p>
      <w:pPr>
        <w:pStyle w:val="TOC1"/>
        <w:keepNext w:val="0"/>
        <w:keepLines/>
        <w:tabs>
          <w:tab w:pos="8496" w:val="right" w:leader="dot"/>
        </w:tabs>
        <w:spacing w:before="0" w:after="80" w:line="276" w:lineRule="auto"/>
        <w:ind w:right="374"/>
      </w:pPr>
      <w:r>
        <w:rPr>
          <w:rFonts w:ascii="Times New Roman" w:hAnsi="Times New Roman"/>
          <w:sz w:val="22"/>
        </w:rPr>
        <w:t>Figure I.3. Obstacle-clearance rate on the opening and closing fixed-course checks, Pro record (six pairs, five stored codes, including PFWU9V received on 29 September 2026; pace ×0.85, 20 obstacles, 30 s)</w:t>
        <w:tab/>
        <w:t>236</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21</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32</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35</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42</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programme order, 2023 – October 2026, with the chapter that reports each; the Stage-3B row is stated at the 30 September 2026 cut-off of that record</w:t>
        <w:tab/>
        <w:t>44</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58</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older-adult FRA users</w:t>
        <w:tab/>
        <w:t>59</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61</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FRA COP signal is integrated into gameplay (extract; full specification in Game_States_and_Parameters.xlsx)</w:t>
        <w:tab/>
        <w:t>67</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76</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86</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(the Stage-1 figure is an aggregate record whose per-respondent file is not archived, Table 4.1 and Appendix G item G.1), mapped onto the game's technical characteristics</w:t>
        <w:tab/>
        <w:t>91</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106</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107</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108</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116</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118</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126</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128</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131</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143</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programme order, 2023 – October 2026</w:t>
        <w:tab/>
        <w:t>166</w:t>
      </w:r>
    </w:p>
    <w:p>
      <w:pPr>
        <w:pStyle w:val="TOC1"/>
        <w:keepNext w:val="0"/>
        <w:keepLines/>
        <w:tabs>
          <w:tab w:pos="8496" w:val="right" w:leader="dot"/>
        </w:tabs>
        <w:spacing w:before="0" w:after="80" w:line="276" w:lineRule="auto"/>
        <w:ind w:right="374"/>
      </w:pPr>
      <w:r>
        <w:rPr>
          <w:rFonts w:ascii="Times New Roman" w:hAnsi="Times New Roman"/>
          <w:sz w:val="22"/>
        </w:rPr>
        <w:t>Table 9.2. The sequence from empirical observations to candidate explanations and a proposed engineering response</w:t>
        <w:tab/>
        <w:t>172</w:t>
      </w:r>
    </w:p>
    <w:p>
      <w:pPr>
        <w:pStyle w:val="TOC1"/>
        <w:keepNext w:val="0"/>
        <w:keepLines/>
        <w:tabs>
          <w:tab w:pos="8496" w:val="right" w:leader="dot"/>
        </w:tabs>
        <w:spacing w:before="0" w:after="80" w:line="276" w:lineRule="auto"/>
        <w:ind w:right="374"/>
      </w:pPr>
      <w:r>
        <w:rPr>
          <w:rFonts w:ascii="Times New Roman" w:hAnsi="Times New Roman"/>
          <w:sz w:val="22"/>
        </w:rPr>
        <w:t>Table 9.3. Deployed Stage-2 adaptation configuration versus a proposed person-conditioned extension</w:t>
        <w:tab/>
        <w:t>182</w:t>
      </w:r>
    </w:p>
    <w:p>
      <w:pPr>
        <w:pStyle w:val="TOC1"/>
        <w:keepNext w:val="0"/>
        <w:keepLines/>
        <w:tabs>
          <w:tab w:pos="8496" w:val="right" w:leader="dot"/>
        </w:tabs>
        <w:spacing w:before="0" w:after="80" w:line="276" w:lineRule="auto"/>
        <w:ind w:right="374"/>
      </w:pPr>
      <w:r>
        <w:rPr>
          <w:rFonts w:ascii="Times New Roman" w:hAnsi="Times New Roman"/>
          <w:sz w:val="22"/>
        </w:rPr>
        <w:t>Table I.1. Status of the Stage-3B record at the 30 September 2026 cut-off (returns received to 30 September 2026)</w:t>
        <w:tab/>
        <w:t>220</w:t>
      </w:r>
    </w:p>
    <w:p>
      <w:pPr>
        <w:pStyle w:val="TOC1"/>
        <w:keepNext w:val="0"/>
        <w:keepLines/>
        <w:tabs>
          <w:tab w:pos="8496" w:val="right" w:leader="dot"/>
        </w:tabs>
        <w:spacing w:before="0" w:after="80" w:line="276" w:lineRule="auto"/>
        <w:ind w:right="374"/>
      </w:pPr>
      <w:r>
        <w:rPr>
          <w:rFonts w:ascii="Times New Roman" w:hAnsi="Times New Roman"/>
          <w:sz w:val="22"/>
        </w:rPr>
        <w:t>Table I.2. Stage-3B build parameters as coded in the frozen study edition (Alpine3B_STUDY_DEV1_FROZEN_2026-09-15.html; SHA-256 in CHECKSUMS.txt)</w:t>
        <w:tab/>
        <w:t>221</w:t>
      </w:r>
    </w:p>
    <w:p>
      <w:pPr>
        <w:pStyle w:val="TOC1"/>
        <w:keepNext w:val="0"/>
        <w:keepLines/>
        <w:tabs>
          <w:tab w:pos="8496" w:val="right" w:leader="dot"/>
        </w:tabs>
        <w:spacing w:before="0" w:after="80" w:line="276" w:lineRule="auto"/>
        <w:ind w:right="374"/>
      </w:pPr>
      <w:r>
        <w:rPr>
          <w:rFonts w:ascii="Times New Roman" w:hAnsi="Times New Roman"/>
          <w:sz w:val="22"/>
        </w:rPr>
        <w:t>Table I.3. Build and distribution lineage, 8 August – 30 September 2026 (dates UTC from the repository log; exposure only as recorded)</w:t>
        <w:tab/>
        <w:t>224</w:t>
      </w:r>
    </w:p>
    <w:p>
      <w:pPr>
        <w:pStyle w:val="TOC1"/>
        <w:keepNext w:val="0"/>
        <w:keepLines/>
        <w:tabs>
          <w:tab w:pos="8496" w:val="right" w:leader="dot"/>
        </w:tabs>
        <w:spacing w:before="0" w:after="80" w:line="276" w:lineRule="auto"/>
        <w:ind w:right="374"/>
      </w:pPr>
      <w:r>
        <w:rPr>
          <w:rFonts w:ascii="Times New Roman" w:hAnsi="Times New Roman"/>
          <w:sz w:val="22"/>
        </w:rPr>
        <w:t>Table I.4. Stage-3B participant returns on record at the 30 September 2026 cut-off (codes only; no names; no outcome values for excluded returns)</w:t>
        <w:tab/>
        <w:t>228</w:t>
      </w:r>
    </w:p>
    <w:p>
      <w:pPr>
        <w:pStyle w:val="TOC1"/>
        <w:keepNext w:val="0"/>
        <w:keepLines/>
        <w:tabs>
          <w:tab w:pos="8496" w:val="right" w:leader="dot"/>
        </w:tabs>
        <w:spacing w:before="0" w:after="80" w:line="276" w:lineRule="auto"/>
        <w:ind w:right="374"/>
      </w:pPr>
      <w:r>
        <w:rPr>
          <w:rFonts w:ascii="Times New Roman" w:hAnsi="Times New Roman"/>
          <w:sz w:val="22"/>
        </w:rPr>
        <w:t>Table I.5. Batch 01 deduplicated units (as stated in the Batch 01 Research Review of 20 September 2026), with seven-code totals including the two later-received exports (PFWU9V, PXG3R9)</w:t>
        <w:tab/>
        <w:t>232</w:t>
      </w:r>
    </w:p>
    <w:p>
      <w:pPr>
        <w:pStyle w:val="TOC1"/>
        <w:keepNext w:val="0"/>
        <w:keepLines/>
        <w:tabs>
          <w:tab w:pos="8496" w:val="right" w:leader="dot"/>
        </w:tabs>
        <w:spacing w:before="0" w:after="80" w:line="276" w:lineRule="auto"/>
        <w:ind w:right="374"/>
      </w:pPr>
      <w:r>
        <w:rPr>
          <w:rFonts w:ascii="Times New Roman" w:hAnsi="Times New Roman"/>
          <w:sz w:val="22"/>
        </w:rPr>
        <w:t>Table I.6. Record-level coverage per stored code (Batch 01 codes as reported; PFWU9V and PXG3R9 from their raw exports)</w:t>
        <w:tab/>
        <w:t>232</w:t>
      </w:r>
    </w:p>
    <w:p>
      <w:pPr>
        <w:pStyle w:val="TOC1"/>
        <w:keepNext w:val="0"/>
        <w:keepLines/>
        <w:tabs>
          <w:tab w:pos="8496" w:val="right" w:leader="dot"/>
        </w:tabs>
        <w:spacing w:before="0" w:after="80" w:line="276" w:lineRule="auto"/>
        <w:ind w:right="374"/>
      </w:pPr>
      <w:r>
        <w:rPr>
          <w:rFonts w:ascii="Times New Roman" w:hAnsi="Times New Roman"/>
          <w:sz w:val="22"/>
        </w:rPr>
        <w:t>Table I.7. Visit-by-visit routes (W = warm-up; Pre/Post = opening/closing fixed-course check; P = practice)</w:t>
        <w:tab/>
        <w:t>233</w:t>
      </w:r>
    </w:p>
    <w:p>
      <w:pPr>
        <w:pStyle w:val="TOC1"/>
        <w:keepNext w:val="0"/>
        <w:keepLines/>
        <w:tabs>
          <w:tab w:pos="8496" w:val="right" w:leader="dot"/>
        </w:tabs>
        <w:spacing w:before="0" w:after="80" w:line="276" w:lineRule="auto"/>
        <w:ind w:right="374"/>
      </w:pPr>
      <w:r>
        <w:rPr>
          <w:rFonts w:ascii="Times New Roman" w:hAnsi="Times New Roman"/>
          <w:sz w:val="22"/>
        </w:rPr>
        <w:t>Table I.8. Decision audit: the twelve feedback → proposal → applied-settings chains (three stored codes; transition numbers are exported Session_No values, which include warm-ups and checks; pace values are multipliers)</w:t>
        <w:tab/>
        <w:t>234</w:t>
      </w:r>
    </w:p>
    <w:p>
      <w:pPr>
        <w:pStyle w:val="TOC1"/>
        <w:keepNext w:val="0"/>
        <w:keepLines/>
        <w:tabs>
          <w:tab w:pos="8496" w:val="right" w:leader="dot"/>
        </w:tabs>
        <w:spacing w:before="0" w:after="80" w:line="276" w:lineRule="auto"/>
        <w:ind w:right="374"/>
      </w:pPr>
      <w:r>
        <w:rPr>
          <w:rFonts w:ascii="Times New Roman" w:hAnsi="Times New Roman"/>
          <w:sz w:val="22"/>
        </w:rPr>
        <w:t>Table I.9. Paired fixed-course checks (opening → closing, within visit; pace ×0.85, 20 obstacles, 30-s planned duration, same input mode within each pair; course forms differ within each pair)</w:t>
        <w:tab/>
        <w:t>235</w:t>
      </w:r>
    </w:p>
    <w:p>
      <w:pPr>
        <w:pStyle w:val="TOC1"/>
        <w:keepNext w:val="0"/>
        <w:keepLines/>
        <w:tabs>
          <w:tab w:pos="8496" w:val="right" w:leader="dot"/>
        </w:tabs>
        <w:spacing w:before="0" w:after="80" w:line="276" w:lineRule="auto"/>
        <w:ind w:right="374"/>
      </w:pPr>
      <w:r>
        <w:rPr>
          <w:rFonts w:ascii="Times New Roman" w:hAnsi="Times New Roman"/>
          <w:sz w:val="22"/>
        </w:rPr>
        <w:t>Table I.10. First-visit questionnaire, one record per stored code, seven codes (five-point scale, strongly disagree to strongly agree; as-administered wording from the deposited Pro v4.1 HTML)</w:t>
        <w:tab/>
        <w:t>236</w:t>
      </w:r>
    </w:p>
    <w:p>
      <w:pPr>
        <w:pStyle w:val="TOC1"/>
        <w:keepNext w:val="0"/>
        <w:keepLines/>
        <w:tabs>
          <w:tab w:pos="8496" w:val="right" w:leader="dot"/>
        </w:tabs>
        <w:spacing w:before="0" w:after="80" w:line="276" w:lineRule="auto"/>
        <w:ind w:right="374"/>
      </w:pPr>
      <w:r>
        <w:rPr>
          <w:rFonts w:ascii="Times New Roman" w:hAnsi="Times New Roman"/>
          <w:sz w:val="22"/>
        </w:rPr>
        <w:t>Table I.11. Exploratory paired statistics reproduced from the Learning Measurement addendum (conditional calculations; assumptions not verified; not confirmatory evidence of an effect or of its absence)</w:t>
        <w:tab/>
        <w:t>237</w:t>
      </w:r>
    </w:p>
    <w:p>
      <w:pPr>
        <w:pStyle w:val="TOC1"/>
        <w:keepNext w:val="0"/>
        <w:keepLines/>
        <w:tabs>
          <w:tab w:pos="8496" w:val="right" w:leader="dot"/>
        </w:tabs>
        <w:spacing w:before="0" w:after="80" w:line="276" w:lineRule="auto"/>
        <w:ind w:right="374"/>
      </w:pPr>
      <w:r>
        <w:rPr>
          <w:rFonts w:ascii="Times New Roman" w:hAnsi="Times New Roman"/>
          <w:sz w:val="22"/>
        </w:rPr>
        <w:t>Table I.12. Gap between the recorded measurement and the adaptive-learning construct</w:t>
        <w:tab/>
        <w:t>239</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BIA</w:t>
            </w:r>
          </w:p>
        </w:tc>
        <w:tc>
          <w:tcPr>
            <w:tcW w:w="6181" w:type="dxa"/>
          </w:tcPr>
          <w:p>
            <w:pPr>
              <w:pStyle w:val="Normal"/>
            </w:pPr>
            <w:r>
              <w:rPr>
                <w:sz w:val="20"/>
                <w:szCs w:val="22"/>
                <w:lang w:val="en-US" w:eastAsia="en-US" w:bidi="ar-SA"/>
                <w:rFonts w:ascii="Times New Roman" w:hAnsi="Times New Roman" w:eastAsia="Times New Roman" w:cs="Times New Roman"/>
              </w:rPr>
              <w:t>Bioelectrical-impedance analysis station (InBody BIA station, optionally linked to the FRA510S; §4.1A)</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F0–F4</w:t>
            </w:r>
          </w:p>
        </w:tc>
        <w:tc>
          <w:tcPr>
            <w:tcW w:w="6181" w:type="dxa"/>
          </w:tcPr>
          <w:p>
            <w:pPr>
              <w:pStyle w:val="Normal"/>
            </w:pPr>
            <w:r>
              <w:rPr>
                <w:sz w:val="20"/>
                <w:szCs w:val="22"/>
                <w:lang w:val="en-US" w:eastAsia="en-US" w:bidi="ar-SA"/>
                <w:rFonts w:ascii="Times New Roman" w:hAnsi="Times New Roman" w:eastAsia="Times New Roman" w:cs="Times New Roman"/>
              </w:rPr>
              <w:t>Stage-2 FIAS coding categories (Appendix B); F4 = observed non-return under the study definition (the F4 cluster, §5.6)</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HSEARS</w:t>
            </w:r>
          </w:p>
        </w:tc>
        <w:tc>
          <w:tcPr>
            <w:tcW w:w="6181" w:type="dxa"/>
          </w:tcPr>
          <w:p>
            <w:pPr>
              <w:pStyle w:val="Normal"/>
            </w:pPr>
            <w:r>
              <w:rPr>
                <w:sz w:val="20"/>
                <w:szCs w:val="22"/>
                <w:lang w:val="en-US" w:eastAsia="en-US" w:bidi="ar-SA"/>
                <w:rFonts w:ascii="Times New Roman" w:hAnsi="Times New Roman" w:eastAsia="Times New Roman" w:cs="Times New Roman"/>
              </w:rPr>
              <w:t>PolyU Human Subjects Ethics Application Review System (the ethics approval reference, §3.4)</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M0 / M1 / M2</w:t>
            </w:r>
          </w:p>
        </w:tc>
        <w:tc>
          <w:tcPr>
            <w:tcW w:w="6181" w:type="dxa"/>
          </w:tcPr>
          <w:p>
            <w:pPr>
              <w:pStyle w:val="Normal"/>
            </w:pPr>
            <w:r>
              <w:rPr>
                <w:sz w:val="20"/>
                <w:szCs w:val="22"/>
                <w:lang w:val="en-US" w:eastAsia="en-US" w:bidi="ar-SA"/>
                <w:rFonts w:ascii="Times New Roman" w:hAnsi="Times New Roman" w:eastAsia="Times New Roman" w:cs="Times New Roman"/>
              </w:rPr>
              <w:t>Nested models of the proposed quantitative comparison (Table 6.4; §6.10.1): demographic baseline, STAM-only, STAM with FIAS operators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NASSS</w:t>
            </w:r>
          </w:p>
        </w:tc>
        <w:tc>
          <w:tcPr>
            <w:tcW w:w="6181" w:type="dxa"/>
          </w:tcPr>
          <w:p>
            <w:pPr>
              <w:pStyle w:val="Normal"/>
            </w:pPr>
            <w:r>
              <w:rPr>
                <w:sz w:val="20"/>
                <w:szCs w:val="22"/>
                <w:lang w:val="en-US" w:eastAsia="en-US" w:bidi="ar-SA"/>
                <w:rFonts w:ascii="Times New Roman" w:hAnsi="Times New Roman" w:eastAsia="Times New Roman" w:cs="Times New Roman"/>
              </w:rPr>
              <w:t>Non-adoption, Abandonment, Scale-up, Spread and Sustainability framework (§2.7.2)</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QFD</w:t>
            </w:r>
          </w:p>
        </w:tc>
        <w:tc>
          <w:tcPr>
            <w:tcW w:w="6181" w:type="dxa"/>
          </w:tcPr>
          <w:p>
            <w:pPr>
              <w:pStyle w:val="Normal"/>
            </w:pPr>
            <w:r>
              <w:rPr>
                <w:sz w:val="20"/>
                <w:szCs w:val="22"/>
                <w:lang w:val="en-US" w:eastAsia="en-US" w:bidi="ar-SA"/>
                <w:rFonts w:ascii="Times New Roman" w:hAnsi="Times New Roman" w:eastAsia="Times New Roman" w:cs="Times New Roman"/>
              </w:rPr>
              <w:t>Quality Function Deployment (§5.5A)</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SDT</w:t>
            </w:r>
          </w:p>
        </w:tc>
        <w:tc>
          <w:tcPr>
            <w:tcW w:w="6181" w:type="dxa"/>
          </w:tcPr>
          <w:p>
            <w:pPr>
              <w:pStyle w:val="Normal"/>
            </w:pPr>
            <w:r>
              <w:rPr>
                <w:sz w:val="20"/>
                <w:szCs w:val="22"/>
                <w:lang w:val="en-US" w:eastAsia="en-US" w:bidi="ar-SA"/>
                <w:rFonts w:ascii="Times New Roman" w:hAnsi="Times New Roman" w:eastAsia="Times New Roman" w:cs="Times New Roman"/>
              </w:rPr>
              <w:t>Self-Determination Theory (§2.6.2B)</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By the facility's account to the author,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(This utilisation history and the campaign dates are reported as described to the author by the facility's management and care staff; no facility utilisation record or campaign documentation is archived with this thesis, Appendix G.)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The station's own history sharpens the puzzle. The FRA had been installed roughly twelve years before this research began, and</w:t>
      </w:r>
      <w:r>
        <w:rPr/>
      </w:r>
      <w:r/>
      <w:r>
        <w:rPr/>
      </w:r>
      <w:r/>
      <w:r>
        <w:rPr/>
      </w:r>
      <w:r/>
      <w:r>
        <w:rPr/>
      </w:r>
      <w:r/>
      <w:r>
        <w:rPr/>
      </w:r>
      <w:r>
        <w:t xml:space="preserve"> its decade of near-silence sat oddly beside the platform's standing in its Korean home market, where the system was introduced with an active clinical research base - a community validation study of 289 older adults at a Seoul senior welfare centre (W.-C.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that official projections expect to pass 400 million around 2035 (State Council of the People's Republic of China, 2025). Hong Kong sits further along the curve, with one of the highest life expectancies in the world; official projections anticipate that about one in three Hong Kong residents will be 65 or older by 2046 (Census and Statistics Department, 2023).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aggregate headline records from this survey provide the programme's descriptive problem signature; they are reported and analysed in Chapter 4, which also states their provenance limit: the per-respondent response file is not archived (Appendix G, item G.1), so the conditional figures survive only as rounded aggregate percentages and cannot be reproduced as item-level counts (Table 4.1).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and level progression in the skiing game under the coupled clinical condition, with an adaptive-difficulty layer specified at Layer 2 (operational status per build in Appendix G, item G.0A; §5.3.5);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most participants received it by e-mail and played on their own computers, using arrow keys or a foot-pad sensor where one was available, while some older participants played on an iPad on which the build had been pre-installed, with an external keyboard (§6.4). The skiing mechanic, session structure and five-attempt rule were retained in the ported build; the pressure-panel apparatus, the clinical setting and in-person supervision were not, and in-run difficulty adaptation operated through the build's built-in rule agent rather than the large-language-model layer specified for Stage 2 (Appendix E.1; operational status per build in Appendix G, item G.0A).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return by age band, positive-coded responses to the coordination item,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30 September 2026, inside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interview protocol for the F4 category (observed non-return under the Stage-2 coding scheme; Appendix B), which was designed but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HTML build of the game, mostly e-mailed and played on their own computers and, for some older participants, pre-installed on an iPad (§6.4). The action-research cycle therefore involved continuity of problem setting and design learning, not a single repeated cohort across all three stages. The principal theoretical revisions were the renaming and re-specification of the initial FIDS conjecture in the light of the retrospective Stage-1 reports (Chapter 4, §4.6), with its temporal and mechanistic questions then examined prospectively in Stage 2,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continued or resumed play with stated regular-use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Figure 1.1. Title-aligned structure of the thesis."/>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mostly on their own computers and, for some older participants, on a pre-installed iPad with a research assistant beside them (§6.4).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30 September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at its stated cut-off of 30 September 2026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share a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survey, reported in Chapter 4, supplies the corresponding population-level signature: it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are reported in Chapter 4 (Table 4.1) as aggregate percentages; the per-respondent response file is not archived (Appendix G, item G.1), so the conditional figures cannot be reproduced as item-level counts. These labels require item-level reconciliation because the reproduced survey item asks whether the first result was understood and accepted rather than directly measuring task failure. The favourable physical-access and perceived-benefit estimates that appeared in working tables from the survey period are not reported as survey results, because they cannot be traced to items in the archived six-item instrument (Appendix A; §4.2).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rests on the six-member F4 cluster, all of whom played a single session and none of whom returned during the observation window; the divergence itself concerns the three of the six who recorded a positive index change, one of whom is the record that failed verification (S2-P015; §5.5, §5.6). Positive single-session score change is also not equivalent to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reported evidence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showed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80 per cent and 40 per cent success thresholds specified for the Stage-2 difficulty system (§5.3.5; operational status per build in Appendix G, item G.0A)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(SDT)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and Appendix I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arrow keys or, where available, a foot-pad sensor, or, for some older participants, on a pre-installed iPad with an external keyboard (§6.4),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Hand-recorded play record (completed game cycles and pre/post recorded FRA index; the software's electronic session telemetry was not kept, §8.9),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descr="Figure 2.1. The five-part literature-to-design synthesis: conceptual rationale for gamification, continuous improvement and innovation enhancement."/>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without required supervision, mostly on participants' own computers with arrow keys or a foot-pad sensor where one was available, and for some older participants on a pre-installed iPad with an external keyboard (§6.4).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consent signed 4 August 2026;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consent completed 10 August 2026);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chronic disease among older adults (4 August 2026, telephone, approximately 30 minutes, Cantonese and English). Each expert gave written consent on a nine-statement form with an explicit identification election: three authorised named attribution and one elected pseudonymity; for two consultations (Expert P, Dr Lau) the signed form post-dates the interview, and both dates are stated here and in the dual-dated records at H.6 and H.8; these consent arrangements are among those on which an itemised institutional determination is not part of the record at 30 September 2026 (§3.4). The researcher's notes are the primary records; each consultation summary is returned to its participant for member checking; Appendix H records the outcome where a response is on file and otherwise states the status factually.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for the Stage-3B record is 30 September 2026, set by the author's dated decision of 2 October 2026 (Appendix G, item G.12) inside the frozen edition's clean-run window, which runs to 15 October 2026; returns received after 30 September 2026 are archived as received and are not entered in this thesis.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difference between continued play and stated intention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30 September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Figure 3.1. Three-stage action-research logic model: Stage 1 supplies the retrospective field signal, Stage 2 examines the original design expectation in deployment, and Stage 3 provides a non-equivalent-cohort decoupling comparison."/>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p>
      <w:pPr>
        <w:pStyle w:val="FigureCaption"/>
        <w:keepNext/>
        <w:keepLines/>
        <w:jc w:val="center"/>
      </w:pPr>
      <w:r>
        <w:t>Table 3.1A. Programme timeline: programme activities in programme order, 2023 – October 2026, with the chapter that reports each; the Stage-3B row is stated at the 30 September 2026 cut-off of that record. The research programme closes in October 2026.</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platform-coupling demonstration</w:t>
            </w:r>
          </w:p>
        </w:tc>
        <w:tc>
          <w:tcPr>
            <w:tcW w:type="dxa" w:w="2584"/>
          </w:tcPr>
          <w:p>
            <w:r>
              <w:t>2023–2024</w:t>
            </w:r>
          </w:p>
        </w:tc>
        <w:tc>
          <w:tcPr>
            <w:tcW w:type="dxa" w:w="1994"/>
          </w:tcPr>
          <w:p>
            <w:r>
              <w:t>Chapter 5 (§5.3.9), Appendix G, item G.10</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main play from late July; two builds in circulation, build per participant not recorded (§6.4);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30 September 2026 cut-off; no results form part of the thesis evidence and the study is not used as the adaptive-learning test</w:t>
            </w:r>
          </w:p>
        </w:tc>
        <w:tc>
          <w:tcPr>
            <w:tcW w:type="dxa" w:w="2584"/>
          </w:tcPr>
          <w:p>
            <w:r>
              <w:rPr/>
              <w:t>August–September 2026, record closed 30 September 2026 (9-August build distributed 10–12 August; 13-August revision not distributed to the August cohort, a copy re-sent 15 September; frozen study edition 15 September; clean-run window to 15 October 2026; record closed 30 September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The Guangzhou stages (Stages 1 and 2) were conducted with reference to the Personal Information Protection Law (PIPL; Standing Committee of the National People's Congress, 2021): all data were pseudonymised at collection, and no participant identifiers were transmitted to third-party AI services. The PIPL is Mainland legislation and is not the governing statute for the Hong Kong Stage-3 and Stage-3B deployments, in which no participant names or e-mail addresses were recorded as data.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30 September 2026 cut-off (§8.8; Appendix I); whether the Stage-3B collection falls within the approved scope requires a determination against the approved protocol or an amendment, and until that determination is on file it is recorded as an open item of the ethics record (Appendix I.7). By the author's account of the application as submitted (held by the author; the repository holds only pre-submission drafts of 5 August 2026, which are not quoted here as the submitted application), it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part of the record at 30 September 2026; a request for such a determination is being made through the Principal Investigator, and the thesis will report the Committee's determination when it is received.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for a project period (16 June 2024 to 30 October 2026) that spans the Stage 1–3 procedures described in the application and in this section; whether the approval covers those procedures and their consent arrangements as conducted, and whether it extends to the Stage-3B collection, are determinations for the Committee that are not part of the record at 30 September 2026 (Appendix I.7).</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completed sheets are not held in the thesis archive and whose administered form and response anchors are therefore not on file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No participant names or e-mail addresses were recorded as data. The returned results and questionnaire responses were compiled into the aggregate summary in July 2026 and were not retained as separate participant records, so the returns that constituted consent are evidenced by the aggregate record and the distributor invitations on file (Appendix G, item G.5), not by individual returned files; this is a further limitation of the consent record. Acceptance of implied consent on this documentation is a matter for the Committee; no determination was on file at 30 September 2026.</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30 September 2026 cut-off in §8.8 and Appendix I. The Chief Supervisor's sign-off of the Stage-3B protocol is not recorded as closed; its status, and what remains an author record, are stated in Appendix I.7. The separate Stage-3B Pro v4.1 researcher self-test batch (Appendix I.5) was played, by the author's account of 30 September 2026, by volunteers and their families or friends on a build whose participant release was disabled; its exports are archived as a development record, not as participant data (item G.13), and that use is recorded within the open ethics-scope item stated above (Appendix I.7).</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difference between continued play and stated intention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difference between continued play and stated intention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30 September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(CPS), submitted to IEEE Xplore (Ei Compendex/Scopus indexing pending).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on the author's account as an industrial practitioner (not documented in the archive),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descr="Figure 4.1A. Fall Risk Assessment (FRA) system architecture as deployed at the Poly Group facility (InBody FRA510S)."/>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descr="Figure 4.1B. The FRA balance station as deployed in the rehabilitation room of the Guangzhou facility (photograph by the author)."/>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platform-to-game coupling used in Stage 2 is demonstrated on a balance platform in Figure 5.1A (development-office demonstration of the prototype, 27 August 2024; §5.3.9).</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a central observation of the programme is that utilisation falls away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together with the requirements of any future training extension, in §8.7.</w:t>
      </w:r>
    </w:p>
    <w:p>
      <w:pPr>
        <w:jc w:val="both"/>
      </w:pPr>
      <w:r>
        <w:t>Three features of the station's operating practice at the facility, recorded here on the author's account from site observation and informal conversations with residents, nursing staff and the management office and not independently documented in the repository,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on the author's account, its rigour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By the facility's account,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Working documents described the interviewed sample as aged 65–88, but no per-respondent Stage-1 response file is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take the full interviewed sample of 200 as their denominator; of the two, only the Item 2 result (ever used / never used) is carried in Table 4.1, and no Item 1 aggregate is reported in this thesis.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Appendix G item G.1, is not archived).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 Aggregate percentages are reported without a bound source record: the per-respondent response file (Appendix G, item G.1) is not archived, so the figures cannot be checked against individual responses and the conditional figures cannot be reproduced as item-level counts.</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records low prior use (39% of the 200 interviewed) despite free, supported provision,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older-adult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older-adult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context-sensitive reading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No vendor-derived engagement figure is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 A further, provenance limitation applies: no per-respondent Stage-1 response file is archived (Appendix G, item G.1), so the conditional figures of Table 4.1 cannot be reproduced as item-level counts and are reported as rounded approximations.</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 No hypothesis carries the label H3; the labels H1, H2, H4 and H5 are retained as they appear in Table 3.1, Table 2.1 and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and as an input to the FRA measurement pathway described in §4.1A. This links gameplay and assessment at the physical interaction while allowing their outputs to be presented differently. Stage 3 retained a skiing-game concept but used a remotely distributed browser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Figure 5.0. Configurations compared across Stages 2 and 3."/>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linked the pressure-panel game with FRA measurement; Stage 3 used a decoupled browser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The integration is mediated by a small set of design parameters that have been frozen in a project-internal data file (Game_States_and_Parameters.xlsx; a project-internal specification record whose deposit status is stated in Appendix G, item G.14).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COP shifts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COP shift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proxy for the COP-derived stability index used by FRA Step 1.</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COP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'after' FRA index reported in §5.5 is computed from this silent pipeline; the 'before' value is a standard-mode assessment taken at first attendance, before game play (§5.5);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older-adult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integration are described in detail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COP-derived game telemetry, the silent FRA pipeline,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running on an InBody pressure panel. The game was developed in Pygame; its build generations engineered from 2025 onward used Anthropic Claude Code as the engineering assistant (§5.3.9), and its automatic difficulty-adjustment subsystem is specified as LangChain orchestration over a large-language-model endpoint (the endpoint and run-time settings belong to the AI prompt-template archive, Appendix G, item G.7, which is not deposited, §8.9).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the panel's spatial and temporal resolution are vendor properties that this thesis does not independently characterise or verify (the COP stream is polled by the game at 60 Hz, §5.2A, and the calibration function is treated as a black-box vendor component, §8.9). The panel was 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No equivalence or validation study was conducted to establish that either role left the other unimpaired. The dual role is recorded as a design property — both functions read the same vendor-calibrated COP stream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descr="Figure 5.1. Schematic illustration of the skiing-game display."/>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represents Centre-of-Pressure control;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descr="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descr="Figure 5.1B. Successor-build illustration of the game artefact across difficulty levels 1–5 (screenshots from the programme's archived successor build in the same design lineage as the Stage-2 deployment, not from the deployed Stage-2 build)."/>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not documented in the retained record — the game software's electronic session telemetry and AI-call records were not kept (§8.9), and no Stage-2 build file is deposited (Appendix G, item G.0A) — so no operational claim is made for it (§5.3.5). Layer 3 (Logging) records cycle counts, COP traces, session-level affect and dropout flags in JSON format. This states logging capability, not retained evidence: Stage-2 play was recorded by hand at the centre and the game software's electronic session telemetry and AI-call records were not kept (§8.9; Appendix G, items G.2 and G.7), so no claim in this thesis rests on them. Layer 4 (Clinical Output) computes pre/post FRA indices from the COP stream for clinician review.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descr="Figure 5.2. Five-layer architecture of the gamified FRA system as specified."/>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as specified. The '80% / 40%' values in the L2 box are the controller's rule thresholds (step up above an 80% success rate, ease off below 40%), not a measured flow state. The solid arrows show the layer stack order only; the dashed line marks the COP-derived data path from L0 to the clinician-side L4 output, and the data movement between layers is described in §5.3.4. The dual-purpose mechanic links Layer 0 (sensor input) and Layer 4 (clinical output) through the gameplay layers without exposing clinical numbers to the user during play.</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no comparison is computed from the returns in that record and no confirmatory analysis is reported, so the thresholds' effects on performance, burden and return remain unexamined. The build-lineage matrix (Appendix G, item G.0A) records that no Stage-2 build file, prompt archive (item G.7) or AI-call log is deposited and that the game software's session telemetry was not kept (§8.9), so the retained record does not document which of the six stages operated live in the deployed Stage-2 build. The loop is reported here as specified and as exercised against synthetic inputs for pipeline verification (§5.3.7, §5.3.9), the state repertoire of §5.3.10 remains proposed, and no operational claim is made for any stage in the deployed build.</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dimensions describe the data structure as specified, and every Stage-2 statistic in §5.5 derives from the analysis file stage2_clean.csv (Appendix G, item G.2), not from Layer-3 output (§8.9).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(COP shift)</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 xml:space="preserve">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the skiing metaphor was judged at design time to be culturally accessible for the Stage-2 cohort, winter sports being a widely televised genre; participants' prior familiarity with winter sports and any need for genre-specific instruction were not recorded, so this is a design rationale rather than an observed finding.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the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jc w:val="both"/>
      </w:pPr>
      <w:r>
        <w:t xml:space="preserve">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w:t>
      </w:r>
      <w:r>
        <w:rPr/>
        <w:t>Per-generation development dates and tooling are stated in the build-lineage matrix (Appendix G, item G.0A); the Claude Code account in this section applies only to the generations engineered from 2025 onward, and no tooling claim is made for any earlier generation beyond the dated 2024 demonstration recorded in item G.10.</w:t>
      </w:r>
    </w:p>
    <w:p>
      <w:pPr>
        <w:pStyle w:val="Normal"/>
        <w:jc w:val="both"/>
      </w:pPr>
      <w:r>
        <w:rPr>
          <w:szCs w:val="22"/>
          <w:lang w:val="en-US" w:eastAsia="en-US" w:bidi="ar-SA"/>
          <w:rFonts w:ascii="Times New Roman" w:hAnsi="Times New Roman" w:eastAsia="Times New Roman" w:cs="Times New Roman"/>
          <w:sz w:val="24"/>
        </w:rPr>
        <w:t>The platform-to-game input coupling was checked on an off-the-shelf scaffold, separately from the study game's own code. In the earliest development phase the balance platform was connected to the open-source Tux Racer skiing game — a 3D title in which a penguin slides belly-down over a snow slope collecting fish — so that weight-shift steering could be shown end-to-end without depending on the study game's code.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checking the input coupling independently of the custom build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by the author's count, between the first runnable prototype and the version deployed in Stage 2; this count is author-reported and is not verified by any repository artifact, since no Stage-2 build file is deposited (Appendix G, item G.0A).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(Layer labels in this subsection follow Figure 5.3 and are local to the proposed state architecture; the frame-congruence check labelled L6 here is a distinct component and is not the staff coaching layer L6 of Table 7.2 and Appendix E.2.)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descr="Figure 5.3. Proposed dynamic game-state architecture for the FRA skiing game."/>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30 September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Data handling followed the PIPL arrangements stated in §3.4: all data were pseudonymised at collection, and no participant identifiers were transmitted to third-party AI services. Consent operated as stated in §3.4 — gatekeeper consent from the facility's operators, nursing team and general manager; incomplete disclosure during the deployment; and written consent obtained retrospectively from the sustained participants at the close of the eight-week cycle; the twenty-one low-engagement participants did not sign research consent and were not interviewed, and their symptom entries are therapist observations compiled by the researcher (§3.4, §5.5). Whether the Layer-2 model endpoint was called in the deployed Stage-2 build is not documented in the retained record (Appendix G, item G.0A; §5.3.5), and no operational claim is made for it; the AI-call records were not retained (§8.9).</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(staff test plays, aged 36 and 53; IDs S2-C001 and S2-C002 in the Stage-2 ID register, Appendix G, item G.2) are retained in the archive but not analysed in this thesis, leaving the thirty older-adult participants (aged 62–84, mean 71.1 ± 5.9; 17 female, 13 male) analysed here. One record (S2-P015)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(the measurement-provenance statement below)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dual-purpose mechanic routes the pressure-panel signal into the FRA measurement pathway (§5.2A), every play produced assessment output, and the system recorded the balance-test indexes on the clinician-side terminal (§5.2A; not on the play screen)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without the game link, and then played the FRA through the game, so the archive holds one assessment-mode index and one game-mode index per participant, both generated automatically by the same measurement engine from the same centre-of-pressure pathway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completed sheets are not held in the thesis archive (Appendix C); its administered form and response anchors are documented only through the four response categories carried into the Stage-2 ID register and the analysis file — Very satisfied, Satisfied, No comments, Dissatisfied (Appendix G, item G.2) — cross-tabulated against observed engagement; it is a descriptive association under an instrument whose administered form is not on file,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Table 5.2; Figure 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its cross-tabulation is not reported here.</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 All counts include S2-P015, the one record that failed verification and is retained with a sensitivity note (§5.5).</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Figure 5.4),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clinician-side output of the game-linked pipeline;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game-derived final value, which rests on the shared measurement pathway described in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Read jointly from the archived per-participant record (Appendix G, item G.2), three of the eight recorded a score increase and were reported as showing no symptom improvement (two of seven excluding the unverified record, S2-P015).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in those drafts as a table numbered 5.3 (that number is now carried by the requirements mapping in §5.5A).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descr="Figure 5.4. Participant-level pre/post recorded FRA index (standard-mode baseline to final play; provenance in §5.5) for the Stage-2 cohort (N = 30), by engagement group."/>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all thirty records are plotted, including the one record that failed verification (S2-P015), retained under the sensitivity note in §5.5.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descr="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(the Stage-1 figure is an aggregate record whose per-respondent file is not archived, Table 4.1 and Appendix G item G.1),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 (aggregate record, Table 4.1; per-respondent file not archived, Appendix G item G.1)</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 one of the eight records unverified, §5.5)</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30 September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verification of the record;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administered wording and scale anchors of the nine items are documented from the entry workbook's question guide, and one completed form (participant S2-P024) has been sighted and matches the entry record and the documented wording; archival copies of the completed forms are not filed with this thesis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not reproduced in this thesis: Appendix B states the scheme's structure only, and the item-level codebook, weights and thresholds are a deliverable of the proposed confirmatory study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(its distribution is shown in Appendix B, Figure B.1);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These three are not the three single-session participants counted in §5.5 as recording a score increase while being reported as showing no symptom improvement: S2-P006 and S2-P007 are the two single-session participants whom therapists reported as showing improvement, so only S2-P015 falls in both counts, and the other two participants in the §5.5 count are the two single-session participants outside the F4 cluster (Appendix G, item G.2).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jc w:val="both"/>
      </w:pPr>
      <w:r>
        <w:rPr>
          <w:szCs w:val="22"/>
          <w:lang w:val="en-US" w:eastAsia="en-US" w:bidi="ar-SA"/>
          <w:rFonts w:ascii="Times New Roman" w:hAnsi="Times New Roman" w:eastAsia="Times New Roman" w:cs="Times New Roman"/>
          <w:sz w:val="24"/>
        </w:rPr>
        <w:t>The empty interval between scores 5 and 9 in Figure B.1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 Figure 5.6 sets out the observed non-return alongside these candidate explanatory pathways, all of which remain hypotheses.</w:t>
      </w:r>
    </w:p>
    <w:p>
      <w:pPr>
        <w:pStyle w:val="Normal"/>
        <w:keepNext/>
        <w:spacing w:before="160" w:after="40"/>
        <w:jc w:val="center"/>
      </w:pPr>
      <w:r>
        <w:drawing>
          <wp:inline>
            <wp:extent cx="5358384" cy="3302502"/>
            <wp:docPr id="36" name="Picture 36" descr="Figure 5.6. Observed non-return and candidate explanatory pathways."/>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5.6.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30 September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 item was included to ask whether the player recognised the activity as a coordination challenge; its count is reported as a positive-coded response rather than as a validated check that the intended frame was perceived (§6.5), and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one of the two Stage-3A builds (neither has touch controls); the number of such sessions and the participants concerned were not recorded, so assistance cannot be linked to individual records. By the author's account (2 October 2026), the twenty distributors - members of separate Hong Kong groups, eligible to play and without prior knowledge of the gamified FRA - also played, and their own records are among the 120; they were briefed only on the distribution task, and their records cannot be separated from those of the players they recruited.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distributor invitations on file (Appendix G, item G.5) record what recipients were told; because the returns were not retained as separate records (Appendix G, item G.3), no index of dates, channels and returned files can be compiled, and the invitation-and-return accounting cannot be reconstructed.</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were the participants' returned materials, and they were not retained as separate records.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With the first build, results and stopping were recorded by hand by assistants who were not always beside the player, so stopping times are approximate (author's account, 2 October 2026). Exporting results from the archived build was optional and not every player did so, so returns arrived over several weeks; they were compiled into the aggregate summary in July 2026 and were not kept separately afterwards. Three outcome definitions are used throughout this chapter. The classifications follow a failure-then-stop rule stated by the author (30 September and 2 October 2026): initial dropout denotes a participant who stopped playing after a failure, an outcome the aggregate register labels 'dropped out before completing 5 attempts'. For older participants who played with an assistant beside them (which participants these were was not recorded, as noted above), the failure and the stop were observed directly; for the others they were inferred from the reported results - a run ending in failure, which the author's account (30 September 2026) places in the earlier version - or from not playing a further session after the first game, so a participant who stopped after the first game was counted as an initial dropout even where no failure was recorded. Distributors received both builds - an earlier version, in which a run could end in a game over, and later the archived build, first created on 13 July 2026 (both builds open in zero-failure mode by default and carry a game-over mode that must be switched on; a copy of an earlier build supplied by the author on 30 September 2026 is archived as received and entered in the build-lineage matrix, Appendix G, item G.0A) - and passed them on to their networks. Implementation limitations observed with the earlier version led to the archived build, and the main period of play was postponed to late July 2026 (author's account, 2 October 2026), so most returns, including returns after an initial dropout, fell within a few weeks before the compilation; a participant may have played either or both, and the returns did not record which, so the number who played each build is unknown.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on either build, at any time before the July 2026 compilation; how long or how often a participant played on return was not counted, and, by the author's account (2 October 2026), some returners played the archived build, although the returns did not record the build. Whether a return followed a reminder or the receipt of a newer build was not recorded.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Because the returns were not retained separately, a participant-level compilation into the logbook (Appendix G, item G.3) cannot be made, so per-participant observation timelines are not available and the dropout and return counts are reported as compiled, subject to this definitional limit. Observed non-return denotes an initial dropout who never played again inside the study window, and continued or resumed play is its complement over the cohort: a participant who did not drop out, or who dropped out and later played again, is counted. Because a single later play of any length counted as a return and no activity was checked at the end of the window, this is not a retention measure; the single term continued or resumed play is used throughout this chapter for that construct. The chapter therefore reports the aggregate summary compiled from the returns in July 2026 (Appendix G, item G.3); the logbook's participant-level sheets are not populated, so the summary cannot be checked against individual entries. The logbook also retains a raw import sheet whose per-band figures disagree with the summary in ten values; it was staged from a constructed file received in July 2026, not a transcription of the returns, and is quarantined and not used, so its disagreement says nothing about the summary's accuracy; the summary's only checks are internal arithmetic and agreement of its band sizes with the workbook's codebook counts (Appendix G, item G.3).</w:t>
      </w:r>
    </w:p>
    <w:p>
      <w:pPr>
        <w:pStyle w:val="Normal"/>
        <w:jc w:val="both"/>
      </w:pPr>
      <w:r>
        <w:rPr>
          <w:szCs w:val="22"/>
          <w:lang w:val="en-US" w:eastAsia="en-US" w:bidi="ar-SA"/>
          <w:rFonts w:ascii="Times New Roman" w:hAnsi="Times New Roman" w:eastAsia="Times New Roman" w:cs="Times New Roman"/>
          <w:sz w:val="24"/>
        </w:rPr>
        <w:t>How the record's limits bear on each headline figure. The record's limits apply to every Stage-3 figure: there is no invitation denominator; the returns were not retained, so no figure can be checked against individual records; the checkpoint separating a dropout followed by return from an ordinary interval between sessions is not reconstructable; some initial dropouts were classified without a recorded failure; the 120 include the distributors' own records, which cannot be separated from those of the players they recruited; and two builds were in use, with no per-participant record of which build each participant played. Their bearing differs by figure. The 93.3% and 85.4% figures for continued or resumed play describe the compiled cohort only: without a denominator they are not participation or uptake rates, and because a single later play counted as a return, they show that play continued or resumed, not that it was sustained. The return figures - 15 of 23 initial dropouts overall and 10 of 16 (62.5%) aged 65–80 - are the most exposed to the classification limits: a dropout inferred without a recorded failure, or a short pause read as a dropout, would enter both numerator and denominator in ways the record cannot check, and because the main period of play fell in late July 2026 and the returns were compiled in July 2026, the window for a return after the main period of play was short; its length is not recorded, and a return on the earlier build could have occurred at any time after first play. None of these figures supports a causal estimate of decoupling, a comparison between builds, or a separation of distributors from the players they recruited; the 93.3% and 85.4% figures support only the descriptive statement that, in this compiled cohort, continued or resumed play was recorded for most participants, and the return figures support only the descriptive statement that most initial dropouts were recorded as playing again.</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by the July 2026 compilation</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Continued or resumed play</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continued or resumed play was recorded for 85.4% of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continued or resumed play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Continued or resumed play</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436083"/>
            <wp:docPr id="26" name="Picture 26" descr="Figure 6.1. Stage-3 continued or resumed play and observed non-return by the July 2026 compilation, by age band (N = 120)."/>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436083"/>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continued or resumed play and observed non-return by the July 2026 compilation,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is drawn from the counts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descr="Figure 6.2. Return after initial dropout by age band in Stage 3, including 62.5% in the 65–80 band."/>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continued or resumed play was 85.4% and stated regular-use intention was 56.1%, a difference of 29.3 percentage points. These are marginal proportions for different constructs: recorded continued or resumed play and hypothetical future intention. Because continued or resumed play includes dropouts who played again even once (§6.4), the 29.3-point contrast is between recorded play and stated intention, not between uninterrupted play and intention. They do not reveal which of these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difference between continued play and stated intention.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30 September 2026 cut-off is documented in §8.8 without any adaptive-learning result.</w:t>
      </w:r>
    </w:p>
    <w:p>
      <w:pPr>
        <w:pStyle w:val="Normal"/>
        <w:keepNext/>
        <w:spacing w:before="160" w:after="40"/>
        <w:jc w:val="center"/>
      </w:pPr>
      <w:r>
        <w:drawing>
          <wp:inline>
            <wp:extent cx="5303520" cy="3436083"/>
            <wp:docPr id="27" name="Picture 27" descr="Figure 6.3. Continued or resumed play and regular-use intention by age band."/>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43608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Continued or resumed play and regular-use intention by age band. In the 65–80 band the marginal proportions differ by 29.3 percentage points; the figure does not show an individual-level transition from continued play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behaviour of older adults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continued-play–intention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continued or resumed play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difference between continued or resumed play and stated intention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 The Stage-2 rows with n = 30 and n = 21 include the one record that failed verification (S2-P015, a single-session participant retained with a sensitivity note; §5.5); the n = 9 sustained-participant row does not include it.</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difference between continued play and stated intention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older adults with chronic disease,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older adults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(5 August 2026) he played a later touch-input version of the decoupled game (v2.3, repository-dated 2 August 2026), which was not one of the two builds distributed in Stage 3A,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described, from their own practice, the pattern this thesis reads as verdict fear: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t>Record status at 30 September 2026: the consultation is audio-recorded and transcribed (transcript dated 7 September 2026; Appendix H.6); a member-check form was issued on 7 September 2026 and no response was on file; the doctoral researcher is reported pseudonymously, no attribution election having been received; Dr Lau's remarks on a product under development are withheld in the absence of his sensitivity election; his own feedback from playing the game is not reported.</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continued or resumed play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specifies a difficulty-adjustment loop (§5.3.5); its operational status in the deployed build is not documented in the retained record (Appendix G, item G.0A), and no operational claim is made for it.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difference between continued play and stated intention.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specified a partial calibration rule (the 80%/40% heuristic, §5.3.5; its operational status in the deployed build is not documented, Appendix G, item G.0A), yet non-return occurred while the frame and target links were untreated; and the Stage-3 package addressed the target link — not alone, but within a multi-component redesign that simultaneously changed platform, setting, supervision and cohort (§6.3) — and was associated with observed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non-terminal (zero-failure) presentation is treated in this section as a supporting design option within the three principles (§2.6.2C)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difference between continued play and stated intention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specified for Stage 2 (operational status per build in item G.0A);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30 September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 dates, code version, hardware, input devices, adaptation mechanism and logging capability versus retained logs for each build generation — is stated in the build-lineage matrix (Appendix G, item G.0A); Table 7.2 states prospective implementation requirements only and makes no hardware claim for any deployed build.</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Figure 7.1. Proposed adaptive reference architecture."/>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the Pro v4.1 record labelled researcher self-test (played, by the author's account, by volunteers and their families or friends), near ceiling and on course forms whose equivalence was not established (§8.8; Appendix I.5–I.6);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(proposed)</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Point targets of below 6% non-return and above 65% regular-use intention, if adopted for this case study,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Figure 7.2. Two linked improvement cycles proposed for the gamified service."/>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older adults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mechanism for sustaining engagement with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7.3 maps this design space.</w:t>
      </w:r>
    </w:p>
    <w:p>
      <w:pPr>
        <w:keepNext/>
        <w:jc w:val="center"/>
      </w:pPr>
      <w:r>
        <w:drawing>
          <wp:inline>
            <wp:extent cx="5120640" cy="3995517"/>
            <wp:docPr id="39" name="Picture 39" descr="Figure 7.3. The gerontechnology design space as documented in this programme and the cited material."/>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7.3.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 a therapist-reported entry of no symptom improvement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(a positive-coded response; not a manipulation check); 63.3% regular-use intention overall; and a descriptive 29.3-percentage-point difference between continued or resumed play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Stage-3 return result in the 65–80 band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continued or resumed play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 mostly on participants' own computers and, for some older participants, on a prepared iPad with a research assistant beside them (§6.4) — rather than on the therapist-supervised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the pressure panel, whereas in Stage 3 participants steered with arrow keys or a foot-pad sensor where one was available, and which device each participant used was not recorded (§6.4).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30 September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30 September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Older adults in residential care are vulnerable in several distinct senses: physical, cognitive, social, and identity. The safeguards on record are those stated in §3.4, §5.4 and §6.4: in Stage 2, the facility's gatekeeper arrangement, therapist supervision of every session, voluntary participation free of charge with no consequence for refusal, and pseudonymisation at collection; in Stage 3, voluntary unpaid participation that could be declined by not taking part, no clinical telemetry or health verdict, and no recording of names or e-mail addresses as data. No exclusion criteria, stoppage rules, information sheets or difficulty-calibration records for Stages 2 and 3 are on file, and none is claimed here.</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 In the completed programme the disclosure question arose in Stage 2, which operated with incomplete disclosure: participants were not told during the deployment that play formed part of a research project, consent was given by the facility as gatekeeper at research start, and written consent was obtained retrospectively from the nine sustained participants only; the twenty-one who dropped out did not sign, and their symptom entries are therapist observations compiled by the researcher (§3.4). The rationale was that announcing a fall-risk study would re-impose the frame under study. The limitations are that the disclosure decision was the researcher's rather than a prior committee determination, that the non-signing participants' aggregated data are used without their written consent, and that an itemised institutional determination on these arrangements is not part of the record at 30 September 2026 (§3.4); the thesis reports the arrangements as they operated and does not present them as a model for future deployments.</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recorded continued or resumed play in most of its cohort (§6.4),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30 September 2026 and compiled in Appendix I; the frozen edition's clean-run window runs to 15 October 2026, and returns received after 30 September 2026 are archived as received and are not entered in this thesis.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a further file (code BYXXMT), whose consent and export stamps are dated 13 August 2026 and which names device copy DEV1 on the v3.0 build string, was archived as received on 30 September 2026 pending an author statement of who played it and how it reached the author (Appendix I.7); it is not counted in any category and no outcome values are reported.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(decision record, Appendix G, item G.12),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and decision of 2 October 2026 (Appendix G, item G.12) the record is stated at 30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source-to-result manifest and build-lineage matrix (Appendix G, items G.0 and G.0A);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Not deposited with this thesis, and listed in Appendix G with that status, are the cleaned Stage-1 survey response file (item G.1; the Stage-1 figures are carried with this limit in the abstract, §4.2 and Table 4.1); the AI prompt-template archive with the deployed endpoint and run-time settings (item G.7; no claim rests on it); the Stage-2 build file and the game-state specification workbook (items G.0A and G.14); the archival scans of the completed Stage-2 interview forms and after-game questionnaire sheets (Appendix C; the satisfaction finding is reported with this limit in §5.5 and §8.3); and the written consent for the item G.10 demonstration videos (the figure that reproduces a frame from them is retained only on that stated status). The source-to-result manifest (item G.0) and the build-lineage matrix (item G.0A) are bound, and each row states what is and is not on record. The Stage-3B record to its 30 September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cannot be made, because the returns were not retained as separate records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and the AI prompt-template archive with the deployed endpoint and run-time settings (Appendix G, item G.7) is not deposited with this thesis, so the exact Stage-2 run-time configuration cannot be reproduced from the record, and no claim in this thesis rests on it. Stage-2 play took place at the centre and was recorded by hand;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are not filed with this thesis;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per-respondent response file is not archived (§4.2; Appendix G, item G.1), the two conditional figures are rounded approximations whose item-level counts are not reproduced, and the mapping of survey items to "failure" is interpretive (§4.8); working estimates of access and perceived benefit could not be traced to the archived instrument and are not reported. Stage 1 is therefore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(one of them the record that failed verification; §5.5); two of eight reported symptom improvement; none returned. These are separate descriptive margins; the archived joint count is three of the eight with a recorded score increase and no reported symptom improvement (two of seven excluding the unverified record S2-P015; §5.5, §8.3).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HTML port of the game, distributed mainly by e-mail, on their own computers or, for some older participants, on a pre-installed iPad with a research assistant beside them (§6.4).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closed at 30 September 2026, comprises one verified return (15 August 2026), five researcher-solicited returns of 15 September 2026 excluded on verification, five clean-run returns from the frozen edition (played 16 and 29 September 2026;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pageBreakBefore/>
      </w:pPr>
      <w:r>
        <w:t>Table 9.1. The programme diary: knowledge evolution in programme order, 2023 – October 2026. The Stage 3B row records that study to its 30 September 2026 cut-off (§8.8; Appendix I).</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(aggregate record; the response file is not archived, §4.2, Appendix G item G.1);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platform-coupling demonstration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difference between continued play and stated intention</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keepLines/>
        <w:jc w:val="center"/>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August–September 2026 (record closed 30 September 2026)</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in Appendix I (Table I.4);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Programme close and thesis completion</w:t>
            </w:r>
          </w:p>
        </w:tc>
        <w:tc>
          <w:tcPr>
            <w:tcW w:type="dxa" w:w="2460"/>
          </w:tcPr>
          <w:p>
            <w:r>
              <w:t>-</w:t>
            </w:r>
          </w:p>
        </w:tc>
        <w:tc>
          <w:tcPr>
            <w:tcW w:type="dxa" w:w="3422"/>
          </w:tcPr>
          <w:p>
            <w:r>
              <w:t>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9.2).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p>
      <w:pPr>
        <w:pStyle w:val="FigureCaption"/>
        <w:keepNext/>
        <w:keepLines/>
      </w:pPr>
      <w:r>
        <w:t>Table 9.2. The sequence from empirical observations to candidate explanations and a proposed engineering response. Each entry identifies its evidence and evidential status; the sequence does not establish a causal chain.</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(aggregate record; per-respondent response file not archived, §4.2, Appendix G item G.1),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continued or resumed play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closed 30 September 2026 (§8.8; Appendix I); separate framing comparison proposed</w:t>
            </w:r>
          </w:p>
        </w:tc>
        <w:tc>
          <w:tcPr>
            <w:tcW w:w="1796" w:type="dxa"/>
          </w:tcPr>
          <w:p>
            <w:r>
              <w:t>Proposed; complete framework and progress specification not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continued or resumed play (dropouts who played again included)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Normal"/>
        <w:jc w:val="both"/>
      </w:pPr>
      <w:commentRangeStart w:id="8"/>
      <w:r>
        <w:rPr>
          <w:i w:val="0"/>
          <w:szCs w:val="22"/>
          <w:lang w:val="en-US" w:eastAsia="en-US" w:bidi="ar-SA"/>
          <w:rFonts w:ascii="Times New Roman" w:hAnsi="Times New Roman" w:eastAsia="Times New Roman" w:cs="Times New Roman"/>
          <w:sz w:val="24"/>
        </w:rPr>
        <w:t>Measured against the practice-oriented standard of the Doctor of Engineering — knowledge for engineering practice, stated in a form another engineering team can inspect and test — the contribution claimed is problem clarification, iterative design learning and a testable specification (Abstract; §1.11), not a demonstrated effect. Stated positively, the programme leaves an engineering team with four things it did not have before. First, a documented field case in which an acceptance-informed gamified assessment station recorded index gains while most users did not return (Stage 2: 21 of 30 disengaged at or before three cycles, and none of the 21 returned within the eight-week window), which locates the design target for this service in engagement after difficulty rather than in initial acceptance alone. Second, a deployed dual-purpose mechanic in which one centre-of-pressure stream drives play and a silent assessment pipeline, so that measurement is carried inside play without clinical numbers on the play screen (§5.3) — a property the Stage-2 build already had while the session itself carried clinical framing (§5.5; §6.3). Third, a recorded contrast in which a browser port of the game that retained its skiing mechanic, five-attempt rule and session structure, with participant-facing clinical cues reduced at the artefact level (recruitment materials retained fall-prevention vocabulary; §6.4) and played remotely with a different input device (§8.5.7–8.5.8), was followed by return in most initial dropouts in a separate cohort (15 of 23), which marks the participant-facing assessment frame as a candidate variable to control in design and testing. Fourth, the credible-progress specification (§7.5.2; Table 7.3), which states in checkable terms how participation, condition-specific performance, learning and clinical change must be recorded and kept apart when a redesign changes the task. A team building a gamified assessment service can act on these directly: design for return after difficulty, separate the participant-facing pathway from the clinical output rather than only keeping numbers off the play surface, without concealing clinically important information (§9.4), and adopt the progress-recording rules before claiming improvement.</w:t>
      </w:r>
      <w:commentRangeEnd w:id="8"/>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(Table 9.3; Figure 9.1):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9.3.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descr="Figure 9.1. Proposed person-conditioned adaptive loop."/>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9.1.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or, for some older participants, on a pre-installed iPad with a research assistant present (§6.4).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at the 30 September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Chapter 1 posed the score-improvement/non-return question (§1.7), and Section 5.6 recorded three F4 residents (S2-P006, S2-P007 and S2-P015, the last being the record that failed verification; §5.5)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show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closed at 30 September 2026,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Census and Statistics Department. (2023). Hong Kong population projections 2022–2046. Hong Kong Special Administrative Region Government. https://www.censtatd.gov.hk/en/data/stat_report/product/B1120015/att/B1120015092023XXXXB01.pdf</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[Press release].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State Council of the People's Republic of China. (2025, January 10). China accelerates elderly care reforms as population ages [News release]. https://english.www.gov.cn/news/202501/10/content_WS67805ca4c6d0868f4e8eea64.html</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Tam, S. K. T., &amp; Cheung, C. F. (under review). Gamification as a proactive approach: A study of elderly failure-induced abandonment in gamified fall risk assessment [Manuscript JIKMS2602466, submitted 9 September 2026]. Journal of Information and Knowledge Management.</w:t>
      </w:r>
    </w:p>
    <w:p>
      <w:pPr>
        <w:spacing w:after="120" w:line="276" w:lineRule="auto"/>
        <w:ind w:left="360" w:hanging="360"/>
      </w:pPr>
      <w:r>
        <w:t>Tam, S. K. T., &amp; Cheung, C. F. (2026). Investigating low utilisation of Fall Risk Assessment among elderly users: A critical review through TAM and Octalysis frameworks with gamification approach [Paper SS-293]. Proceedings of the 10th International Conference on Management Engineering, Software Engineering and Service Sciences (ICMSS 2026), Wuhan, China, 20–22 March 2026. Conference Publishing Services.</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any validation analysis must be reported separately from the scoring rules, and none is reported in this thesis.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descr="Figure B.1. Distribution of provisional FIAS composite scores across all 30 participants."/>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B.1. Distribution of provisional FIAS composite scores across all 30 participants. The composite includes engagement-outcome attributes, so the separation of the F4 cluster is expected by construction; the figure is descriptive case identification, not evidence (§5.6). One of the six F4 records (S2-P015) is the record that failed verification (§5.5).</w:t>
      </w:r>
      <w:bookmarkEnd w:id="89"/>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documented from the author's entry-and-results record (the entry-and-results sheet received 10 September 2026 and the entry workbook received 11 September 2026, both archived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interview forms (including that exemplar) and of the after-game questionnaire sheets are not filed with the thesis at 30 September 2026; the satisfaction figures in §5.5 are therefore reported from the analysis file (item G.2) as recorded, with the administered form and its response anchors not archived.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(author's account; no interview record is archived, and nothing in this thesis rests on them). These conversations informed the learn-to-earn design orientation of §1.8 and the requirements mapping of §5.5A (Table 5.3).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participant invitation on file (a 4 August 2026 reconstruction; §3.4, §6.4; item G.5) paraphrases the two statements as whether the player 'found it a good coordination challenge' and 'would be willing to play it regularly'; the wording shown in D.1 is the author's confirmation of 30 September 2026, and neither the invitation paraphrase nor the summary labels is the instrument as sent.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with the first build, results and stopping were recorded by hand by assistants (§6.4), and the returned materials were compiled into the July 2026 summary and not retained as separate records (item G.3). The Stage-3B component study used a four-item in-build questionnaire whose D1 and D2 items ('The game was a good coordination challenge.'; 'I would be willing to play this game regularly.') differ in wording from the Stage-3 items; its one pre-specified contrast, defined on its D2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keyboard arrow-key input (or a foot-pad sensor where available; some older participants used an iPad with an external keyboard, §6.4),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InBody pressure-panel sensor stream; calibrated by InBody engineers; centre-of-pressure (COP) sampled at vendor-default rate.</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(deployed endpoint: Appendix G, item G.7, not deposited);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Per-session JSON event log including COP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specified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specified at the staff console.</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continued or resumed play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G.0 Source-to-result manifest. One row per artifact on which a result exhibit or statement in this thesis depends, compiled on 2 October 2026 from the thesis repository (docs/thesis/) and the records described in items G.1–G.14. 'Not deposited' means the thesis holds no copy; 'not retained' means no copy exists; a path is a repository path. Synthetic and reconstructed files (item G.8; data_entry/SYNTHETIC_copies_received/) are listed only so that they are recognised, and feed no result.</w:t>
      </w:r>
    </w:p>
    <w:tbl>
      <w:tblPr>
        <w:tblStyle w:val="TableGrid"/>
        <w:tblLook w:firstColumn="1" w:firstRow="1" w:lastColumn="0" w:lastRow="0" w:noHBand="0" w:noVBand="1" w:val="04A0"/>
        <w:tblW w:w="9360" w:type="dxa"/>
        <w:tblLayout w:type="fixed"/>
      </w:tblPr>
      <w:tblGrid>
        <w:gridCol w:w="1591"/>
        <w:gridCol w:w="2340"/>
        <w:gridCol w:w="1029"/>
        <w:gridCol w:w="1029"/>
        <w:gridCol w:w="1123"/>
        <w:gridCol w:w="1123"/>
        <w:gridCol w:w="1123"/>
      </w:tblGrid>
      <w:tr>
        <w:tc>
          <w:tcPr>
            <w:tcW w:type="dxa" w:w="1591"/>
          </w:tcPr>
          <w:p>
            <w:r>
              <w:rPr>
                <w:sz w:val="15"/>
              </w:rPr>
              <w:t>Artifact</w:t>
            </w:r>
          </w:p>
        </w:tc>
        <w:tc>
          <w:tcPr>
            <w:tcW w:type="dxa" w:w="2340"/>
          </w:tcPr>
          <w:p>
            <w:r>
              <w:rPr>
                <w:sz w:val="15"/>
              </w:rPr>
              <w:t>Source / repository path</w:t>
            </w:r>
          </w:p>
        </w:tc>
        <w:tc>
          <w:tcPr>
            <w:tcW w:type="dxa" w:w="1029"/>
          </w:tcPr>
          <w:p>
            <w:r>
              <w:rPr>
                <w:sz w:val="15"/>
              </w:rPr>
              <w:t>Collection or receipt date</w:t>
            </w:r>
          </w:p>
        </w:tc>
        <w:tc>
          <w:tcPr>
            <w:tcW w:type="dxa" w:w="1029"/>
          </w:tcPr>
          <w:p>
            <w:r>
              <w:rPr>
                <w:sz w:val="15"/>
              </w:rPr>
              <w:t>Participants covered</w:t>
            </w:r>
          </w:p>
        </w:tc>
        <w:tc>
          <w:tcPr>
            <w:tcW w:type="dxa" w:w="1123"/>
          </w:tcPr>
          <w:p>
            <w:r>
              <w:rPr>
                <w:sz w:val="15"/>
              </w:rPr>
              <w:t>Derivation</w:t>
            </w:r>
          </w:p>
        </w:tc>
        <w:tc>
          <w:tcPr>
            <w:tcW w:type="dxa" w:w="1123"/>
          </w:tcPr>
          <w:p>
            <w:r>
              <w:rPr>
                <w:sz w:val="15"/>
              </w:rPr>
              <w:t>Feeds</w:t>
            </w:r>
          </w:p>
        </w:tc>
        <w:tc>
          <w:tcPr>
            <w:tcW w:type="dxa" w:w="1123"/>
          </w:tcPr>
          <w:p>
            <w:r>
              <w:rPr>
                <w:sz w:val="15"/>
              </w:rPr>
              <w:t>Status at 30 Sep 2026</w:t>
            </w:r>
          </w:p>
        </w:tc>
      </w:tr>
      <w:tr>
        <w:tc>
          <w:tcPr>
            <w:tcW w:type="dxa" w:w="1591"/>
          </w:tcPr>
          <w:p>
            <w:r>
              <w:rPr>
                <w:sz w:val="15"/>
              </w:rPr>
              <w:t>Stage-1 survey instrument (six items)</w:t>
            </w:r>
          </w:p>
        </w:tc>
        <w:tc>
          <w:tcPr>
            <w:tcW w:type="dxa" w:w="2340"/>
          </w:tcPr>
          <w:p>
            <w:r>
              <w:rPr>
                <w:sz w:val="15"/>
              </w:rPr>
              <w:t>Appendix A</w:t>
            </w:r>
          </w:p>
        </w:tc>
        <w:tc>
          <w:tcPr>
            <w:tcW w:type="dxa" w:w="1029"/>
          </w:tcPr>
          <w:p>
            <w:r>
              <w:rPr>
                <w:sz w:val="15"/>
              </w:rPr>
              <w:t>July–August 2024</w:t>
            </w:r>
          </w:p>
        </w:tc>
        <w:tc>
          <w:tcPr>
            <w:tcW w:type="dxa" w:w="1029"/>
          </w:tcPr>
          <w:p>
            <w:r>
              <w:rPr>
                <w:sz w:val="15"/>
              </w:rPr>
              <w:t>200 of 280 residents</w:t>
            </w:r>
          </w:p>
        </w:tc>
        <w:tc>
          <w:tcPr>
            <w:tcW w:type="dxa" w:w="1123"/>
          </w:tcPr>
          <w:p>
            <w:r>
              <w:rPr>
                <w:sz w:val="15"/>
              </w:rPr>
              <w:t>—</w:t>
            </w:r>
          </w:p>
        </w:tc>
        <w:tc>
          <w:tcPr>
            <w:tcW w:type="dxa" w:w="1123"/>
          </w:tcPr>
          <w:p>
            <w:r>
              <w:rPr>
                <w:sz w:val="15"/>
              </w:rPr>
              <w:t>Table 4.1 labels</w:t>
            </w:r>
          </w:p>
        </w:tc>
        <w:tc>
          <w:tcPr>
            <w:tcW w:type="dxa" w:w="1123"/>
          </w:tcPr>
          <w:p>
            <w:r>
              <w:rPr>
                <w:sz w:val="15"/>
              </w:rPr>
              <w:t>Bound (instrument only)</w:t>
            </w:r>
          </w:p>
        </w:tc>
      </w:tr>
      <w:tr>
        <w:tc>
          <w:tcPr>
            <w:tcW w:type="dxa" w:w="1591"/>
          </w:tcPr>
          <w:p>
            <w:r>
              <w:rPr>
                <w:sz w:val="15"/>
              </w:rPr>
              <w:t>Stage-1 per-respondent response file (G.1)</w:t>
            </w:r>
          </w:p>
        </w:tc>
        <w:tc>
          <w:tcPr>
            <w:tcW w:type="dxa" w:w="2340"/>
          </w:tcPr>
          <w:p>
            <w:r>
              <w:rPr>
                <w:sz w:val="15"/>
              </w:rPr>
              <w:t>Not in repository</w:t>
            </w:r>
          </w:p>
        </w:tc>
        <w:tc>
          <w:tcPr>
            <w:tcW w:type="dxa" w:w="1029"/>
          </w:tcPr>
          <w:p>
            <w:r>
              <w:rPr>
                <w:sz w:val="15"/>
              </w:rPr>
              <w:t>July–August 2024</w:t>
            </w:r>
          </w:p>
        </w:tc>
        <w:tc>
          <w:tcPr>
            <w:tcW w:type="dxa" w:w="1029"/>
          </w:tcPr>
          <w:p>
            <w:r>
              <w:rPr>
                <w:sz w:val="15"/>
              </w:rPr>
              <w:t>200 residents</w:t>
            </w:r>
          </w:p>
        </w:tc>
        <w:tc>
          <w:tcPr>
            <w:tcW w:type="dxa" w:w="1123"/>
          </w:tcPr>
          <w:p>
            <w:r>
              <w:rPr>
                <w:sz w:val="15"/>
              </w:rPr>
              <w:t>—</w:t>
            </w:r>
          </w:p>
        </w:tc>
        <w:tc>
          <w:tcPr>
            <w:tcW w:type="dxa" w:w="1123"/>
          </w:tcPr>
          <w:p>
            <w:r>
              <w:rPr>
                <w:sz w:val="15"/>
              </w:rPr>
              <w:t>Table 4.1 (aggregate percentages reported as recorded)</w:t>
            </w:r>
          </w:p>
        </w:tc>
        <w:tc>
          <w:tcPr>
            <w:tcW w:type="dxa" w:w="1123"/>
          </w:tcPr>
          <w:p>
            <w:r>
              <w:rPr>
                <w:sz w:val="15"/>
              </w:rPr>
              <w:t>Not archived; conditional figures not reproducible as counts</w:t>
            </w:r>
          </w:p>
        </w:tc>
      </w:tr>
      <w:tr>
        <w:tc>
          <w:tcPr>
            <w:tcW w:type="dxa" w:w="1591"/>
          </w:tcPr>
          <w:p>
            <w:r>
              <w:rPr>
                <w:sz w:val="15"/>
              </w:rPr>
              <w:t>Stage-2 analysis file (G.2)</w:t>
            </w:r>
          </w:p>
        </w:tc>
        <w:tc>
          <w:tcPr>
            <w:tcW w:type="dxa" w:w="2340"/>
          </w:tcPr>
          <w:p>
            <w:r>
              <w:rPr>
                <w:sz w:val="15"/>
              </w:rPr>
              <w:t>docs/thesis/stage2_clean.csv</w:t>
            </w:r>
          </w:p>
        </w:tc>
        <w:tc>
          <w:tcPr>
            <w:tcW w:type="dxa" w:w="1029"/>
          </w:tcPr>
          <w:p>
            <w:r>
              <w:rPr>
                <w:sz w:val="15"/>
              </w:rPr>
              <w:t>Archived 12 Jul 2026</w:t>
            </w:r>
          </w:p>
        </w:tc>
        <w:tc>
          <w:tcPr>
            <w:tcW w:type="dxa" w:w="1029"/>
          </w:tcPr>
          <w:p>
            <w:r>
              <w:rPr>
                <w:sz w:val="15"/>
              </w:rPr>
              <w:t>S2-P001–S2-P030 (30 analysed)</w:t>
            </w:r>
          </w:p>
        </w:tc>
        <w:tc>
          <w:tcPr>
            <w:tcW w:type="dxa" w:w="1123"/>
          </w:tcPr>
          <w:p>
            <w:r>
              <w:rPr>
                <w:sz w:val="15"/>
              </w:rPr>
              <w:t>Direct counts, paired differences, Wilson intervals, Fisher exact (no script deposited)</w:t>
            </w:r>
          </w:p>
        </w:tc>
        <w:tc>
          <w:tcPr>
            <w:tcW w:type="dxa" w:w="1123"/>
          </w:tcPr>
          <w:p>
            <w:r>
              <w:rPr>
                <w:sz w:val="15"/>
              </w:rPr>
              <w:t>§5.5; Tables 5.2, 6.5 (Stage-2 rows); Figures 5.4, 5.5</w:t>
            </w:r>
          </w:p>
        </w:tc>
        <w:tc>
          <w:tcPr>
            <w:tcW w:type="dxa" w:w="1123"/>
          </w:tcPr>
          <w:p>
            <w:r>
              <w:rPr>
                <w:sz w:val="15"/>
              </w:rPr>
              <w:t>Bound; S2-P015 failed verification, retained with sensitivity note</w:t>
            </w:r>
          </w:p>
        </w:tc>
      </w:tr>
      <w:tr>
        <w:tc>
          <w:tcPr>
            <w:tcW w:type="dxa" w:w="1591"/>
          </w:tcPr>
          <w:p>
            <w:r>
              <w:rPr>
                <w:sz w:val="15"/>
              </w:rPr>
              <w:t>FRA_32 data set as received (G.2)</w:t>
            </w:r>
          </w:p>
        </w:tc>
        <w:tc>
          <w:tcPr>
            <w:tcW w:type="dxa" w:w="2340"/>
          </w:tcPr>
          <w:p>
            <w:r>
              <w:rPr>
                <w:sz w:val="15"/>
              </w:rPr>
              <w:t>data_entry/incoming/stage2/FRA_32_Data_set_updated_as_received_2026-09-05.docx</w:t>
            </w:r>
          </w:p>
        </w:tc>
        <w:tc>
          <w:tcPr>
            <w:tcW w:type="dxa" w:w="1029"/>
          </w:tcPr>
          <w:p>
            <w:r>
              <w:rPr>
                <w:sz w:val="15"/>
              </w:rPr>
              <w:t>Received 5 Sep 2026; reconciled 6 Sep 2026</w:t>
            </w:r>
          </w:p>
        </w:tc>
        <w:tc>
          <w:tcPr>
            <w:tcW w:type="dxa" w:w="1029"/>
          </w:tcPr>
          <w:p>
            <w:r>
              <w:rPr>
                <w:sz w:val="15"/>
              </w:rPr>
              <w:t>32 records (30 + S2-C001, S2-C002)</w:t>
            </w:r>
          </w:p>
        </w:tc>
        <w:tc>
          <w:tcPr>
            <w:tcW w:type="dxa" w:w="1123"/>
          </w:tcPr>
          <w:p>
            <w:r>
              <w:rPr>
                <w:sz w:val="15"/>
              </w:rPr>
              <w:t>Reconciled against the analysis file</w:t>
            </w:r>
          </w:p>
        </w:tc>
        <w:tc>
          <w:tcPr>
            <w:tcW w:type="dxa" w:w="1123"/>
          </w:tcPr>
          <w:p>
            <w:r>
              <w:rPr>
                <w:sz w:val="15"/>
              </w:rPr>
              <w:t>§5.5 provenance</w:t>
            </w:r>
          </w:p>
        </w:tc>
        <w:tc>
          <w:tcPr>
            <w:tcW w:type="dxa" w:w="1123"/>
          </w:tcPr>
          <w:p>
            <w:r>
              <w:rPr>
                <w:sz w:val="15"/>
              </w:rPr>
              <w:t>Held in repository</w:t>
            </w:r>
          </w:p>
        </w:tc>
      </w:tr>
      <w:tr>
        <w:tc>
          <w:tcPr>
            <w:tcW w:type="dxa" w:w="1591"/>
          </w:tcPr>
          <w:p>
            <w:r>
              <w:rPr>
                <w:sz w:val="15"/>
              </w:rPr>
              <w:t>Stage-2 logbook with player IDs (ID register) (G.2)</w:t>
            </w:r>
          </w:p>
        </w:tc>
        <w:tc>
          <w:tcPr>
            <w:tcW w:type="dxa" w:w="2340"/>
          </w:tcPr>
          <w:p>
            <w:r>
              <w:rPr>
                <w:sz w:val="15"/>
              </w:rPr>
              <w:t>data_entry/incoming/stage2/Stage2_FRA_Logbook_with_Player_IDs_as_received_2026-09-11.pdf</w:t>
            </w:r>
          </w:p>
        </w:tc>
        <w:tc>
          <w:tcPr>
            <w:tcW w:type="dxa" w:w="1029"/>
          </w:tcPr>
          <w:p>
            <w:r>
              <w:rPr>
                <w:sz w:val="15"/>
              </w:rPr>
              <w:t>Received 11 Sep 2026</w:t>
            </w:r>
          </w:p>
        </w:tc>
        <w:tc>
          <w:tcPr>
            <w:tcW w:type="dxa" w:w="1029"/>
          </w:tcPr>
          <w:p>
            <w:r>
              <w:rPr>
                <w:sz w:val="15"/>
              </w:rPr>
              <w:t>32 records</w:t>
            </w:r>
          </w:p>
        </w:tc>
        <w:tc>
          <w:tcPr>
            <w:tcW w:type="dxa" w:w="1123"/>
          </w:tcPr>
          <w:p>
            <w:r>
              <w:rPr>
                <w:sz w:val="15"/>
              </w:rPr>
              <w:t>Column-provenance source for satisfaction and symptom variables</w:t>
            </w:r>
          </w:p>
        </w:tc>
        <w:tc>
          <w:tcPr>
            <w:tcW w:type="dxa" w:w="1123"/>
          </w:tcPr>
          <w:p>
            <w:r>
              <w:rPr>
                <w:sz w:val="15"/>
              </w:rPr>
              <w:t>§3.4, §5.5, §5.6 (F4 identifiers)</w:t>
            </w:r>
          </w:p>
        </w:tc>
        <w:tc>
          <w:tcPr>
            <w:tcW w:type="dxa" w:w="1123"/>
          </w:tcPr>
          <w:p>
            <w:r>
              <w:rPr>
                <w:sz w:val="15"/>
              </w:rPr>
              <w:t>Held in repository</w:t>
            </w:r>
          </w:p>
        </w:tc>
      </w:tr>
      <w:tr>
        <w:tc>
          <w:tcPr>
            <w:tcW w:type="dxa" w:w="1591"/>
          </w:tcPr>
          <w:p>
            <w:r>
              <w:rPr>
                <w:sz w:val="15"/>
              </w:rPr>
              <w:t>Stage-2 after-game questionnaire sheets (Appendix C)</w:t>
            </w:r>
          </w:p>
        </w:tc>
        <w:tc>
          <w:tcPr>
            <w:tcW w:type="dxa" w:w="2340"/>
          </w:tcPr>
          <w:p>
            <w:r>
              <w:rPr>
                <w:sz w:val="15"/>
              </w:rPr>
              <w:t>Not in repository</w:t>
            </w:r>
          </w:p>
        </w:tc>
        <w:tc>
          <w:tcPr>
            <w:tcW w:type="dxa" w:w="1029"/>
          </w:tcPr>
          <w:p>
            <w:r>
              <w:rPr>
                <w:sz w:val="15"/>
              </w:rPr>
              <w:t>June–August 2025</w:t>
            </w:r>
          </w:p>
        </w:tc>
        <w:tc>
          <w:tcPr>
            <w:tcW w:type="dxa" w:w="1029"/>
          </w:tcPr>
          <w:p>
            <w:r>
              <w:rPr>
                <w:sz w:val="15"/>
              </w:rPr>
              <w:t>30 participants</w:t>
            </w:r>
          </w:p>
        </w:tc>
        <w:tc>
          <w:tcPr>
            <w:tcW w:type="dxa" w:w="1123"/>
          </w:tcPr>
          <w:p>
            <w:r>
              <w:rPr>
                <w:sz w:val="15"/>
              </w:rPr>
              <w:t>Satisfaction category per participant carried into G.2</w:t>
            </w:r>
          </w:p>
        </w:tc>
        <w:tc>
          <w:tcPr>
            <w:tcW w:type="dxa" w:w="1123"/>
          </w:tcPr>
          <w:p>
            <w:r>
              <w:rPr>
                <w:sz w:val="15"/>
              </w:rPr>
              <w:t>§5.5 satisfaction association (p = 0.013)</w:t>
            </w:r>
          </w:p>
        </w:tc>
        <w:tc>
          <w:tcPr>
            <w:tcW w:type="dxa" w:w="1123"/>
          </w:tcPr>
          <w:p>
            <w:r>
              <w:rPr>
                <w:sz w:val="15"/>
              </w:rPr>
              <w:t>Not filed; form and anchors not on file</w:t>
            </w:r>
          </w:p>
        </w:tc>
      </w:tr>
      <w:tr>
        <w:tc>
          <w:tcPr>
            <w:tcW w:type="dxa" w:w="1591"/>
          </w:tcPr>
          <w:p>
            <w:r>
              <w:rPr>
                <w:sz w:val="15"/>
              </w:rPr>
              <w:t>Stage-2 nine post-deployment interviews (Appendix C)</w:t>
            </w:r>
          </w:p>
        </w:tc>
        <w:tc>
          <w:tcPr>
            <w:tcW w:type="dxa" w:w="2340"/>
          </w:tcPr>
          <w:p>
            <w:r>
              <w:rPr>
                <w:sz w:val="15"/>
              </w:rPr>
              <w:t>data_entry/incoming/stage2/Stage2_Questionnaire_9Interviews_as_received_2026-09-10.pdf; Stage2_Questionnaire_Entry_Workbook_as_received_2026-09-11.xlsx</w:t>
            </w:r>
          </w:p>
        </w:tc>
        <w:tc>
          <w:tcPr>
            <w:tcW w:type="dxa" w:w="1029"/>
          </w:tcPr>
          <w:p>
            <w:r>
              <w:rPr>
                <w:sz w:val="15"/>
              </w:rPr>
              <w:t>Interviews Aug–Sep 2025; entry record received 10–11 Sep 2026</w:t>
            </w:r>
          </w:p>
        </w:tc>
        <w:tc>
          <w:tcPr>
            <w:tcW w:type="dxa" w:w="1029"/>
          </w:tcPr>
          <w:p>
            <w:r>
              <w:rPr>
                <w:sz w:val="15"/>
              </w:rPr>
              <w:t>9 sustained participants</w:t>
            </w:r>
          </w:p>
        </w:tc>
        <w:tc>
          <w:tcPr>
            <w:tcW w:type="dxa" w:w="1123"/>
          </w:tcPr>
          <w:p>
            <w:r>
              <w:rPr>
                <w:sz w:val="15"/>
              </w:rPr>
              <w:t>Entered ratings and free text</w:t>
            </w:r>
          </w:p>
        </w:tc>
        <w:tc>
          <w:tcPr>
            <w:tcW w:type="dxa" w:w="1123"/>
          </w:tcPr>
          <w:p>
            <w:r>
              <w:rPr>
                <w:sz w:val="15"/>
              </w:rPr>
              <w:t>Appendix C ratings; §5.6</w:t>
            </w:r>
          </w:p>
        </w:tc>
        <w:tc>
          <w:tcPr>
            <w:tcW w:type="dxa" w:w="1123"/>
          </w:tcPr>
          <w:p>
            <w:r>
              <w:rPr>
                <w:sz w:val="15"/>
              </w:rPr>
              <w:t>Held in repository (entry record); completed forms not filed</w:t>
            </w:r>
          </w:p>
        </w:tc>
      </w:tr>
      <w:tr>
        <w:tc>
          <w:tcPr>
            <w:tcW w:type="dxa" w:w="1591"/>
          </w:tcPr>
          <w:p>
            <w:r>
              <w:rPr>
                <w:sz w:val="15"/>
              </w:rPr>
              <w:t>Stage-2 FIAS composite scores (Appendix B)</w:t>
            </w:r>
          </w:p>
        </w:tc>
        <w:tc>
          <w:tcPr>
            <w:tcW w:type="dxa" w:w="2340"/>
          </w:tcPr>
          <w:p>
            <w:r>
              <w:rPr>
                <w:sz w:val="15"/>
              </w:rPr>
              <w:t>Author's working record</w:t>
            </w:r>
          </w:p>
        </w:tc>
        <w:tc>
          <w:tcPr>
            <w:tcW w:type="dxa" w:w="1029"/>
          </w:tcPr>
          <w:p>
            <w:r>
              <w:rPr>
                <w:sz w:val="15"/>
              </w:rPr>
              <w:t>2025</w:t>
            </w:r>
          </w:p>
        </w:tc>
        <w:tc>
          <w:tcPr>
            <w:tcW w:type="dxa" w:w="1029"/>
          </w:tcPr>
          <w:p>
            <w:r>
              <w:rPr>
                <w:sz w:val="15"/>
              </w:rPr>
              <w:t>30 participants</w:t>
            </w:r>
          </w:p>
        </w:tc>
        <w:tc>
          <w:tcPr>
            <w:tcW w:type="dxa" w:w="1123"/>
          </w:tcPr>
          <w:p>
            <w:r>
              <w:rPr>
                <w:sz w:val="15"/>
              </w:rPr>
              <w:t>Thirteen-attribute rule (not reproduced)</w:t>
            </w:r>
          </w:p>
        </w:tc>
        <w:tc>
          <w:tcPr>
            <w:tcW w:type="dxa" w:w="1123"/>
          </w:tcPr>
          <w:p>
            <w:r>
              <w:rPr>
                <w:sz w:val="15"/>
              </w:rPr>
              <w:t>Figure B.1 (descriptive only)</w:t>
            </w:r>
          </w:p>
        </w:tc>
        <w:tc>
          <w:tcPr>
            <w:tcW w:type="dxa" w:w="1123"/>
          </w:tcPr>
          <w:p>
            <w:r>
              <w:rPr>
                <w:sz w:val="15"/>
              </w:rPr>
              <w:t>Rule not deposited; composite carries no evidential weight</w:t>
            </w:r>
          </w:p>
        </w:tc>
      </w:tr>
      <w:tr>
        <w:tc>
          <w:tcPr>
            <w:tcW w:type="dxa" w:w="1591"/>
          </w:tcPr>
          <w:p>
            <w:r>
              <w:rPr>
                <w:sz w:val="15"/>
              </w:rPr>
              <w:t>Stage-3 data logbook with aggregate summary (G.3)</w:t>
            </w:r>
          </w:p>
        </w:tc>
        <w:tc>
          <w:tcPr>
            <w:tcW w:type="dxa" w:w="2340"/>
          </w:tcPr>
          <w:p>
            <w:r>
              <w:rPr>
                <w:sz w:val="15"/>
              </w:rPr>
              <w:t>docs/thesis/Stage3_Data_Logbook_120cases_with_Reconciliation.xlsx (Preliminary_Summary sheet)</w:t>
            </w:r>
          </w:p>
        </w:tc>
        <w:tc>
          <w:tcPr>
            <w:tcW w:type="dxa" w:w="1029"/>
          </w:tcPr>
          <w:p>
            <w:r>
              <w:rPr>
                <w:sz w:val="15"/>
              </w:rPr>
              <w:t>Summary compiled July 2026</w:t>
            </w:r>
          </w:p>
        </w:tc>
        <w:tc>
          <w:tcPr>
            <w:tcW w:type="dxa" w:w="1029"/>
          </w:tcPr>
          <w:p>
            <w:r>
              <w:rPr>
                <w:sz w:val="15"/>
              </w:rPr>
              <w:t>120 compiled participants (38/41/41)</w:t>
            </w:r>
          </w:p>
        </w:tc>
        <w:tc>
          <w:tcPr>
            <w:tcW w:type="dxa" w:w="1123"/>
          </w:tcPr>
          <w:p>
            <w:r>
              <w:rPr>
                <w:sz w:val="15"/>
              </w:rPr>
              <w:t>Author's compilation; internal arithmetic only</w:t>
            </w:r>
          </w:p>
        </w:tc>
        <w:tc>
          <w:tcPr>
            <w:tcW w:type="dxa" w:w="1123"/>
          </w:tcPr>
          <w:p>
            <w:r>
              <w:rPr>
                <w:sz w:val="15"/>
              </w:rPr>
              <w:t>Tables 6.1–6.3, 6.5 (Stage-3 rows); Figures 6.1–6.3; abstract</w:t>
            </w:r>
          </w:p>
        </w:tc>
        <w:tc>
          <w:tcPr>
            <w:tcW w:type="dxa" w:w="1123"/>
          </w:tcPr>
          <w:p>
            <w:r>
              <w:rPr>
                <w:sz w:val="15"/>
              </w:rPr>
              <w:t>Bound; participant-level sheets empty; returns not retained</w:t>
            </w:r>
          </w:p>
        </w:tc>
      </w:tr>
      <w:tr>
        <w:tc>
          <w:tcPr>
            <w:tcW w:type="dxa" w:w="1591"/>
          </w:tcPr>
          <w:p>
            <w:r>
              <w:rPr>
                <w:sz w:val="15"/>
              </w:rPr>
              <w:t>Stage-3 returned results and questionnaire responses</w:t>
            </w:r>
          </w:p>
        </w:tc>
        <w:tc>
          <w:tcPr>
            <w:tcW w:type="dxa" w:w="2340"/>
          </w:tcPr>
          <w:p>
            <w:r>
              <w:rPr>
                <w:sz w:val="15"/>
              </w:rPr>
              <w:t>Not retained</w:t>
            </w:r>
          </w:p>
        </w:tc>
        <w:tc>
          <w:tcPr>
            <w:tcW w:type="dxa" w:w="1029"/>
          </w:tcPr>
          <w:p>
            <w:r>
              <w:rPr>
                <w:sz w:val="15"/>
              </w:rPr>
              <w:t>April–July 2026</w:t>
            </w:r>
          </w:p>
        </w:tc>
        <w:tc>
          <w:tcPr>
            <w:tcW w:type="dxa" w:w="1029"/>
          </w:tcPr>
          <w:p>
            <w:r>
              <w:rPr>
                <w:sz w:val="15"/>
              </w:rPr>
              <w:t>120 participants</w:t>
            </w:r>
          </w:p>
        </w:tc>
        <w:tc>
          <w:tcPr>
            <w:tcW w:type="dxa" w:w="1123"/>
          </w:tcPr>
          <w:p>
            <w:r>
              <w:rPr>
                <w:sz w:val="15"/>
              </w:rPr>
              <w:t>Compiled into the summary</w:t>
            </w:r>
          </w:p>
        </w:tc>
        <w:tc>
          <w:tcPr>
            <w:tcW w:type="dxa" w:w="1123"/>
          </w:tcPr>
          <w:p>
            <w:r>
              <w:rPr>
                <w:sz w:val="15"/>
              </w:rPr>
              <w:t>—</w:t>
            </w:r>
          </w:p>
        </w:tc>
        <w:tc>
          <w:tcPr>
            <w:tcW w:type="dxa" w:w="1123"/>
          </w:tcPr>
          <w:p>
            <w:r>
              <w:rPr>
                <w:sz w:val="15"/>
              </w:rPr>
              <w:t>Not retained as separate records</w:t>
            </w:r>
          </w:p>
        </w:tc>
      </w:tr>
      <w:tr>
        <w:tc>
          <w:tcPr>
            <w:tcW w:type="dxa" w:w="1591"/>
          </w:tcPr>
          <w:p>
            <w:r>
              <w:rPr>
                <w:sz w:val="15"/>
              </w:rPr>
              <w:t>Stage-3A game builds (G.0A)</w:t>
            </w:r>
          </w:p>
        </w:tc>
        <w:tc>
          <w:tcPr>
            <w:tcW w:type="dxa" w:w="2340"/>
          </w:tcPr>
          <w:p>
            <w:r>
              <w:rPr>
                <w:sz w:val="15"/>
              </w:rPr>
              <w:t>docs/thesis/game/Alpine_Coordination_Game_Stage31_v1.0_as_received_2026-09-30.html; Alpine_Coordination_Game_Stage3_v2.2.html</w:t>
            </w:r>
          </w:p>
        </w:tc>
        <w:tc>
          <w:tcPr>
            <w:tcW w:type="dxa" w:w="1029"/>
          </w:tcPr>
          <w:p>
            <w:r>
              <w:rPr>
                <w:sz w:val="15"/>
              </w:rPr>
              <w:t>v1.0 received 30 Sep 2026; v2.2 created 13 Jul 2026</w:t>
            </w:r>
          </w:p>
        </w:tc>
        <w:tc>
          <w:tcPr>
            <w:tcW w:type="dxa" w:w="1029"/>
          </w:tcPr>
          <w:p>
            <w:r>
              <w:rPr>
                <w:sz w:val="15"/>
              </w:rPr>
              <w:t>Build per participant not recorded</w:t>
            </w:r>
          </w:p>
        </w:tc>
        <w:tc>
          <w:tcPr>
            <w:tcW w:type="dxa" w:w="1123"/>
          </w:tcPr>
          <w:p>
            <w:r>
              <w:rPr>
                <w:sz w:val="15"/>
              </w:rPr>
              <w:t>—</w:t>
            </w:r>
          </w:p>
        </w:tc>
        <w:tc>
          <w:tcPr>
            <w:tcW w:type="dxa" w:w="1123"/>
          </w:tcPr>
          <w:p>
            <w:r>
              <w:rPr>
                <w:sz w:val="15"/>
              </w:rPr>
              <w:t>§6.4; Paper 3 Figure 1</w:t>
            </w:r>
          </w:p>
        </w:tc>
        <w:tc>
          <w:tcPr>
            <w:tcW w:type="dxa" w:w="1123"/>
          </w:tcPr>
          <w:p>
            <w:r>
              <w:rPr>
                <w:sz w:val="15"/>
              </w:rPr>
              <w:t>Held in repository</w:t>
            </w:r>
          </w:p>
        </w:tc>
      </w:tr>
      <w:tr>
        <w:tc>
          <w:tcPr>
            <w:tcW w:type="dxa" w:w="1591"/>
          </w:tcPr>
          <w:p>
            <w:r>
              <w:rPr>
                <w:sz w:val="15"/>
              </w:rPr>
              <w:t>Stage-3 distributor invitations and participant invitation (G.5)</w:t>
            </w:r>
          </w:p>
        </w:tc>
        <w:tc>
          <w:tcPr>
            <w:tcW w:type="dxa" w:w="2340"/>
          </w:tcPr>
          <w:p>
            <w:r>
              <w:rPr>
                <w:sz w:val="15"/>
              </w:rPr>
              <w:t>docs/thesis/evidence/Stage3_distributor_invitation_*.jpeg; Research_Participant_Invitation_Decoupled_Skiing_Game_as_received_2026-08-04.docx</w:t>
            </w:r>
          </w:p>
        </w:tc>
        <w:tc>
          <w:tcPr>
            <w:tcW w:type="dxa" w:w="1029"/>
          </w:tcPr>
          <w:p>
            <w:r>
              <w:rPr>
                <w:sz w:val="15"/>
              </w:rPr>
              <w:t>Received 4 Aug 2026 (reconstruction) and Sep 2026</w:t>
            </w:r>
          </w:p>
        </w:tc>
        <w:tc>
          <w:tcPr>
            <w:tcW w:type="dxa" w:w="1029"/>
          </w:tcPr>
          <w:p>
            <w:r>
              <w:rPr>
                <w:sz w:val="15"/>
              </w:rPr>
              <w:t>—</w:t>
            </w:r>
          </w:p>
        </w:tc>
        <w:tc>
          <w:tcPr>
            <w:tcW w:type="dxa" w:w="1123"/>
          </w:tcPr>
          <w:p>
            <w:r>
              <w:rPr>
                <w:sz w:val="15"/>
              </w:rPr>
              <w:t>—</w:t>
            </w:r>
          </w:p>
        </w:tc>
        <w:tc>
          <w:tcPr>
            <w:tcW w:type="dxa" w:w="1123"/>
          </w:tcPr>
          <w:p>
            <w:r>
              <w:rPr>
                <w:sz w:val="15"/>
              </w:rPr>
              <w:t>§3.4, §6.4</w:t>
            </w:r>
          </w:p>
        </w:tc>
        <w:tc>
          <w:tcPr>
            <w:tcW w:type="dxa" w:w="1123"/>
          </w:tcPr>
          <w:p>
            <w:r>
              <w:rPr>
                <w:sz w:val="15"/>
              </w:rPr>
              <w:t>Held in repository; no return index</w:t>
            </w:r>
          </w:p>
        </w:tc>
      </w:tr>
      <w:tr>
        <w:tc>
          <w:tcPr>
            <w:tcW w:type="dxa" w:w="1591"/>
          </w:tcPr>
          <w:p>
            <w:r>
              <w:rPr>
                <w:sz w:val="15"/>
              </w:rPr>
              <w:t>Synthetic and reconstructed Stage-3 files (G.8)</w:t>
            </w:r>
          </w:p>
        </w:tc>
        <w:tc>
          <w:tcPr>
            <w:tcW w:type="dxa" w:w="2340"/>
          </w:tcPr>
          <w:p>
            <w:r>
              <w:rPr>
                <w:sz w:val="15"/>
              </w:rPr>
              <w:t>data_entry/Stage3_Data_Entry_DEMO_SYNTHETIC.xlsx; data_entry/SYNTHETIC_copies_received/</w:t>
            </w:r>
          </w:p>
        </w:tc>
        <w:tc>
          <w:tcPr>
            <w:tcW w:type="dxa" w:w="1029"/>
          </w:tcPr>
          <w:p>
            <w:r>
              <w:rPr>
                <w:sz w:val="15"/>
              </w:rPr>
              <w:t>Jul–Oct 2026</w:t>
            </w:r>
          </w:p>
        </w:tc>
        <w:tc>
          <w:tcPr>
            <w:tcW w:type="dxa" w:w="1029"/>
          </w:tcPr>
          <w:p>
            <w:r>
              <w:rPr>
                <w:sz w:val="15"/>
              </w:rPr>
              <w:t>None (fictitious)</w:t>
            </w:r>
          </w:p>
        </w:tc>
        <w:tc>
          <w:tcPr>
            <w:tcW w:type="dxa" w:w="1123"/>
          </w:tcPr>
          <w:p>
            <w:r>
              <w:rPr>
                <w:sz w:val="15"/>
              </w:rPr>
              <w:t>—</w:t>
            </w:r>
          </w:p>
        </w:tc>
        <w:tc>
          <w:tcPr>
            <w:tcW w:type="dxa" w:w="1123"/>
          </w:tcPr>
          <w:p>
            <w:r>
              <w:rPr>
                <w:sz w:val="15"/>
              </w:rPr>
              <w:t>None</w:t>
            </w:r>
          </w:p>
        </w:tc>
        <w:tc>
          <w:tcPr>
            <w:tcW w:type="dxa" w:w="1123"/>
          </w:tcPr>
          <w:p>
            <w:r>
              <w:rPr>
                <w:sz w:val="15"/>
              </w:rPr>
              <w:t>Labelled; never evidence</w:t>
            </w:r>
          </w:p>
        </w:tc>
      </w:tr>
      <w:tr>
        <w:tc>
          <w:tcPr>
            <w:tcW w:type="dxa" w:w="1591"/>
          </w:tcPr>
          <w:p>
            <w:r>
              <w:rPr>
                <w:sz w:val="15"/>
              </w:rPr>
              <w:t>Expert consultation consents and records (Appendix H)</w:t>
            </w:r>
          </w:p>
        </w:tc>
        <w:tc>
          <w:tcPr>
            <w:tcW w:type="dxa" w:w="2340"/>
          </w:tcPr>
          <w:p>
            <w:r>
              <w:rPr>
                <w:sz w:val="15"/>
              </w:rPr>
              <w:t>docs/thesis/evidence/Consent_Form_*.pdf; Expert_Interview_Guide_2026.docx</w:t>
            </w:r>
          </w:p>
        </w:tc>
        <w:tc>
          <w:tcPr>
            <w:tcW w:type="dxa" w:w="1029"/>
          </w:tcPr>
          <w:p>
            <w:r>
              <w:rPr>
                <w:sz w:val="15"/>
              </w:rPr>
              <w:t>Signed 22 Jul–11 Aug 2026</w:t>
            </w:r>
          </w:p>
        </w:tc>
        <w:tc>
          <w:tcPr>
            <w:tcW w:type="dxa" w:w="1029"/>
          </w:tcPr>
          <w:p>
            <w:r>
              <w:rPr>
                <w:sz w:val="15"/>
              </w:rPr>
              <w:t>4 experts</w:t>
            </w:r>
          </w:p>
        </w:tc>
        <w:tc>
          <w:tcPr>
            <w:tcW w:type="dxa" w:w="1123"/>
          </w:tcPr>
          <w:p>
            <w:r>
              <w:rPr>
                <w:sz w:val="15"/>
              </w:rPr>
              <w:t>Author's notes; one audio transcript (7 Sep 2026)</w:t>
            </w:r>
          </w:p>
        </w:tc>
        <w:tc>
          <w:tcPr>
            <w:tcW w:type="dxa" w:w="1123"/>
          </w:tcPr>
          <w:p>
            <w:r>
              <w:rPr>
                <w:sz w:val="15"/>
              </w:rPr>
              <w:t>§6.12; Appendix H</w:t>
            </w:r>
          </w:p>
        </w:tc>
        <w:tc>
          <w:tcPr>
            <w:tcW w:type="dxa" w:w="1123"/>
          </w:tcPr>
          <w:p>
            <w:r>
              <w:rPr>
                <w:sz w:val="15"/>
              </w:rPr>
              <w:t>Held in repository; two member-checks not returned</w:t>
            </w:r>
          </w:p>
        </w:tc>
      </w:tr>
      <w:tr>
        <w:tc>
          <w:tcPr>
            <w:tcW w:type="dxa" w:w="1591"/>
          </w:tcPr>
          <w:p>
            <w:r>
              <w:rPr>
                <w:sz w:val="15"/>
              </w:rPr>
              <w:t>Ethics approval memo and application drafts</w:t>
            </w:r>
          </w:p>
        </w:tc>
        <w:tc>
          <w:tcPr>
            <w:tcW w:type="dxa" w:w="2340"/>
          </w:tcPr>
          <w:p>
            <w:r>
              <w:rPr>
                <w:sz w:val="15"/>
              </w:rPr>
              <w:t>docs/thesis/ethics/HSEARS20260805008_Approval_Memo_as_received_2026-09-11.pdf; HSESC_*.docx (pre-submission drafts)</w:t>
            </w:r>
          </w:p>
        </w:tc>
        <w:tc>
          <w:tcPr>
            <w:tcW w:type="dxa" w:w="1029"/>
          </w:tcPr>
          <w:p>
            <w:r>
              <w:rPr>
                <w:sz w:val="15"/>
              </w:rPr>
              <w:t>Approved 6 Aug 2026</w:t>
            </w:r>
          </w:p>
        </w:tc>
        <w:tc>
          <w:tcPr>
            <w:tcW w:type="dxa" w:w="1029"/>
          </w:tcPr>
          <w:p>
            <w:r>
              <w:rPr>
                <w:sz w:val="15"/>
              </w:rPr>
              <w:t>—</w:t>
            </w:r>
          </w:p>
        </w:tc>
        <w:tc>
          <w:tcPr>
            <w:tcW w:type="dxa" w:w="1123"/>
          </w:tcPr>
          <w:p>
            <w:r>
              <w:rPr>
                <w:sz w:val="15"/>
              </w:rPr>
              <w:t>—</w:t>
            </w:r>
          </w:p>
        </w:tc>
        <w:tc>
          <w:tcPr>
            <w:tcW w:type="dxa" w:w="1123"/>
          </w:tcPr>
          <w:p>
            <w:r>
              <w:rPr>
                <w:sz w:val="15"/>
              </w:rPr>
              <w:t>§3.4; Appendix I.7</w:t>
            </w:r>
          </w:p>
        </w:tc>
        <w:tc>
          <w:tcPr>
            <w:tcW w:type="dxa" w:w="1123"/>
          </w:tcPr>
          <w:p>
            <w:r>
              <w:rPr>
                <w:sz w:val="15"/>
              </w:rPr>
              <w:t>Memo held; application as submitted held by the author</w:t>
            </w:r>
          </w:p>
        </w:tc>
      </w:tr>
      <w:tr>
        <w:tc>
          <w:tcPr>
            <w:tcW w:type="dxa" w:w="1591"/>
          </w:tcPr>
          <w:p>
            <w:r>
              <w:rPr>
                <w:sz w:val="15"/>
              </w:rPr>
              <w:t>Development-office videos and facility photograph (G.4, G.10)</w:t>
            </w:r>
          </w:p>
        </w:tc>
        <w:tc>
          <w:tcPr>
            <w:tcW w:type="dxa" w:w="2340"/>
          </w:tcPr>
          <w:p>
            <w:r>
              <w:rPr>
                <w:sz w:val="15"/>
              </w:rPr>
              <w:t>docs/thesis/evidence/platform_demo_2024-08-27_1082.mov; gameplay_screenrecording_2024-08-27_1074.mov; FRA_station_Guangzhou_IMG_0886_original.jpeg</w:t>
            </w:r>
          </w:p>
        </w:tc>
        <w:tc>
          <w:tcPr>
            <w:tcW w:type="dxa" w:w="1029"/>
          </w:tcPr>
          <w:p>
            <w:r>
              <w:rPr>
                <w:sz w:val="15"/>
              </w:rPr>
              <w:t>27 Aug 2024; 2025</w:t>
            </w:r>
          </w:p>
        </w:tc>
        <w:tc>
          <w:tcPr>
            <w:tcW w:type="dxa" w:w="1029"/>
          </w:tcPr>
          <w:p>
            <w:r>
              <w:rPr>
                <w:sz w:val="15"/>
              </w:rPr>
              <w:t>Two control persons; no participant</w:t>
            </w:r>
          </w:p>
        </w:tc>
        <w:tc>
          <w:tcPr>
            <w:tcW w:type="dxa" w:w="1123"/>
          </w:tcPr>
          <w:p>
            <w:r>
              <w:rPr>
                <w:sz w:val="15"/>
              </w:rPr>
              <w:t>—</w:t>
            </w:r>
          </w:p>
        </w:tc>
        <w:tc>
          <w:tcPr>
            <w:tcW w:type="dxa" w:w="1123"/>
          </w:tcPr>
          <w:p>
            <w:r>
              <w:rPr>
                <w:sz w:val="15"/>
              </w:rPr>
              <w:t>Figures 4.1B, 5.1A</w:t>
            </w:r>
          </w:p>
        </w:tc>
        <w:tc>
          <w:tcPr>
            <w:tcW w:type="dxa" w:w="1123"/>
          </w:tcPr>
          <w:p>
            <w:r>
              <w:rPr>
                <w:sz w:val="15"/>
              </w:rPr>
              <w:t>Held in repository; control person's consent not on file</w:t>
            </w:r>
          </w:p>
        </w:tc>
      </w:tr>
      <w:tr>
        <w:tc>
          <w:tcPr>
            <w:tcW w:type="dxa" w:w="1591"/>
          </w:tcPr>
          <w:p>
            <w:r>
              <w:rPr>
                <w:sz w:val="15"/>
              </w:rPr>
              <w:t>Stage-3B protocol, builds, device copies, frozen edition, returns, decision notes (G.12)</w:t>
            </w:r>
          </w:p>
        </w:tc>
        <w:tc>
          <w:tcPr>
            <w:tcW w:type="dxa" w:w="2340"/>
          </w:tcPr>
          <w:p>
            <w:r>
              <w:rPr>
                <w:sz w:val="15"/>
              </w:rPr>
              <w:t>docs/thesis/stage3b/ (Mini_Protocol, device_sets, study_build_FROZEN_2026-09-15, DECISION_2026-09-26, DECISION_2026-10-02); data_entry/incoming/stage3b_returns/</w:t>
            </w:r>
          </w:p>
        </w:tc>
        <w:tc>
          <w:tcPr>
            <w:tcW w:type="dxa" w:w="1029"/>
          </w:tcPr>
          <w:p>
            <w:r>
              <w:rPr>
                <w:sz w:val="15"/>
              </w:rPr>
              <w:t>8 Aug–30 Sep 2026</w:t>
            </w:r>
          </w:p>
        </w:tc>
        <w:tc>
          <w:tcPr>
            <w:tcW w:type="dxa" w:w="1029"/>
          </w:tcPr>
          <w:p>
            <w:r>
              <w:rPr>
                <w:sz w:val="15"/>
              </w:rPr>
              <w:t>11 returns on record (codes only)</w:t>
            </w:r>
          </w:p>
        </w:tc>
        <w:tc>
          <w:tcPr>
            <w:tcW w:type="dxa" w:w="1123"/>
          </w:tcPr>
          <w:p>
            <w:r>
              <w:rPr>
                <w:sz w:val="15"/>
              </w:rPr>
              <w:t>Verification checks as recorded</w:t>
            </w:r>
          </w:p>
        </w:tc>
        <w:tc>
          <w:tcPr>
            <w:tcW w:type="dxa" w:w="1123"/>
          </w:tcPr>
          <w:p>
            <w:r>
              <w:rPr>
                <w:sz w:val="15"/>
              </w:rPr>
              <w:t>Appendix I (descriptive only)</w:t>
            </w:r>
          </w:p>
        </w:tc>
        <w:tc>
          <w:tcPr>
            <w:tcW w:type="dxa" w:w="1123"/>
          </w:tcPr>
          <w:p>
            <w:r>
              <w:rPr>
                <w:sz w:val="15"/>
              </w:rPr>
              <w:t>Held in repository with SHA-256</w:t>
            </w:r>
          </w:p>
        </w:tc>
      </w:tr>
      <w:tr>
        <w:tc>
          <w:tcPr>
            <w:tcW w:type="dxa" w:w="1591"/>
          </w:tcPr>
          <w:p>
            <w:r>
              <w:rPr>
                <w:sz w:val="15"/>
              </w:rPr>
              <w:t>Stage-3B Pro v4.1 self-test package, reports and exports (G.13)</w:t>
            </w:r>
          </w:p>
        </w:tc>
        <w:tc>
          <w:tcPr>
            <w:tcW w:type="dxa" w:w="2340"/>
          </w:tcPr>
          <w:p>
            <w:r>
              <w:rPr>
                <w:sz w:val="15"/>
              </w:rPr>
              <w:t>docs/thesis/stage3b/pro_v4_selftest/</w:t>
            </w:r>
          </w:p>
        </w:tc>
        <w:tc>
          <w:tcPr>
            <w:tcW w:type="dxa" w:w="1029"/>
          </w:tcPr>
          <w:p>
            <w:r>
              <w:rPr>
                <w:sz w:val="15"/>
              </w:rPr>
              <w:t>19–30 Sep 2026</w:t>
            </w:r>
          </w:p>
        </w:tc>
        <w:tc>
          <w:tcPr>
            <w:tcW w:type="dxa" w:w="1029"/>
          </w:tcPr>
          <w:p>
            <w:r>
              <w:rPr>
                <w:sz w:val="15"/>
              </w:rPr>
              <w:t>7 codes (identities unverified)</w:t>
            </w:r>
          </w:p>
        </w:tc>
        <w:tc>
          <w:tcPr>
            <w:tcW w:type="dxa" w:w="1123"/>
          </w:tcPr>
          <w:p>
            <w:r>
              <w:rPr>
                <w:sz w:val="15"/>
              </w:rPr>
              <w:t>Reports as received; counts verified from raw exports</w:t>
            </w:r>
          </w:p>
        </w:tc>
        <w:tc>
          <w:tcPr>
            <w:tcW w:type="dxa" w:w="1123"/>
          </w:tcPr>
          <w:p>
            <w:r>
              <w:rPr>
                <w:sz w:val="15"/>
              </w:rPr>
              <w:t>Appendix I.5 (descriptive only)</w:t>
            </w:r>
          </w:p>
        </w:tc>
        <w:tc>
          <w:tcPr>
            <w:tcW w:type="dxa" w:w="1123"/>
          </w:tcPr>
          <w:p>
            <w:r>
              <w:rPr>
                <w:sz w:val="15"/>
              </w:rPr>
              <w:t>Held in repository; derived workbooks and scripts not deposited</w:t>
            </w:r>
          </w:p>
        </w:tc>
      </w:tr>
      <w:tr>
        <w:tc>
          <w:tcPr>
            <w:tcW w:type="dxa" w:w="1591"/>
          </w:tcPr>
          <w:p>
            <w:r>
              <w:rPr>
                <w:sz w:val="15"/>
              </w:rPr>
              <w:t>Paper 1 record</w:t>
            </w:r>
          </w:p>
        </w:tc>
        <w:tc>
          <w:tcPr>
            <w:tcW w:type="dxa" w:w="2340"/>
          </w:tcPr>
          <w:p>
            <w:r>
              <w:rPr>
                <w:sz w:val="15"/>
              </w:rPr>
              <w:t>docs/papers/paper1_icmss/</w:t>
            </w:r>
          </w:p>
        </w:tc>
        <w:tc>
          <w:tcPr>
            <w:tcW w:type="dxa" w:w="1029"/>
          </w:tcPr>
          <w:p>
            <w:r>
              <w:rPr>
                <w:sz w:val="15"/>
              </w:rPr>
              <w:t>March 2026</w:t>
            </w:r>
          </w:p>
        </w:tc>
        <w:tc>
          <w:tcPr>
            <w:tcW w:type="dxa" w:w="1029"/>
          </w:tcPr>
          <w:p>
            <w:r>
              <w:rPr>
                <w:sz w:val="15"/>
              </w:rPr>
              <w:t>—</w:t>
            </w:r>
          </w:p>
        </w:tc>
        <w:tc>
          <w:tcPr>
            <w:tcW w:type="dxa" w:w="1123"/>
          </w:tcPr>
          <w:p>
            <w:r>
              <w:rPr>
                <w:sz w:val="15"/>
              </w:rPr>
              <w:t>—</w:t>
            </w:r>
          </w:p>
        </w:tc>
        <w:tc>
          <w:tcPr>
            <w:tcW w:type="dxa" w:w="1123"/>
          </w:tcPr>
          <w:p>
            <w:r>
              <w:rPr>
                <w:sz w:val="15"/>
              </w:rPr>
              <w:t>Chapter 4</w:t>
            </w:r>
          </w:p>
        </w:tc>
        <w:tc>
          <w:tcPr>
            <w:tcW w:type="dxa" w:w="1123"/>
          </w:tcPr>
          <w:p>
            <w:r>
              <w:rPr>
                <w:sz w:val="15"/>
              </w:rPr>
              <w:t>Held in repository</w:t>
            </w:r>
          </w:p>
        </w:tc>
      </w:tr>
    </w:tbl>
    <w:p>
      <w:pPr>
        <w:jc w:val="both"/>
      </w:pPr>
      <w:r>
        <w:t>G.0A Build-lineage matrix. One row per build generation, compiled on 2 October 2026 from the repository record, the archived build files and the thesis text. Where a cell says 'not on record', the thesis makes no claim for that generation on that point.</w:t>
      </w:r>
    </w:p>
    <w:tbl>
      <w:tblPr>
        <w:tblStyle w:val="TableGrid"/>
        <w:tblLook w:firstColumn="1" w:firstRow="1" w:lastColumn="0" w:lastRow="0" w:noHBand="0" w:noVBand="1" w:val="04A0"/>
        <w:tblW w:w="9360" w:type="dxa"/>
        <w:tblLayout w:type="fixed"/>
      </w:tblPr>
      <w:tblGrid>
        <w:gridCol w:w="1404"/>
        <w:gridCol w:w="1123"/>
        <w:gridCol w:w="1404"/>
        <w:gridCol w:w="1310"/>
        <w:gridCol w:w="1497"/>
        <w:gridCol w:w="1310"/>
        <w:gridCol w:w="1310"/>
      </w:tblGrid>
      <w:tr>
        <w:tc>
          <w:tcPr>
            <w:tcW w:type="dxa" w:w="1404"/>
          </w:tcPr>
          <w:p>
            <w:r>
              <w:rPr>
                <w:sz w:val="15"/>
              </w:rPr>
              <w:t>Generation</w:t>
            </w:r>
          </w:p>
        </w:tc>
        <w:tc>
          <w:tcPr>
            <w:tcW w:type="dxa" w:w="1123"/>
          </w:tcPr>
          <w:p>
            <w:r>
              <w:rPr>
                <w:sz w:val="15"/>
              </w:rPr>
              <w:t>Dates</w:t>
            </w:r>
          </w:p>
        </w:tc>
        <w:tc>
          <w:tcPr>
            <w:tcW w:type="dxa" w:w="1404"/>
          </w:tcPr>
          <w:p>
            <w:r>
              <w:rPr>
                <w:sz w:val="15"/>
              </w:rPr>
              <w:t>Code version / hash</w:t>
            </w:r>
          </w:p>
        </w:tc>
        <w:tc>
          <w:tcPr>
            <w:tcW w:type="dxa" w:w="1310"/>
          </w:tcPr>
          <w:p>
            <w:r>
              <w:rPr>
                <w:sz w:val="15"/>
              </w:rPr>
              <w:t>Hardware and input</w:t>
            </w:r>
          </w:p>
        </w:tc>
        <w:tc>
          <w:tcPr>
            <w:tcW w:type="dxa" w:w="1497"/>
          </w:tcPr>
          <w:p>
            <w:r>
              <w:rPr>
                <w:sz w:val="15"/>
              </w:rPr>
              <w:t>Adaptation mechanism</w:t>
            </w:r>
          </w:p>
        </w:tc>
        <w:tc>
          <w:tcPr>
            <w:tcW w:type="dxa" w:w="1310"/>
          </w:tcPr>
          <w:p>
            <w:r>
              <w:rPr>
                <w:sz w:val="15"/>
              </w:rPr>
              <w:t>Logging capability vs retained logs</w:t>
            </w:r>
          </w:p>
        </w:tc>
        <w:tc>
          <w:tcPr>
            <w:tcW w:type="dxa" w:w="1310"/>
          </w:tcPr>
          <w:p>
            <w:r>
              <w:rPr>
                <w:sz w:val="15"/>
              </w:rPr>
              <w:t>Who used it (as recorded)</w:t>
            </w:r>
          </w:p>
        </w:tc>
      </w:tr>
      <w:tr>
        <w:tc>
          <w:tcPr>
            <w:tcW w:type="dxa" w:w="1404"/>
          </w:tcPr>
          <w:p>
            <w:r>
              <w:rPr>
                <w:sz w:val="15"/>
              </w:rPr>
              <w:t>1. Off-the-shelf scaffold demonstration (Tux Racer coupled to the balance platform)</w:t>
            </w:r>
          </w:p>
        </w:tc>
        <w:tc>
          <w:tcPr>
            <w:tcW w:type="dxa" w:w="1123"/>
          </w:tcPr>
          <w:p>
            <w:r>
              <w:rPr>
                <w:sz w:val="15"/>
              </w:rPr>
              <w:t>27 Aug 2024 (videos, item G.10)</w:t>
            </w:r>
          </w:p>
        </w:tc>
        <w:tc>
          <w:tcPr>
            <w:tcW w:type="dxa" w:w="1404"/>
          </w:tcPr>
          <w:p>
            <w:r>
              <w:rPr>
                <w:sz w:val="15"/>
              </w:rPr>
              <w:t>No code retained; open-source scaffold contributed no code to later builds</w:t>
            </w:r>
          </w:p>
        </w:tc>
        <w:tc>
          <w:tcPr>
            <w:tcW w:type="dxa" w:w="1310"/>
          </w:tcPr>
          <w:p>
            <w:r>
              <w:rPr>
                <w:sz w:val="15"/>
              </w:rPr>
              <w:t>Balance platform, weight-shift steering</w:t>
            </w:r>
          </w:p>
        </w:tc>
        <w:tc>
          <w:tcPr>
            <w:tcW w:type="dxa" w:w="1497"/>
          </w:tcPr>
          <w:p>
            <w:r>
              <w:rPr>
                <w:sz w:val="15"/>
              </w:rPr>
              <w:t>None (static)</w:t>
            </w:r>
          </w:p>
        </w:tc>
        <w:tc>
          <w:tcPr>
            <w:tcW w:type="dxa" w:w="1310"/>
          </w:tcPr>
          <w:p>
            <w:r>
              <w:rPr>
                <w:sz w:val="15"/>
              </w:rPr>
              <w:t>No logs; two videos retained</w:t>
            </w:r>
          </w:p>
        </w:tc>
        <w:tc>
          <w:tcPr>
            <w:tcW w:type="dxa" w:w="1310"/>
          </w:tcPr>
          <w:p>
            <w:r>
              <w:rPr>
                <w:sz w:val="15"/>
              </w:rPr>
              <w:t>Two control persons; no study participant</w:t>
            </w:r>
          </w:p>
        </w:tc>
      </w:tr>
      <w:tr>
        <w:tc>
          <w:tcPr>
            <w:tcW w:type="dxa" w:w="1404"/>
          </w:tcPr>
          <w:p>
            <w:r>
              <w:rPr>
                <w:sz w:val="15"/>
              </w:rPr>
              <w:t>2. Deployed Stage-2 build (2D Pygame skiing game on the InBody pressure panel)</w:t>
            </w:r>
          </w:p>
        </w:tc>
        <w:tc>
          <w:tcPr>
            <w:tcW w:type="dxa" w:w="1123"/>
          </w:tcPr>
          <w:p>
            <w:r>
              <w:rPr>
                <w:sz w:val="15"/>
              </w:rPr>
              <w:t>Development from 2023; deployed June–August 2025</w:t>
            </w:r>
          </w:p>
        </w:tc>
        <w:tc>
          <w:tcPr>
            <w:tcW w:type="dxa" w:w="1404"/>
          </w:tcPr>
          <w:p>
            <w:r>
              <w:rPr>
                <w:sz w:val="15"/>
              </w:rPr>
              <w:t>Source code not deposited; no version or hash on record (approximately fifteen iterations by the author's count)</w:t>
            </w:r>
          </w:p>
        </w:tc>
        <w:tc>
          <w:tcPr>
            <w:tcW w:type="dxa" w:w="1310"/>
          </w:tcPr>
          <w:p>
            <w:r>
              <w:rPr>
                <w:sz w:val="15"/>
              </w:rPr>
              <w:t>InBody FRA510S pressure panel (COP stream); clinician-side terminal</w:t>
            </w:r>
          </w:p>
        </w:tc>
        <w:tc>
          <w:tcPr>
            <w:tcW w:type="dxa" w:w="1497"/>
          </w:tcPr>
          <w:p>
            <w:r>
              <w:rPr>
                <w:sz w:val="15"/>
              </w:rPr>
              <w:t>Specified: parameter-table multipliers and a Layer-2 model-call loop with 80%/40% rule; operational status in deployment not documented</w:t>
            </w:r>
          </w:p>
        </w:tc>
        <w:tc>
          <w:tcPr>
            <w:tcW w:type="dxa" w:w="1310"/>
          </w:tcPr>
          <w:p>
            <w:r>
              <w:rPr>
                <w:sz w:val="15"/>
              </w:rPr>
              <w:t>Layer-3 logging specified; session telemetry and AI-call logs not kept; play recorded by hand (G.2)</w:t>
            </w:r>
          </w:p>
        </w:tc>
        <w:tc>
          <w:tcPr>
            <w:tcW w:type="dxa" w:w="1310"/>
          </w:tcPr>
          <w:p>
            <w:r>
              <w:rPr>
                <w:sz w:val="15"/>
              </w:rPr>
              <w:t>30 residents (S2-P001–S2-P030) plus two staff test plays</w:t>
            </w:r>
          </w:p>
        </w:tc>
      </w:tr>
      <w:tr>
        <w:tc>
          <w:tcPr>
            <w:tcW w:type="dxa" w:w="1404"/>
          </w:tcPr>
          <w:p>
            <w:r>
              <w:rPr>
                <w:sz w:val="15"/>
              </w:rPr>
              <w:t>3. Stage-3A HTML port v1.0 ('STAGE 3 RESEARCH BUILD v1.0')</w:t>
            </w:r>
          </w:p>
        </w:tc>
        <w:tc>
          <w:tcPr>
            <w:tcW w:type="dxa" w:w="1123"/>
          </w:tcPr>
          <w:p>
            <w:r>
              <w:rPr>
                <w:sz w:val="15"/>
              </w:rPr>
              <w:t>Distributed from April 2026; file received 30 Sep 2026</w:t>
            </w:r>
          </w:p>
        </w:tc>
        <w:tc>
          <w:tcPr>
            <w:tcW w:type="dxa" w:w="1404"/>
          </w:tcPr>
          <w:p>
            <w:r>
              <w:rPr>
                <w:sz w:val="15"/>
              </w:rPr>
              <w:t>SHA-256 3200618c…; 21,521 bytes</w:t>
            </w:r>
          </w:p>
        </w:tc>
        <w:tc>
          <w:tcPr>
            <w:tcW w:type="dxa" w:w="1310"/>
          </w:tcPr>
          <w:p>
            <w:r>
              <w:rPr>
                <w:sz w:val="15"/>
              </w:rPr>
              <w:t>Participants' own computers (keyboard arrows or gamepad/foot pad); pre-installed iPad with external keyboard for some older participants</w:t>
            </w:r>
          </w:p>
        </w:tc>
        <w:tc>
          <w:tcPr>
            <w:tcW w:type="dxa" w:w="1497"/>
          </w:tcPr>
          <w:p>
            <w:r>
              <w:rPr>
                <w:sz w:val="15"/>
              </w:rPr>
              <w:t>Built-in rule agent (step up above 80% avoidance, ease off below 40%); optional model call with no embedded credential, falling back to the rule agent</w:t>
            </w:r>
          </w:p>
        </w:tc>
        <w:tc>
          <w:tcPr>
            <w:tcW w:type="dxa" w:w="1310"/>
          </w:tcPr>
          <w:p>
            <w:r>
              <w:rPr>
                <w:sz w:val="15"/>
              </w:rPr>
              <w:t>Per-run CSV export by the player; nothing saved automatically; returns not retained</w:t>
            </w:r>
          </w:p>
        </w:tc>
        <w:tc>
          <w:tcPr>
            <w:tcW w:type="dxa" w:w="1310"/>
          </w:tcPr>
          <w:p>
            <w:r>
              <w:rPr>
                <w:sz w:val="15"/>
              </w:rPr>
              <w:t>Stage-3A participants; build per participant not recorded</w:t>
            </w:r>
          </w:p>
        </w:tc>
      </w:tr>
      <w:tr>
        <w:tc>
          <w:tcPr>
            <w:tcW w:type="dxa" w:w="1404"/>
          </w:tcPr>
          <w:p>
            <w:r>
              <w:rPr>
                <w:sz w:val="15"/>
              </w:rPr>
              <w:t>4. Stage-3A redesign v2/v2.1/v2.2 ('Stage 3 Short-Run Build v2.2')</w:t>
            </w:r>
          </w:p>
        </w:tc>
        <w:tc>
          <w:tcPr>
            <w:tcW w:type="dxa" w:w="1123"/>
          </w:tcPr>
          <w:p>
            <w:r>
              <w:rPr>
                <w:sz w:val="15"/>
              </w:rPr>
              <w:t>Created 13 Jul 2026 (commits ba8f122, 2927329, f09fff9); main play from late July 2026</w:t>
            </w:r>
          </w:p>
        </w:tc>
        <w:tc>
          <w:tcPr>
            <w:tcW w:type="dxa" w:w="1404"/>
          </w:tcPr>
          <w:p>
            <w:r>
              <w:rPr>
                <w:sz w:val="15"/>
              </w:rPr>
              <w:t>SHA-256 42bc3df6…; 37,279 bytes</w:t>
            </w:r>
          </w:p>
        </w:tc>
        <w:tc>
          <w:tcPr>
            <w:tcW w:type="dxa" w:w="1310"/>
          </w:tcPr>
          <w:p>
            <w:r>
              <w:rPr>
                <w:sz w:val="15"/>
              </w:rPr>
              <w:t>As generation 3; 200 m / 30 s and 400 m / 60 s runs</w:t>
            </w:r>
          </w:p>
        </w:tc>
        <w:tc>
          <w:tcPr>
            <w:tcW w:type="dxa" w:w="1497"/>
          </w:tcPr>
          <w:p>
            <w:r>
              <w:rPr>
                <w:sz w:val="15"/>
              </w:rPr>
              <w:t>Built-in rule agent at a 6-s interval; optional model call, no credential</w:t>
            </w:r>
          </w:p>
        </w:tc>
        <w:tc>
          <w:tcPr>
            <w:tcW w:type="dxa" w:w="1310"/>
          </w:tcPr>
          <w:p>
            <w:r>
              <w:rPr>
                <w:sz w:val="15"/>
              </w:rPr>
              <w:t>As generation 3</w:t>
            </w:r>
          </w:p>
        </w:tc>
        <w:tc>
          <w:tcPr>
            <w:tcW w:type="dxa" w:w="1310"/>
          </w:tcPr>
          <w:p>
            <w:r>
              <w:rPr>
                <w:sz w:val="15"/>
              </w:rPr>
              <w:t>Stage-3A participants, including the distributors; build per participant not recorded</w:t>
            </w:r>
          </w:p>
        </w:tc>
      </w:tr>
      <w:tr>
        <w:tc>
          <w:tcPr>
            <w:tcW w:type="dxa" w:w="1404"/>
          </w:tcPr>
          <w:p>
            <w:r>
              <w:rPr>
                <w:sz w:val="15"/>
              </w:rPr>
              <w:t>5. v2.3 iOS touch build</w:t>
            </w:r>
          </w:p>
        </w:tc>
        <w:tc>
          <w:tcPr>
            <w:tcW w:type="dxa" w:w="1123"/>
          </w:tcPr>
          <w:p>
            <w:r>
              <w:rPr>
                <w:sz w:val="15"/>
              </w:rPr>
              <w:t>2 Aug 2026 (commit 5278f1a)</w:t>
            </w:r>
          </w:p>
        </w:tc>
        <w:tc>
          <w:tcPr>
            <w:tcW w:type="dxa" w:w="1404"/>
          </w:tcPr>
          <w:p>
            <w:r>
              <w:rPr>
                <w:sz w:val="15"/>
              </w:rPr>
              <w:t>Repository file</w:t>
            </w:r>
          </w:p>
        </w:tc>
        <w:tc>
          <w:tcPr>
            <w:tcW w:type="dxa" w:w="1310"/>
          </w:tcPr>
          <w:p>
            <w:r>
              <w:rPr>
                <w:sz w:val="15"/>
              </w:rPr>
              <w:t>Touch input</w:t>
            </w:r>
          </w:p>
        </w:tc>
        <w:tc>
          <w:tcPr>
            <w:tcW w:type="dxa" w:w="1497"/>
          </w:tcPr>
          <w:p>
            <w:r>
              <w:rPr>
                <w:sz w:val="15"/>
              </w:rPr>
              <w:t>As generation 4</w:t>
            </w:r>
          </w:p>
        </w:tc>
        <w:tc>
          <w:tcPr>
            <w:tcW w:type="dxa" w:w="1310"/>
          </w:tcPr>
          <w:p>
            <w:r>
              <w:rPr>
                <w:sz w:val="15"/>
              </w:rPr>
              <w:t>As generation 3</w:t>
            </w:r>
          </w:p>
        </w:tc>
        <w:tc>
          <w:tcPr>
            <w:tcW w:type="dxa" w:w="1310"/>
          </w:tcPr>
          <w:p>
            <w:r>
              <w:rPr>
                <w:sz w:val="15"/>
              </w:rPr>
              <w:t>Played by Expert P on 5 Aug 2026; not distributed to any cohort</w:t>
            </w:r>
          </w:p>
        </w:tc>
      </w:tr>
      <w:tr>
        <w:tc>
          <w:tcPr>
            <w:tcW w:type="dxa" w:w="1404"/>
          </w:tcPr>
          <w:p>
            <w:r>
              <w:rPr>
                <w:sz w:val="15"/>
              </w:rPr>
              <w:t>6. Stage-3B v3.0 and device copies DEV1–DEV5</w:t>
            </w:r>
          </w:p>
        </w:tc>
        <w:tc>
          <w:tcPr>
            <w:tcW w:type="dxa" w:w="1123"/>
          </w:tcPr>
          <w:p>
            <w:r>
              <w:rPr>
                <w:sz w:val="15"/>
              </w:rPr>
              <w:t>9 Aug 2026 (commits 6ef4f3f, abf1603, 59b7881); distributed 10–12 Aug</w:t>
            </w:r>
          </w:p>
        </w:tc>
        <w:tc>
          <w:tcPr>
            <w:tcW w:type="dxa" w:w="1404"/>
          </w:tcPr>
          <w:p>
            <w:r>
              <w:rPr>
                <w:sz w:val="15"/>
              </w:rPr>
              <w:t>Build string Alpine_Coordination_Game_v3.0_Stage3B</w:t>
            </w:r>
          </w:p>
        </w:tc>
        <w:tc>
          <w:tcPr>
            <w:tcW w:type="dxa" w:w="1310"/>
          </w:tcPr>
          <w:p>
            <w:r>
              <w:rPr>
                <w:sz w:val="15"/>
              </w:rPr>
              <w:t>Participants' own phones and computers; keyboard and touch; WeChat in-app browser mode</w:t>
            </w:r>
          </w:p>
        </w:tc>
        <w:tc>
          <w:tcPr>
            <w:tcW w:type="dxa" w:w="1497"/>
          </w:tcPr>
          <w:p>
            <w:r>
              <w:rPr>
                <w:sz w:val="15"/>
              </w:rPr>
              <w:t>Adaptive arm: rule agent with coaching; static arm: fixed ×0.85; 2×2 with failure mode; assignment per browser profile</w:t>
            </w:r>
          </w:p>
        </w:tc>
        <w:tc>
          <w:tcPr>
            <w:tcW w:type="dxa" w:w="1310"/>
          </w:tcPr>
          <w:p>
            <w:r>
              <w:rPr>
                <w:sz w:val="15"/>
              </w:rPr>
              <w:t>Enrolment, consent, per-run state and questionnaire written locally; returned only by participant export</w:t>
            </w:r>
          </w:p>
        </w:tc>
        <w:tc>
          <w:tcPr>
            <w:tcW w:type="dxa" w:w="1310"/>
          </w:tcPr>
          <w:p>
            <w:r>
              <w:rPr>
                <w:sz w:val="15"/>
              </w:rPr>
              <w:t>One verified return (B9V8YA); recipient counts author-reported</w:t>
            </w:r>
          </w:p>
        </w:tc>
      </w:tr>
      <w:tr>
        <w:tc>
          <w:tcPr>
            <w:tcW w:type="dxa" w:w="1404"/>
          </w:tcPr>
          <w:p>
            <w:r>
              <w:rPr>
                <w:sz w:val="15"/>
              </w:rPr>
              <w:t>7. v3.1 revisions (CSV export, gains-only scoring, input-mode logging)</w:t>
            </w:r>
          </w:p>
        </w:tc>
        <w:tc>
          <w:tcPr>
            <w:tcW w:type="dxa" w:w="1123"/>
          </w:tcPr>
          <w:p>
            <w:r>
              <w:rPr>
                <w:sz w:val="15"/>
              </w:rPr>
              <w:t>13 Aug 2026 (commits b8028e5, 923a25e, a1afc42)</w:t>
            </w:r>
          </w:p>
        </w:tc>
        <w:tc>
          <w:tcPr>
            <w:tcW w:type="dxa" w:w="1404"/>
          </w:tcPr>
          <w:p>
            <w:r>
              <w:rPr>
                <w:sz w:val="15"/>
              </w:rPr>
              <w:t>As recorded in Table I.3</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6 plus run-end CSV export</w:t>
            </w:r>
          </w:p>
        </w:tc>
        <w:tc>
          <w:tcPr>
            <w:tcW w:type="dxa" w:w="1310"/>
          </w:tcPr>
          <w:p>
            <w:r>
              <w:rPr>
                <w:sz w:val="15"/>
              </w:rPr>
              <w:t>Not distributed to the August cohort; five solicited plays on 15 Sep 2026 (excluded)</w:t>
            </w:r>
          </w:p>
        </w:tc>
      </w:tr>
      <w:tr>
        <w:tc>
          <w:tcPr>
            <w:tcW w:type="dxa" w:w="1404"/>
          </w:tcPr>
          <w:p>
            <w:r>
              <w:rPr>
                <w:sz w:val="15"/>
              </w:rPr>
              <w:t>8. Frozen study edition FROZEN20260915, copies D01–D20 and hosted links</w:t>
            </w:r>
          </w:p>
        </w:tc>
        <w:tc>
          <w:tcPr>
            <w:tcW w:type="dxa" w:w="1123"/>
          </w:tcPr>
          <w:p>
            <w:r>
              <w:rPr>
                <w:sz w:val="15"/>
              </w:rPr>
              <w:t>15–17 Sep 2026 (commit 2f61e62 and following)</w:t>
            </w:r>
          </w:p>
        </w:tc>
        <w:tc>
          <w:tcPr>
            <w:tcW w:type="dxa" w:w="1404"/>
          </w:tcPr>
          <w:p>
            <w:r>
              <w:rPr>
                <w:sz w:val="15"/>
              </w:rPr>
              <w:t>Stamp Alpine_Coordination_Game_v3.1s_Stage3B_FROZEN20260915; SHA-256 in CHECKSUMS</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7</w:t>
            </w:r>
          </w:p>
        </w:tc>
        <w:tc>
          <w:tcPr>
            <w:tcW w:type="dxa" w:w="1310"/>
          </w:tcPr>
          <w:p>
            <w:r>
              <w:rPr>
                <w:sz w:val="15"/>
              </w:rPr>
              <w:t>Five clean-run returns (D13: one; D01: four) to 30 Sep 2026</w:t>
            </w:r>
          </w:p>
        </w:tc>
      </w:tr>
      <w:tr>
        <w:tc>
          <w:tcPr>
            <w:tcW w:type="dxa" w:w="1404"/>
          </w:tcPr>
          <w:p>
            <w:r>
              <w:rPr>
                <w:sz w:val="15"/>
              </w:rPr>
              <w:t>9. Pro v4.1 / 4.1.1 researcher self-test</w:t>
            </w:r>
          </w:p>
        </w:tc>
        <w:tc>
          <w:tcPr>
            <w:tcW w:type="dxa" w:w="1123"/>
          </w:tcPr>
          <w:p>
            <w:r>
              <w:rPr>
                <w:sz w:val="15"/>
              </w:rPr>
              <w:t>19–20 Sep 2026 (received 19 Sep; commits e0961a8, d30d4ac)</w:t>
            </w:r>
          </w:p>
        </w:tc>
        <w:tc>
          <w:tcPr>
            <w:tcW w:type="dxa" w:w="1404"/>
          </w:tcPr>
          <w:p>
            <w:r>
              <w:rPr>
                <w:sz w:val="15"/>
              </w:rPr>
              <w:t>Separate namespace; package and HTML archived as received</w:t>
            </w:r>
          </w:p>
        </w:tc>
        <w:tc>
          <w:tcPr>
            <w:tcW w:type="dxa" w:w="1310"/>
          </w:tcPr>
          <w:p>
            <w:r>
              <w:rPr>
                <w:sz w:val="15"/>
              </w:rPr>
              <w:t>Touch and keyboard; participant release disabled</w:t>
            </w:r>
          </w:p>
        </w:tc>
        <w:tc>
          <w:tcPr>
            <w:tcW w:type="dxa" w:w="1497"/>
          </w:tcPr>
          <w:p>
            <w:r>
              <w:rPr>
                <w:sz w:val="15"/>
              </w:rPr>
              <w:t>Feedback-conditioned practice-proposal policy (local rules); optional external-judgement step not configured</w:t>
            </w:r>
          </w:p>
        </w:tc>
        <w:tc>
          <w:tcPr>
            <w:tcW w:type="dxa" w:w="1310"/>
          </w:tcPr>
          <w:p>
            <w:r>
              <w:rPr>
                <w:sz w:val="15"/>
              </w:rPr>
              <w:t>Per-code exports retained as received (seven codes)</w:t>
            </w:r>
          </w:p>
        </w:tc>
        <w:tc>
          <w:tcPr>
            <w:tcW w:type="dxa" w:w="1310"/>
          </w:tcPr>
          <w:p>
            <w:r>
              <w:rPr>
                <w:sz w:val="15"/>
              </w:rPr>
              <w:t>Volunteers and their families or friends, by the author's account; identities unverified</w:t>
            </w:r>
          </w:p>
        </w:tc>
      </w:tr>
    </w:tbl>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30 September 2026: bound with the thesis, held in the thesis repository, not deposited, or not retained (§8.9).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G.1  Cleaned Stage-1 survey response file (CSV). Status: not archived at 30 September 2026. Table 4.1 reports the aggregate percentages as recorded; the two conditional figures (~74%, ~82%) cannot be reproduced as item-level counts, and no age range is claimed for the interviewed sample (§4.2, §4.8).</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older-adult participants plus two younger staff test plays; stable pseudonymous IDs S2-P001–S2-P030 and S2-C001/S2-C002 per the Stage-2 ID register, received 11 September 2026): gender, age, pre/post recorded FRA index, presenting symptoms, completed game cycles, therapist-reported symptom change, satisfaction and verification flag. The analysis file is the source for every Stage-2 statistic in §5.5 and for Figure 5.4. Play was recorded by hand at the centre; the game software's electronic session records were not kept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It was imported on 25 July 2026 from a file received that week whose own annotations describe the 120 participants as 'divided into four behavioural groups to correspond to your needs', and a companion file received the same week declares itself a synthetic, constrained simulation built to match the summary targets. The sheet matches the summary's five headline totals but not ten of its per-band values (sex, dropout, non-return and intention by band) because it is a constructed file, not a transcription of the returns; its disagreement therefore says nothing about the summary's accuracy. The summary itself cannot be verified against individual records. It is reported as the author's July 2026 compilation; its only checks are internal arithmetic (band counts sum to the totals, and returns plus non-returns equal initial dropouts in every band) and agreement with the participant register's band sizes (38, 41 and 41). The primary records were the returned materials - hand records made by assistants for the first build, and e-mails carrying the game results in mixed formats (exported CSV files or copied or typed text) together with the questionnaire responses. They were compiled into the summary in July 2026 and were not retained as separate records, so the summary cannot be checked against individual returns. Later attempts to rebuild participant-level records (October 2026) could not be traced to retained records and are not used.</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record: the distributor-tier invitations on file (two screenshots, docs/thesis/evidence/) and the participant invitation on file, a reconstruction received 4 August 2026 and headed 'From March to April 2026' (§3.4, §6.4), which describes the two after-game statements and the arrow-key or touch-screen controls as the recipients were told of them. No return index exists, because the returns were not retained as separate records (item G.3).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(system and user prompts, versions, deployed endpoint and run-time settings). Status: not deposited at 30 September 2026. The deployed endpoint, model version and run-time settings are therefore not on record; the Stage-2 AI-call logs were not retained (item G.2); no claim in this thesis rests on either (§5.3.5, §8.9).</w:t>
      </w:r>
    </w:p>
    <w:p>
      <w:pPr>
        <w:jc w:val="both"/>
      </w:pPr>
      <w:r>
        <w:t>G.8  Synthetic pipeline-test dataset (Stage3_Data_Entry_DEMO_SYNTHETIC.xlsx, docs/thesis/data_entry/): a simulation-generated workbook of 120 fictitious records (IDs TEST-001 to TEST-120, outside the study ID range) used to verify the Stage-3 logbook structure, formulas and analysis pipeline. Its front sheet is labelled as synthetic test data, the TEST- prefix marks every record, and the workbook deliberately does not match the study aggregates; copies of it, and files derived from it, found in the author's and research assistant's records between 30 September and 2 October 2026 are archived under SYNTHETIC and RECONSTRUCTED labels (docs/thesis/data_entry/SYNTHETIC_copies_received/) and are never evidence. It is archived solely as a pipeline-verification artifact, in the same spirit as the synthetic centre-of-pressure traces of §5.3.9, and contains no data from any human participant.</w:t>
      </w:r>
    </w:p>
    <w:p>
      <w:pPr/>
      <w:r>
        <w:t>G.9  HUR SmartBalance vendor brochure (the author's industry documentation supporting the §4.1A platform-lineage account).</w:t>
      </w:r>
    </w:p>
    <w:p>
      <w:pPr/>
      <w:r>
        <w:t>G.10  The two development-office demonstration videos of 27 August 2024 (platform-to-game coupling on the off-the-shelf scaffold; source of the Figure 5.1A frame), held in the thesis repository (docs/thesis/evidence/); the written consent of the person shown is not on file at 30 September 2026 (§8.9).</w:t>
      </w:r>
    </w:p>
    <w:p>
      <w:pPr/>
      <w:r>
        <w:t>G.11  Expert interview guide (Expert_Interview_Guide_2026.docx), the semi-structured guide used across the consultation panel; reproduced compactly as Appendix H.5.</w:t>
      </w:r>
    </w:p>
    <w:p>
      <w:pPr/>
      <w:r>
        <w:t>G.12  Stage-3B component-study record, closed at 30 September 2026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five clean-run returns received 29–30 September 2026, with SHA-256); the verification findings for the five excluded returns of 15 September 2026; and the dated decision record of 26 September 2026 with its amendment of 29 September 2026 (which named the close of the clean-run window, 15 October 2026, as the intended cut-off) and the author's decision of 2 October 2026 closing the record stated in this thesis at 30 September 2026 (DECISION_2026-10-02_record_closed_30_September_2026.md, docs/thesis/stage3b/).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(29–30 September 2026), and each Batch 01 file matches the reports run for run.</w:t>
      </w:r>
    </w:p>
    <w:p>
      <w:pPr/>
      <w:r>
        <w:t>G.14  Game-state and parameter specification workbook (Game_States_and_Parameters.xlsx): the author's project-internal design-specification record for the skiing game — the four-state machine and the design parameters from which Table 5.0 is extracted (§5.3.2). It is a specification record, not the deployed build's code. Status: not deposited at 30 September 2026; Table 5.0 is reported as a specification extracted from it by the author.</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stated that, in her experience,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older adults' behaviour, supported the FIDS-to-FIAS construction and the adaptive-learning proposition, and stated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obtained after the June consultation,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older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t>Record status at 30 September 2026: a second consultation took place in September 2026 (in person, approximately thirty minutes, audio-recorded; transcript dated 7 September 2026), joined by Dr Lau's doctoral researcher, and is summarised at §6.12; a member-check form covering both summaries was issued on 7 September 2026 and no response was on file; Dr Lau's named attribution rests on his written election of 11 August 2026; the doctoral researcher is reported pseudonymously, no attribution election having been received; his remarks on a product under development are withheld in the absence of his sensitivity election. If no member-check response is on file at submission, the status stands as stated here.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older patients, concentrated in chronic disease. He practises naturopathic and complementary medicine and is not a registered medical practitioner under the Medical Registration Ordinance; his contribution is practice-based insight into older adults'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only record in which consent and consultation fall on the same day;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t>Member-check: the summary above had not been returned with a member-check response at 30 September 2026; the record stands as the author's notes, and his named attribution rests on his signed election of 4 August 2026.</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older adults.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30 September 2026 Cut-off</w:t>
      </w:r>
    </w:p>
    <w:p>
      <w:pPr>
        <w:pStyle w:val="Heading3"/>
      </w:pPr>
      <w:r>
        <w:t>I.1 · Status and Scope</w:t>
      </w:r>
    </w:p>
    <w:p>
      <w:pPr/>
      <w:r>
        <w:t>This appendix records the Stage-3B component study as it stands at a stated cut-off, 30 September 2026; the frozen edition's clean-run window (15 September – 15 October 2026) was still open at that date, and returns received after it are archived as received and form no part of this record. It is a descriptive record, not a results chapter. Because the study remains outside the evidence base, it is presented as a settled account at a stated cut-off, without open results cells; the author's decision of 26 September 2026 (recorded in the thesis repository as a dated decision note, Appendix G item G.12) set that course, the author's amendment of 29 September 2026 named the close of the clean-run window as the intended cut-off, and the author's decision of 2 October 2026 closed the record stated in this thesis at 30 September 2026 (item G.12).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closed at 30 September 2026, inside the frozen edition's clean-run window (15 September – 15 October 2026); any return received after that date is archived as received and forms no part of this record. The returns listed are those received to 30 September 2026, reported on descriptive terms and without any arm comparison. Nothing in this appendix feeds a result table in the main text.</w:t>
      </w:r>
    </w:p>
    <w:p>
      <w:pPr>
        <w:pStyle w:val="FigureCaption"/>
      </w:pPr>
      <w:r>
        <w:t>Table I.1. Status of the Stage-3B record at the 30 September 2026 cut-off (returns received to 30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 record closed 30 Sep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record closed 30 Sep 2026, inside the window 15 Sep–15 Oct 2026; later returns archived as received, not entered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approval memo (ethics record)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(FREEZE_RECORD.md; the v3.x row of the build-lineage matrix, Appendix G, item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30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(commit 6ef4f3f, repository log)</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names the close of the clean-run window as the intended cut-off</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30 Sep 2026</w:t>
            </w:r>
          </w:p>
        </w:tc>
        <w:tc>
          <w:tcPr>
            <w:tcW w:type="dxa" w:w="1872"/>
          </w:tcPr>
          <w:p>
            <w:r>
              <w:rPr>
                <w:sz w:val="15"/>
              </w:rPr>
              <w:t>record closed (decision of 2 Oct 2026, G.12)</w:t>
            </w:r>
          </w:p>
        </w:tc>
        <w:tc>
          <w:tcPr>
            <w:tcW w:type="dxa" w:w="2880"/>
          </w:tcPr>
          <w:p>
            <w:r>
              <w:rPr>
                <w:sz w:val="15"/>
              </w:rPr>
              <w:t>Thesis record closed inside the clean-run window (window end 15 Oct 2026)</w:t>
            </w:r>
          </w:p>
        </w:tc>
        <w:tc>
          <w:tcPr>
            <w:tcW w:type="dxa" w:w="1872"/>
          </w:tcPr>
          <w:p>
            <w:r>
              <w:rPr>
                <w:sz w:val="15"/>
              </w:rPr>
              <w:t>—</w:t>
            </w:r>
          </w:p>
        </w:tc>
        <w:tc>
          <w:tcPr>
            <w:tcW w:type="dxa" w:w="1440"/>
          </w:tcPr>
          <w:p>
            <w:r>
              <w:rPr>
                <w:sz w:val="15"/>
              </w:rPr>
              <w:t>Five clean-run returns on record (Table I.4)</w:t>
            </w:r>
          </w:p>
        </w:tc>
      </w:tr>
    </w:tbl>
    <w:p>
      <w:pPr/>
      <w:r/>
    </w:p>
    <w:p>
      <w:pPr>
        <w:jc w:val="center"/>
      </w:pPr>
      <w:r>
        <w:drawing>
          <wp:inline>
            <wp:extent cx="5486400" cy="2885089"/>
            <wp:docPr id="41" name="Picture 41" descr="Figure I.1. Repository-dated events for Stage 3B."/>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85089"/>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clean-run window runs to 15 October 2026; the thesis record is closed at 30 September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not reproduced here; the archive copies retain the file names as received.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not on record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at the 30 September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not on record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not on record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descr="Figure I.2. Pace multiplier applied to successive practice runs after each feedback → proposal → decision chain (twelve chains, three codes, visit 1)."/>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descr="Figure I.3. Obstacle-clearance rate on the opening and closing fixed-course checks, Pro record (six pairs, five stored codes, including PFWU9V received on 29 September 2026; pace ×0.85, 20 obstacles, 30 s)."/>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part of the record at 30 September 2026.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chronology alone, however, establishes neither approval nor non-approval, so the scope must be verified against the approved protocol or an amendment. Whether the Stage-3B collection falls within the approved scope or requires an amendment is therefore recorded as an open item of the ethics record (§3.4), and no clarification or amendment is on file at 30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the archive copies retain the file names as received.</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not on record; this does not affect the return's authenticity. The synthetic demonstration dataset under docs/thesis/stage3b/demo/ is watermarked SYNTHETIC and is never evidence.</w:t>
      </w:r>
    </w:p>
    <w:p>
      <w:pPr/>
      <w:r>
        <w:t>Deposits and author records not on file at 30 September 2026: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30 September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