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268</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268</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77</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80</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82</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83</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90</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93</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96</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97</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97</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100</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100</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100</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101</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102</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106</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110</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111</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111</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113</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114</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115</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115</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116</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117</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117</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118</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118</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120</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123</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123</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123</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124</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124</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127</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128</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129</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131</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132</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132</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132</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133</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133</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133</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133</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134</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135</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135</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148</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149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150</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151</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152</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153</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153</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154</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154</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154</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155</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155</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161</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163</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163</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163</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165</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171</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172</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175</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175</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176</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177</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178</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179</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181</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183</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184</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185</w:t>
      </w:r>
    </w:p>
    <w:p>
      <w:pPr>
        <w:pStyle w:val="TOC1"/>
        <w:keepNext w:val="0"/>
        <w:keepLines/>
        <w:tabs>
          <w:tab w:pos="8496" w:val="right" w:leader="dot"/>
        </w:tabs>
        <w:spacing w:before="0" w:after="80" w:line="276" w:lineRule="auto"/>
        <w:ind w:right="374"/>
      </w:pPr>
      <w:r>
        <w:rPr>
          <w:rFonts w:ascii="Times New Roman" w:hAnsi="Times New Roman"/>
          <w:sz w:val="22"/>
        </w:rPr>
        <w:t>References</w:t>
        <w:tab/>
        <w:t>267</w:t>
      </w:r>
    </w:p>
    <w:p>
      <w:pPr>
        <w:pStyle w:val="TOC1"/>
        <w:keepNext w:val="0"/>
        <w:keepLines/>
        <w:tabs>
          <w:tab w:pos="8496" w:val="right" w:leader="dot"/>
        </w:tabs>
        <w:spacing w:before="0" w:after="80" w:line="276" w:lineRule="auto"/>
        <w:ind w:right="374"/>
      </w:pPr>
      <w:r>
        <w:rPr>
          <w:rFonts w:ascii="Times New Roman" w:hAnsi="Times New Roman"/>
          <w:sz w:val="22"/>
        </w:rPr>
        <w:t>Appendices</w:t>
        <w:tab/>
        <w:t>268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197</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197</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198</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199</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200</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202</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202</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203</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204</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204</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205</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205</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206</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208</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215</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219</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219</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221</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223</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226</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230</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238</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240</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81</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89</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89</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97</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109</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110</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113</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129</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138</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142</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183</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198</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226</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235</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236</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76</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86</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91</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106</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107</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108</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116</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118</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126</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128</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131</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166</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172</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182</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220</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221</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224</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228</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232</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232</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233</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234</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235</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236</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237</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239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'after' FRA index reported in §5.5 is computed from this silent pipeline;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its build generations engineered from 2025 onward used Anthropic Claude Code as the engineering assistant (§5.3.9), and its automatic difficulty-adjustment subsystem is specified as LangChain orchestration over a large-language-model endpoint (the endpoint and run-time settings belong to the AI prompt-template archive, Appendix G, item G.7, which is not deposited, §8.9).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COP stream is polled by the game at 60 Hz, §5.2A, and the calibration function is treated as a black-box vendor component, §8.9).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prompt archive (item G.7) or AI-call log is deposited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recorded the balance-test indexes on the clinician-side terminal (§5.2A; not on the play screen)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AI prompt-template archive with the deployed endpoint and run-time settings (item G.7; no claim rests on it);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the AI prompt-template archive with the deployed endpoint and run-time settings (Appendix G, item G.7) is not deposited with this thesis, so the exact Stage-2 run-time configuration cannot be reproduced from the record, and no claim in this thesis rests on it.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mechanic in which one centre-of-pressure stream drives play and a silent assessment pipeline, so that measurement is carried inside play without clinical numbers on the play screen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Appendix G, item G.7, not deposited);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build (2D Pygame skiing game on the InBody pressure panel)</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InBody FRA510S pressure panel (COP stream); clinician-side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deployed endpoint and run-time settings). Status: not deposited at 30 September 2026. The deployed endpoint, model version and run-time settings are therefore not on record; the Stage-2 AI-call logs were not retained (item G.2); no claim in this thesis rests on either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