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r>
        <w:rPr>
          <w:highlight w:val="yellow"/>
        </w:rPr>
        <w:t>REVIEW COPY V37 -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(s8.5A, H.6); (13) member-checks for Dr Choy's and Dr Lau's summaries; (14) screenshots to re-send as files (dated invitations, Choy/Wong/Lau WhatsApp chains, HSEARS dashboard, ICMSS acceptance letter); (15) final Word field refresh (Ctrl+A, F9) + full verification sweep + proofread.</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surveyed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Pr>
        <w:t>Chapter 4 Stage 1 — From FIDS to FIAS</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 Purpose</w:t>
      </w:r>
      <w:r>
        <w:rPr>
          <w:szCs w:val="22"/>
          <w:lang w:val="en-US" w:eastAsia="en-US" w:bidi="ar-SA"/>
        </w:rPr>
        <w:tab/>
      </w:r>
      <w:r>
        <w:rPr>
          <w:szCs w:val="22"/>
          <w:lang w:val="en-US" w:eastAsia="en-US" w:bidi="ar-SA"/>
        </w:rPr>
        <w:t>28</w:t>
      </w:r>
    </w:p>
    <w:p>
      <w:pPr>
        <w:pStyle w:val="TOC2"/>
        <w:tabs>
          <w:tab w:val="right" w:leader="dot" w:pos="8495"/>
        </w:tabs>
        <w:rPr>
          <w:noProof/>
        </w:rPr>
      </w:pPr>
      <w:r>
        <w:rPr>
          <w:szCs w:val="22"/>
          <w:lang w:val="en-US" w:eastAsia="en-US" w:bidi="ar-SA"/>
        </w:rPr>
        <w:t>4.1A What is Fall Risk Assessment (FRA)? Basic System Design and Features</w:t>
      </w:r>
      <w:r>
        <w:rPr>
          <w:szCs w:val="22"/>
          <w:lang w:val="en-US" w:eastAsia="en-US" w:bidi="ar-SA"/>
        </w:rPr>
        <w:tab/>
      </w:r>
      <w:r>
        <w:rPr>
          <w:szCs w:val="22"/>
          <w:lang w:val="en-US" w:eastAsia="en-US" w:bidi="ar-SA"/>
        </w:rPr>
        <w:t>29</w:t>
      </w:r>
    </w:p>
    <w:p>
      <w:pPr>
        <w:pStyle w:val="TOC2"/>
        <w:tabs>
          <w:tab w:val="right" w:leader="dot" w:pos="8495"/>
        </w:tabs>
        <w:rPr>
          <w:noProof/>
        </w:rPr>
      </w:pPr>
      <w:r>
        <w:rPr>
          <w:szCs w:val="22"/>
          <w:lang w:val="en-US" w:eastAsia="en-US" w:bidi="ar-SA"/>
        </w:rPr>
        <w:t>4.2 The Guangzhou Survey (N = 200 of 280 Residents)</w:t>
      </w:r>
      <w:r>
        <w:rPr>
          <w:szCs w:val="22"/>
          <w:lang w:val="en-US" w:eastAsia="en-US" w:bidi="ar-SA"/>
        </w:rPr>
        <w:tab/>
      </w:r>
      <w:r>
        <w:rPr>
          <w:szCs w:val="22"/>
          <w:lang w:val="en-US" w:eastAsia="en-US" w:bidi="ar-SA"/>
        </w:rPr>
        <w:t>31</w:t>
      </w:r>
    </w:p>
    <w:p>
      <w:pPr>
        <w:pStyle w:val="TOC2"/>
        <w:tabs>
          <w:tab w:val="right" w:leader="dot" w:pos="8495"/>
        </w:tabs>
        <w:rPr>
          <w:noProof/>
        </w:rPr>
      </w:pPr>
      <w:r>
        <w:rPr>
          <w:szCs w:val="22"/>
          <w:lang w:val="en-US" w:eastAsia="en-US" w:bidi="ar-SA"/>
        </w:rPr>
        <w:t>4.3 TAM, STAM and the Limitation for Retired Users</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4.4 Octalysis and the In-Game Loss Assumption</w:t>
      </w:r>
      <w:r>
        <w:rPr>
          <w:szCs w:val="22"/>
          <w:lang w:val="en-US" w:eastAsia="en-US" w:bidi="ar-SA"/>
        </w:rPr>
        <w:tab/>
      </w:r>
      <w:r>
        <w:rPr>
          <w:szCs w:val="22"/>
          <w:lang w:val="en-US" w:eastAsia="en-US" w:bidi="ar-SA"/>
        </w:rPr>
        <w:t>32</w:t>
      </w:r>
    </w:p>
    <w:p>
      <w:pPr>
        <w:pStyle w:val="TOC2"/>
        <w:tabs>
          <w:tab w:val="right" w:leader="dot" w:pos="8495"/>
        </w:tabs>
        <w:rPr>
          <w:noProof/>
        </w:rPr>
      </w:pPr>
      <w:r>
        <w:rPr>
          <w:szCs w:val="22"/>
          <w:lang w:val="en-US" w:eastAsia="en-US" w:bidi="ar-SA"/>
        </w:rPr>
        <w:t>4.5 Behavioural Science Lenses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4.6 Terminological Correction: FIDS to FIAS</w:t>
      </w:r>
      <w:r>
        <w:rPr>
          <w:szCs w:val="22"/>
          <w:lang w:val="en-US" w:eastAsia="en-US" w:bidi="ar-SA"/>
        </w:rPr>
        <w:tab/>
      </w:r>
      <w:r>
        <w:rPr>
          <w:szCs w:val="22"/>
          <w:lang w:val="en-US" w:eastAsia="en-US" w:bidi="ar-SA"/>
        </w:rPr>
        <w:t>33</w:t>
      </w:r>
    </w:p>
    <w:p>
      <w:pPr>
        <w:pStyle w:val="TOC2"/>
        <w:tabs>
          <w:tab w:val="right" w:leader="dot" w:pos="8495"/>
        </w:tabs>
        <w:rPr>
          <w:noProof/>
        </w:rPr>
      </w:pPr>
      <w:r>
        <w:rPr>
          <w:szCs w:val="22"/>
          <w:lang w:val="en-US" w:eastAsia="en-US" w:bidi="ar-SA"/>
        </w:rPr>
        <w:t>4.7 Cross-Cultural Reference Point</w:t>
      </w:r>
      <w:r>
        <w:rPr>
          <w:szCs w:val="22"/>
          <w:lang w:val="en-US" w:eastAsia="en-US" w:bidi="ar-SA"/>
        </w:rPr>
        <w:tab/>
      </w:r>
      <w:r>
        <w:rPr>
          <w:szCs w:val="22"/>
          <w:lang w:val="en-US" w:eastAsia="en-US" w:bidi="ar-SA"/>
        </w:rPr>
        <w:t>34</w:t>
      </w:r>
    </w:p>
    <w:p>
      <w:pPr>
        <w:pStyle w:val="TOC2"/>
        <w:tabs>
          <w:tab w:val="right" w:leader="dot" w:pos="8495"/>
        </w:tabs>
        <w:rPr>
          <w:noProof/>
        </w:rPr>
      </w:pPr>
      <w:r>
        <w:rPr>
          <w:szCs w:val="22"/>
          <w:lang w:val="en-US" w:eastAsia="en-US" w:bidi="ar-SA"/>
        </w:rPr>
        <w:t>4.8 Output and Stage-1 Limitations</w:t>
      </w:r>
      <w:r>
        <w:rPr>
          <w:szCs w:val="22"/>
          <w:lang w:val="en-US" w:eastAsia="en-US" w:bidi="ar-SA"/>
        </w:rPr>
        <w:tab/>
      </w:r>
      <w:r>
        <w:rPr>
          <w:szCs w:val="22"/>
          <w:lang w:val="en-US" w:eastAsia="en-US" w:bidi="ar-SA"/>
        </w:rPr>
        <w:t>34</w:t>
      </w:r>
    </w:p>
    <w:p>
      <w:pPr>
        <w:pStyle w:val="TOC1"/>
        <w:tabs>
          <w:tab w:val="right" w:leader="dot" w:pos="8495"/>
        </w:tabs>
        <w:rPr>
          <w:noProof/>
        </w:rPr>
      </w:pPr>
      <w:r>
        <w:rPr>
          <w:szCs w:val="22"/>
          <w:lang w:val="en-US" w:eastAsia="en-US" w:bidi="ar-SA"/>
        </w:rPr>
        <w:t>Chapter 5 Stage 2 — Action Research with Gamified FRA</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5.1 Research Questions and Hypotheses</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 Setting and Action-Research Approach</w:t>
      </w:r>
      <w:r>
        <w:rPr>
          <w:szCs w:val="22"/>
          <w:lang w:val="en-US" w:eastAsia="en-US" w:bidi="ar-SA"/>
        </w:rPr>
        <w:tab/>
      </w:r>
      <w:r>
        <w:rPr>
          <w:szCs w:val="22"/>
          <w:lang w:val="en-US" w:eastAsia="en-US" w:bidi="ar-SA"/>
        </w:rPr>
        <w:t>35</w:t>
      </w:r>
    </w:p>
    <w:p>
      <w:pPr>
        <w:pStyle w:val="TOC2"/>
        <w:tabs>
          <w:tab w:val="right" w:leader="dot" w:pos="8495"/>
        </w:tabs>
        <w:rPr>
          <w:noProof/>
        </w:rPr>
      </w:pPr>
      <w:r>
        <w:rPr>
          <w:szCs w:val="22"/>
          <w:lang w:val="en-US" w:eastAsia="en-US" w:bidi="ar-SA"/>
        </w:rPr>
        <w:t>5.2A Integrating the FRA into the Skiing Game: The Dual-Purpose Mechanic in Detail</w:t>
      </w:r>
      <w:r>
        <w:rPr>
          <w:szCs w:val="22"/>
          <w:lang w:val="en-US" w:eastAsia="en-US" w:bidi="ar-SA"/>
        </w:rPr>
        <w:tab/>
      </w:r>
      <w:r>
        <w:rPr>
          <w:szCs w:val="22"/>
          <w:lang w:val="en-US" w:eastAsia="en-US" w:bidi="ar-SA"/>
        </w:rPr>
        <w:t>36</w:t>
      </w:r>
    </w:p>
    <w:p>
      <w:pPr>
        <w:pStyle w:val="TOC2"/>
        <w:tabs>
          <w:tab w:val="right" w:leader="dot" w:pos="8495"/>
        </w:tabs>
        <w:rPr>
          <w:noProof/>
        </w:rPr>
      </w:pPr>
      <w:r>
        <w:rPr>
          <w:szCs w:val="22"/>
          <w:lang w:val="en-US" w:eastAsia="en-US" w:bidi="ar-SA"/>
        </w:rPr>
        <w:t>5.3 The Gamified Intervention — Skiing Game on the InBody Pressure Panel</w:t>
      </w:r>
      <w:r>
        <w:rPr>
          <w:szCs w:val="22"/>
          <w:lang w:val="en-US" w:eastAsia="en-US" w:bidi="ar-SA"/>
        </w:rPr>
        <w:tab/>
      </w:r>
      <w:r>
        <w:rPr>
          <w:szCs w:val="22"/>
          <w:lang w:val="en-US" w:eastAsia="en-US" w:bidi="ar-SA"/>
        </w:rPr>
        <w:t>39</w:t>
      </w:r>
    </w:p>
    <w:p>
      <w:pPr>
        <w:pStyle w:val="TOC3"/>
        <w:tabs>
          <w:tab w:val="right" w:leader="dot" w:pos="8495"/>
        </w:tabs>
        <w:rPr>
          <w:noProof/>
        </w:rPr>
      </w:pPr>
      <w:r>
        <w:rPr>
          <w:szCs w:val="22"/>
          <w:lang w:val="en-US" w:eastAsia="en-US" w:bidi="ar-SA"/>
        </w:rPr>
        <w:t>5.3.1 The InBody Pressure Panel</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5.3.2 Game Concept and Gameplay Loop</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5.3.3 On-Screen Display</w:t>
      </w:r>
      <w:r>
        <w:rPr>
          <w:szCs w:val="22"/>
          <w:lang w:val="en-US" w:eastAsia="en-US" w:bidi="ar-SA"/>
        </w:rPr>
        <w:tab/>
      </w:r>
      <w:r>
        <w:rPr>
          <w:szCs w:val="22"/>
          <w:lang w:val="en-US" w:eastAsia="en-US" w:bidi="ar-SA"/>
        </w:rPr>
        <w:t>40</w:t>
      </w:r>
    </w:p>
    <w:p>
      <w:pPr>
        <w:pStyle w:val="TOC3"/>
        <w:tabs>
          <w:tab w:val="right" w:leader="dot" w:pos="8495"/>
        </w:tabs>
        <w:rPr>
          <w:noProof/>
        </w:rPr>
      </w:pPr>
      <w:r>
        <w:rPr>
          <w:szCs w:val="22"/>
          <w:lang w:val="en-US" w:eastAsia="en-US" w:bidi="ar-SA"/>
        </w:rPr>
        <w:t>5.3.4 Five-Layer Architecture</w:t>
      </w:r>
      <w:r>
        <w:rPr>
          <w:szCs w:val="22"/>
          <w:lang w:val="en-US" w:eastAsia="en-US" w:bidi="ar-SA"/>
        </w:rPr>
        <w:tab/>
      </w:r>
      <w:r>
        <w:rPr>
          <w:szCs w:val="22"/>
          <w:lang w:val="en-US" w:eastAsia="en-US" w:bidi="ar-SA"/>
        </w:rPr>
        <w:t>41</w:t>
      </w:r>
    </w:p>
    <w:p>
      <w:pPr>
        <w:pStyle w:val="TOC3"/>
        <w:tabs>
          <w:tab w:val="right" w:leader="dot" w:pos="8495"/>
        </w:tabs>
        <w:rPr>
          <w:noProof/>
        </w:rPr>
      </w:pPr>
      <w:r>
        <w:rPr>
          <w:szCs w:val="22"/>
          <w:lang w:val="en-US" w:eastAsia="en-US" w:bidi="ar-SA"/>
        </w:rPr>
        <w:t>5.3.5 Automatic Difficulty Adjustment System</w:t>
      </w:r>
      <w:r>
        <w:rPr>
          <w:szCs w:val="22"/>
          <w:lang w:val="en-US" w:eastAsia="en-US" w:bidi="ar-SA"/>
        </w:rPr>
        <w:tab/>
      </w:r>
      <w:r>
        <w:rPr>
          <w:szCs w:val="22"/>
          <w:lang w:val="en-US" w:eastAsia="en-US" w:bidi="ar-SA"/>
        </w:rPr>
        <w:t>42</w:t>
      </w:r>
    </w:p>
    <w:p>
      <w:pPr>
        <w:pStyle w:val="TOC3"/>
        <w:tabs>
          <w:tab w:val="right" w:leader="dot" w:pos="8495"/>
        </w:tabs>
        <w:rPr>
          <w:noProof/>
        </w:rPr>
      </w:pPr>
      <w:r>
        <w:rPr>
          <w:szCs w:val="22"/>
          <w:lang w:val="en-US" w:eastAsia="en-US" w:bidi="ar-SA"/>
        </w:rPr>
        <w:t>5.3.6 Data Structures and Telemetry</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5.3.7 Sample User Profile</w:t>
      </w:r>
      <w:r>
        <w:rPr>
          <w:szCs w:val="22"/>
          <w:lang w:val="en-US" w:eastAsia="en-US" w:bidi="ar-SA"/>
        </w:rPr>
        <w:tab/>
      </w:r>
      <w:r>
        <w:rPr>
          <w:szCs w:val="22"/>
          <w:lang w:val="en-US" w:eastAsia="en-US" w:bidi="ar-SA"/>
        </w:rPr>
        <w:t>43</w:t>
      </w:r>
    </w:p>
    <w:p>
      <w:pPr>
        <w:pStyle w:val="TOC3"/>
        <w:tabs>
          <w:tab w:val="right" w:leader="dot" w:pos="8495"/>
        </w:tabs>
        <w:rPr>
          <w:noProof/>
        </w:rPr>
      </w:pPr>
      <w:r>
        <w:rPr>
          <w:szCs w:val="22"/>
          <w:lang w:val="en-US" w:eastAsia="en-US" w:bidi="ar-SA"/>
        </w:rPr>
        <w:t>5.3.8 Why a Skiing Game?</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5.3.9 Development Methodology: The Claude Code-Assisted Workflow</w:t>
      </w:r>
      <w:r>
        <w:rPr>
          <w:szCs w:val="22"/>
          <w:lang w:val="en-US" w:eastAsia="en-US" w:bidi="ar-SA"/>
        </w:rPr>
        <w:tab/>
      </w:r>
      <w:r>
        <w:rPr>
          <w:szCs w:val="22"/>
          <w:lang w:val="en-US" w:eastAsia="en-US" w:bidi="ar-SA"/>
        </w:rPr>
        <w:t>44</w:t>
      </w:r>
    </w:p>
    <w:p>
      <w:pPr>
        <w:pStyle w:val="TOC3"/>
        <w:tabs>
          <w:tab w:val="right" w:leader="dot" w:pos="8495"/>
        </w:tabs>
        <w:rPr>
          <w:noProof/>
        </w:rPr>
      </w:pPr>
      <w:r>
        <w:rPr>
          <w:szCs w:val="22"/>
          <w:lang w:val="en-US" w:eastAsia="en-US" w:bidi="ar-SA"/>
        </w:rPr>
        <w:t>5.3.10 Dynamic Game States: An Agentic-AI-Driven, Loss-Free Game Mechanic (Secondary Contribution)</w:t>
      </w:r>
      <w:r>
        <w:rPr>
          <w:szCs w:val="22"/>
          <w:lang w:val="en-US" w:eastAsia="en-US" w:bidi="ar-SA"/>
        </w:rPr>
        <w:tab/>
      </w:r>
      <w:r>
        <w:rPr>
          <w:szCs w:val="22"/>
          <w:lang w:val="en-US" w:eastAsia="en-US" w:bidi="ar-SA"/>
        </w:rPr>
        <w:t>46</w:t>
      </w:r>
    </w:p>
    <w:p>
      <w:pPr>
        <w:pStyle w:val="TOC2"/>
        <w:tabs>
          <w:tab w:val="right" w:leader="dot" w:pos="8495"/>
        </w:tabs>
        <w:rPr>
          <w:noProof/>
        </w:rPr>
      </w:pPr>
      <w:r>
        <w:rPr>
          <w:szCs w:val="22"/>
          <w:lang w:val="en-US" w:eastAsia="en-US" w:bidi="ar-SA"/>
        </w:rPr>
        <w:t>5.4 Participants and Data Governance</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5.5 Quantitative Findings</w:t>
      </w:r>
      <w:r>
        <w:rPr>
          <w:szCs w:val="22"/>
          <w:lang w:val="en-US" w:eastAsia="en-US" w:bidi="ar-SA"/>
        </w:rPr>
        <w:tab/>
      </w:r>
      <w:r>
        <w:rPr>
          <w:szCs w:val="22"/>
          <w:lang w:val="en-US" w:eastAsia="en-US" w:bidi="ar-SA"/>
        </w:rPr>
        <w:t>48</w:t>
      </w:r>
    </w:p>
    <w:p>
      <w:pPr>
        <w:pStyle w:val="TOC2"/>
        <w:tabs>
          <w:tab w:val="right" w:leader="dot" w:pos="8495"/>
        </w:tabs>
        <w:rPr>
          <w:noProof/>
        </w:rPr>
      </w:pPr>
      <w:r>
        <w:rPr>
          <w:szCs w:val="22"/>
          <w:lang w:val="en-US" w:eastAsia="en-US" w:bidi="ar-SA"/>
        </w:rPr>
        <w:t>5.6 The F4 Cluster and the Objective-Score-Improvement/Non-Return Paradox</w:t>
      </w:r>
      <w:r>
        <w:rPr>
          <w:szCs w:val="22"/>
          <w:lang w:val="en-US" w:eastAsia="en-US" w:bidi="ar-SA"/>
        </w:rPr>
        <w:tab/>
      </w:r>
      <w:r>
        <w:rPr>
          <w:szCs w:val="22"/>
          <w:lang w:val="en-US" w:eastAsia="en-US" w:bidi="ar-SA"/>
        </w:rPr>
        <w:t>50</w:t>
      </w:r>
    </w:p>
    <w:p>
      <w:pPr>
        <w:pStyle w:val="TOC2"/>
        <w:tabs>
          <w:tab w:val="right" w:leader="dot" w:pos="8495"/>
        </w:tabs>
        <w:rPr>
          <w:noProof/>
        </w:rPr>
      </w:pPr>
      <w:r>
        <w:rPr>
          <w:szCs w:val="22"/>
          <w:lang w:val="en-US" w:eastAsia="en-US" w:bidi="ar-SA"/>
        </w:rPr>
        <w:t>5.7 Theoretical Extension: Endowment, Stereotype Threat, Domain Reframing</w:t>
      </w:r>
      <w:r>
        <w:rPr>
          <w:szCs w:val="22"/>
          <w:lang w:val="en-US" w:eastAsia="en-US" w:bidi="ar-SA"/>
        </w:rPr>
        <w:tab/>
      </w:r>
      <w:r>
        <w:rPr>
          <w:szCs w:val="22"/>
          <w:lang w:val="en-US" w:eastAsia="en-US" w:bidi="ar-SA"/>
        </w:rPr>
        <w:t>51</w:t>
      </w:r>
    </w:p>
    <w:p>
      <w:pPr>
        <w:pStyle w:val="TOC2"/>
        <w:tabs>
          <w:tab w:val="right" w:leader="dot" w:pos="8495"/>
        </w:tabs>
        <w:rPr>
          <w:noProof/>
        </w:rPr>
      </w:pPr>
      <w:r>
        <w:rPr>
          <w:szCs w:val="22"/>
          <w:lang w:val="en-US" w:eastAsia="en-US" w:bidi="ar-SA"/>
        </w:rPr>
        <w:t>5.8 Information-Entropy Lens</w:t>
      </w:r>
      <w:r>
        <w:rPr>
          <w:szCs w:val="22"/>
          <w:lang w:val="en-US" w:eastAsia="en-US" w:bidi="ar-SA"/>
        </w:rPr>
        <w:tab/>
      </w:r>
      <w:r>
        <w:rPr>
          <w:szCs w:val="22"/>
          <w:lang w:val="en-US" w:eastAsia="en-US" w:bidi="ar-SA"/>
        </w:rPr>
        <w:t>52</w:t>
      </w:r>
    </w:p>
    <w:p>
      <w:pPr>
        <w:pStyle w:val="TOC2"/>
        <w:tabs>
          <w:tab w:val="right" w:leader="dot" w:pos="8495"/>
        </w:tabs>
        <w:rPr>
          <w:noProof/>
        </w:rPr>
      </w:pPr>
      <w:r>
        <w:rPr>
          <w:szCs w:val="22"/>
          <w:lang w:val="en-US" w:eastAsia="en-US" w:bidi="ar-SA"/>
        </w:rPr>
        <w:t>5.9 Limitations and What Stage 2 Establishes</w:t>
      </w:r>
      <w:r>
        <w:rPr>
          <w:szCs w:val="22"/>
          <w:lang w:val="en-US" w:eastAsia="en-US" w:bidi="ar-SA"/>
        </w:rPr>
        <w:tab/>
      </w:r>
      <w:r>
        <w:rPr>
          <w:szCs w:val="22"/>
          <w:lang w:val="en-US" w:eastAsia="en-US" w:bidi="ar-SA"/>
        </w:rPr>
        <w:t>52</w:t>
      </w:r>
    </w:p>
    <w:p>
      <w:pPr>
        <w:pStyle w:val="TOC1"/>
        <w:tabs>
          <w:tab w:val="right" w:leader="dot" w:pos="8495"/>
        </w:tabs>
        <w:rPr>
          <w:noProof/>
        </w:rPr>
      </w:pPr>
      <w:r>
        <w:rPr>
          <w:szCs w:val="22"/>
          <w:lang w:val="en-US" w:eastAsia="en-US" w:bidi="ar-SA"/>
        </w:rPr>
        <w:t>Chapter 6 Stage 3 — Participant-Facing Decoupling: Between-Cohort Evidence for a Frame-Sensitive Account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6.1 Why a Decoupling Stage</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6.2 Research Question and Predictions</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6.3 Methodology: A Participant-Facing Decoupling Package in a Separate Cohort</w:t>
      </w:r>
      <w:r>
        <w:rPr>
          <w:szCs w:val="22"/>
          <w:lang w:val="en-US" w:eastAsia="en-US" w:bidi="ar-SA"/>
        </w:rPr>
        <w:tab/>
      </w:r>
      <w:r>
        <w:rPr>
          <w:szCs w:val="22"/>
          <w:lang w:val="en-US" w:eastAsia="en-US" w:bidi="ar-SA"/>
        </w:rPr>
        <w:t>54</w:t>
      </w:r>
    </w:p>
    <w:p>
      <w:pPr>
        <w:pStyle w:val="TOC2"/>
        <w:tabs>
          <w:tab w:val="right" w:leader="dot" w:pos="8495"/>
        </w:tabs>
        <w:rPr>
          <w:noProof/>
        </w:rPr>
      </w:pPr>
      <w:r>
        <w:rPr>
          <w:szCs w:val="22"/>
          <w:lang w:val="en-US" w:eastAsia="en-US" w:bidi="ar-SA"/>
        </w:rPr>
        <w:t>6.4 Participants and Apparatus</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6.5 Findings: A Substantial Behavioural Shift</w:t>
      </w:r>
      <w:r>
        <w:rPr>
          <w:szCs w:val="22"/>
          <w:lang w:val="en-US" w:eastAsia="en-US" w:bidi="ar-SA"/>
        </w:rPr>
        <w:tab/>
      </w:r>
      <w:r>
        <w:rPr>
          <w:szCs w:val="22"/>
          <w:lang w:val="en-US" w:eastAsia="en-US" w:bidi="ar-SA"/>
        </w:rPr>
        <w:t>55</w:t>
      </w:r>
    </w:p>
    <w:p>
      <w:pPr>
        <w:pStyle w:val="TOC2"/>
        <w:tabs>
          <w:tab w:val="right" w:leader="dot" w:pos="8495"/>
        </w:tabs>
        <w:rPr>
          <w:noProof/>
        </w:rPr>
      </w:pPr>
      <w:r>
        <w:rPr>
          <w:szCs w:val="22"/>
          <w:lang w:val="en-US" w:eastAsia="en-US" w:bidi="ar-SA"/>
        </w:rPr>
        <w:t>6.6 The Objective-Score-Improvement/Non-Return Paradox Reconsidered</w:t>
      </w:r>
      <w:r>
        <w:rPr>
          <w:szCs w:val="22"/>
          <w:lang w:val="en-US" w:eastAsia="en-US" w:bidi="ar-SA"/>
        </w:rPr>
        <w:tab/>
      </w:r>
      <w:r>
        <w:rPr>
          <w:szCs w:val="22"/>
          <w:lang w:val="en-US" w:eastAsia="en-US" w:bidi="ar-SA"/>
        </w:rPr>
        <w:t>57</w:t>
      </w:r>
    </w:p>
    <w:p>
      <w:pPr>
        <w:pStyle w:val="TOC2"/>
        <w:tabs>
          <w:tab w:val="right" w:leader="dot" w:pos="8495"/>
        </w:tabs>
        <w:rPr>
          <w:noProof/>
        </w:rPr>
      </w:pPr>
      <w:r>
        <w:rPr>
          <w:szCs w:val="22"/>
          <w:lang w:val="en-US" w:eastAsia="en-US" w:bidi="ar-SA"/>
        </w:rPr>
        <w:t>6.7 Frame-Sensitive versus Dispositional Accounts: Calibrated Inference</w:t>
      </w:r>
      <w:r>
        <w:rPr>
          <w:szCs w:val="22"/>
          <w:lang w:val="en-US" w:eastAsia="en-US" w:bidi="ar-SA"/>
        </w:rPr>
        <w:tab/>
      </w:r>
      <w:r>
        <w:rPr>
          <w:szCs w:val="22"/>
          <w:lang w:val="en-US" w:eastAsia="en-US" w:bidi="ar-SA"/>
        </w:rPr>
        <w:t>58</w:t>
      </w:r>
    </w:p>
    <w:p>
      <w:pPr>
        <w:pStyle w:val="TOC2"/>
        <w:tabs>
          <w:tab w:val="right" w:leader="dot" w:pos="8495"/>
        </w:tabs>
        <w:rPr>
          <w:noProof/>
        </w:rPr>
      </w:pPr>
      <w:r>
        <w:rPr>
          <w:szCs w:val="22"/>
          <w:lang w:val="en-US" w:eastAsia="en-US" w:bidi="ar-SA"/>
        </w:rPr>
        <w:t>6.8 The Commitment Gap and Its Design Implication</w:t>
      </w:r>
      <w:r>
        <w:rPr>
          <w:szCs w:val="22"/>
          <w:lang w:val="en-US" w:eastAsia="en-US" w:bidi="ar-SA"/>
        </w:rPr>
        <w:tab/>
      </w:r>
      <w:r>
        <w:rPr>
          <w:szCs w:val="22"/>
          <w:lang w:val="en-US" w:eastAsia="en-US" w:bidi="ar-SA"/>
        </w:rPr>
        <w:t>58</w:t>
      </w:r>
    </w:p>
    <w:p>
      <w:pPr>
        <w:pStyle w:val="TOC2"/>
      </w:pPr>
      <w:r>
        <w:rPr>
          <w:szCs w:val="22"/>
          <w:lang w:val="en-US" w:eastAsia="en-US" w:bidi="ar-SA"/>
        </w:rPr>
        <w:t>6.8A The Commitment Gap Read Through Group Dynamics: An Expert Consultation</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6.9 Limitations of Stage 3</w:t>
      </w:r>
      <w:r>
        <w:rPr>
          <w:szCs w:val="22"/>
          <w:lang w:val="en-US" w:eastAsia="en-US" w:bidi="ar-SA"/>
        </w:rPr>
        <w:tab/>
      </w:r>
      <w:r>
        <w:rPr>
          <w:szCs w:val="22"/>
          <w:lang w:val="en-US" w:eastAsia="en-US" w:bidi="ar-SA"/>
        </w:rPr>
        <w:t>59</w:t>
      </w:r>
    </w:p>
    <w:p>
      <w:pPr>
        <w:pStyle w:val="TOC2"/>
        <w:tabs>
          <w:tab w:val="right" w:leader="dot" w:pos="8495"/>
        </w:tabs>
        <w:rPr>
          <w:noProof/>
        </w:rPr>
      </w:pPr>
      <w:r>
        <w:rPr>
          <w:szCs w:val="22"/>
          <w:lang w:val="en-US" w:eastAsia="en-US" w:bidi="ar-SA"/>
        </w:rPr>
        <w:t>6.10 Quantitative Comparison Against Existing Models</w:t>
      </w:r>
      <w:r>
        <w:rPr>
          <w:szCs w:val="22"/>
          <w:lang w:val="en-US" w:eastAsia="en-US" w:bidi="ar-SA"/>
        </w:rPr>
        <w:tab/>
      </w:r>
      <w:r>
        <w:rPr>
          <w:szCs w:val="22"/>
          <w:lang w:val="en-US" w:eastAsia="en-US" w:bidi="ar-SA"/>
        </w:rPr>
        <w:t>59</w:t>
      </w:r>
    </w:p>
    <w:p>
      <w:pPr>
        <w:pStyle w:val="TOC3"/>
        <w:tabs>
          <w:tab w:val="right" w:leader="dot" w:pos="8495"/>
        </w:tabs>
        <w:rPr>
          <w:noProof/>
        </w:rPr>
      </w:pPr>
      <w:r>
        <w:rPr>
          <w:szCs w:val="22"/>
          <w:lang w:val="en-US" w:eastAsia="en-US" w:bidi="ar-SA"/>
        </w:rPr>
        <w:t>6.10.1 Three-Tier Nested Model Specification</w:t>
      </w:r>
      <w:r>
        <w:rPr>
          <w:szCs w:val="22"/>
          <w:lang w:val="en-US" w:eastAsia="en-US" w:bidi="ar-SA"/>
        </w:rPr>
        <w:tab/>
      </w:r>
      <w:r>
        <w:rPr>
          <w:szCs w:val="22"/>
          <w:lang w:val="en-US" w:eastAsia="en-US" w:bidi="ar-SA"/>
        </w:rPr>
        <w:t>60</w:t>
      </w:r>
    </w:p>
    <w:p>
      <w:pPr>
        <w:pStyle w:val="TOC3"/>
        <w:tabs>
          <w:tab w:val="right" w:leader="dot" w:pos="8495"/>
        </w:tabs>
        <w:rPr>
          <w:noProof/>
        </w:rPr>
      </w:pPr>
      <w:r>
        <w:rPr>
          <w:szCs w:val="22"/>
          <w:lang w:val="en-US" w:eastAsia="en-US" w:bidi="ar-SA"/>
        </w:rPr>
        <w:t>6.10.2 Statistical Comparison Plan</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6.10.3 Decision-Curve Analysis and Practical Significance</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6.10.4 Pre-Specified Predictions</w:t>
      </w:r>
      <w:r>
        <w:rPr>
          <w:szCs w:val="22"/>
          <w:lang w:val="en-US" w:eastAsia="en-US" w:bidi="ar-SA"/>
        </w:rPr>
        <w:tab/>
      </w:r>
      <w:r>
        <w:rPr>
          <w:szCs w:val="22"/>
          <w:lang w:val="en-US" w:eastAsia="en-US" w:bidi="ar-SA"/>
        </w:rPr>
        <w:t>61</w:t>
      </w:r>
    </w:p>
    <w:p>
      <w:pPr>
        <w:pStyle w:val="TOC3"/>
        <w:tabs>
          <w:tab w:val="right" w:leader="dot" w:pos="8495"/>
        </w:tabs>
        <w:rPr>
          <w:noProof/>
        </w:rPr>
      </w:pPr>
      <w:r>
        <w:rPr>
          <w:szCs w:val="22"/>
          <w:lang w:val="en-US" w:eastAsia="en-US" w:bidi="ar-SA"/>
        </w:rPr>
        <w:t>6.10.5 Provisional Estimates from the Existing Datasets</w:t>
      </w:r>
      <w:r>
        <w:rPr>
          <w:szCs w:val="22"/>
          <w:lang w:val="en-US" w:eastAsia="en-US" w:bidi="ar-SA"/>
        </w:rPr>
        <w:tab/>
      </w:r>
      <w:r>
        <w:rPr>
          <w:szCs w:val="22"/>
          <w:lang w:val="en-US" w:eastAsia="en-US" w:bidi="ar-SA"/>
        </w:rPr>
        <w:t>61</w:t>
      </w:r>
    </w:p>
    <w:p>
      <w:pPr>
        <w:pStyle w:val="TOC2"/>
        <w:tabs>
          <w:tab w:val="right" w:leader="dot" w:pos="8495"/>
        </w:tabs>
        <w:rPr>
          <w:noProof/>
        </w:rPr>
      </w:pPr>
      <w:r>
        <w:rPr>
          <w:szCs w:val="22"/>
          <w:lang w:val="en-US" w:eastAsia="en-US" w:bidi="ar-SA"/>
        </w:rPr>
        <w:t>6.11 Consolidated Statistical Results</w:t>
      </w:r>
      <w:r>
        <w:rPr>
          <w:szCs w:val="22"/>
          <w:lang w:val="en-US" w:eastAsia="en-US" w:bidi="ar-SA"/>
        </w:rPr>
        <w:tab/>
      </w:r>
      <w:r>
        <w:rPr>
          <w:szCs w:val="22"/>
          <w:lang w:val="en-US" w:eastAsia="en-US" w:bidi="ar-SA"/>
        </w:rPr>
        <w:t>62</w:t>
      </w:r>
    </w:p>
    <w:p>
      <w:pPr>
        <w:pStyle w:val="TOC1"/>
        <w:tabs>
          <w:tab w:val="right" w:leader="dot" w:pos="8495"/>
        </w:tabs>
        <w:rPr>
          <w:noProof/>
        </w:rPr>
      </w:pPr>
      <w:r>
        <w:rPr>
          <w:szCs w:val="22"/>
          <w:lang w:val="en-US" w:eastAsia="en-US" w:bidi="ar-SA"/>
        </w:rPr>
        <w:t>Chapter 7 Discussion: Adaptive Learning as the Behavioural-Change Driver</w:t>
      </w:r>
      <w:r>
        <w:rPr>
          <w:szCs w:val="22"/>
          <w:lang w:val="en-US" w:eastAsia="en-US" w:bidi="ar-SA"/>
        </w:rPr>
        <w:tab/>
      </w:r>
      <w:r>
        <w:rPr>
          <w:szCs w:val="22"/>
          <w:lang w:val="en-US" w:eastAsia="en-US" w:bidi="ar-SA"/>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Pr>
        <w:t>9.7 Theoretical Contributions</w:t>
      </w:r>
      <w:r>
        <w:rPr>
          <w:szCs w:val="22"/>
          <w:lang w:val="en-US" w:eastAsia="en-US" w:bidi="ar-SA"/>
        </w:rPr>
        <w:tab/>
      </w:r>
      <w:r>
        <w:rPr>
          <w:szCs w:val="22"/>
          <w:lang w:val="en-US" w:eastAsia="en-US" w:bidi="ar-SA"/>
        </w:rPr>
        <w:t>85</w:t>
      </w:r>
    </w:p>
    <w:p>
      <w:pPr>
        <w:pStyle w:val="TOC2"/>
        <w:tabs>
          <w:tab w:val="right" w:leader="dot" w:pos="8495"/>
        </w:tabs>
        <w:rPr>
          <w:noProof/>
        </w:rPr>
      </w:pPr>
      <w:r>
        <w:rPr>
          <w:szCs w:val="22"/>
          <w:lang w:val="en-US" w:eastAsia="en-US" w:bidi="ar-SA"/>
        </w:rPr>
        <w:t>9.8 Practical Contributions for Industry and Practice</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9.8A A Secondary Contribution to Gamification: Agentic-AI-Driven Dynamic Game States</w:t>
      </w:r>
      <w:r>
        <w:rPr>
          <w:szCs w:val="22"/>
          <w:lang w:val="en-US" w:eastAsia="en-US" w:bidi="ar-SA"/>
        </w:rPr>
        <w:tab/>
      </w:r>
      <w:r>
        <w:rPr>
          <w:szCs w:val="22"/>
          <w:lang w:val="en-US" w:eastAsia="en-US" w:bidi="ar-SA"/>
        </w:rPr>
        <w:t>86</w:t>
      </w:r>
    </w:p>
    <w:p>
      <w:pPr>
        <w:pStyle w:val="TOC2"/>
        <w:tabs>
          <w:tab w:val="right" w:leader="dot" w:pos="8495"/>
        </w:tabs>
        <w:rPr>
          <w:noProof/>
        </w:rPr>
      </w:pPr>
      <w:r>
        <w:rPr>
          <w:szCs w:val="22"/>
          <w:lang w:val="en-US" w:eastAsia="en-US" w:bidi="ar-SA"/>
        </w:rPr>
        <w:t>9.8B Future Research Proposition: From Telemetry-Conditioned to Person-Conditioned Adaptation</w:t>
      </w:r>
      <w:r>
        <w:rPr>
          <w:szCs w:val="22"/>
          <w:lang w:val="en-US" w:eastAsia="en-US" w:bidi="ar-SA"/>
        </w:rPr>
        <w:tab/>
      </w:r>
      <w:r>
        <w:rPr>
          <w:szCs w:val="22"/>
          <w:lang w:val="en-US" w:eastAsia="en-US" w:bidi="ar-SA"/>
        </w:rPr>
        <w:t>87</w:t>
      </w:r>
    </w:p>
    <w:p>
      <w:pPr>
        <w:pStyle w:val="TOC2"/>
        <w:tabs>
          <w:tab w:val="right" w:leader="dot" w:pos="8495"/>
        </w:tabs>
        <w:rPr>
          <w:noProof/>
        </w:rPr>
      </w:pPr>
      <w:r>
        <w:rPr>
          <w:szCs w:val="22"/>
          <w:lang w:val="en-US" w:eastAsia="en-US" w:bidi="ar-SA"/>
        </w:rPr>
        <w:t>9.8C Bounded Implications for AI Evaluation</w:t>
      </w:r>
      <w:r>
        <w:rPr>
          <w:szCs w:val="22"/>
          <w:lang w:val="en-US" w:eastAsia="en-US" w:bidi="ar-SA"/>
        </w:rPr>
        <w:tab/>
      </w:r>
      <w:r>
        <w:rPr>
          <w:szCs w:val="22"/>
          <w:lang w:val="en-US" w:eastAsia="en-US" w:bidi="ar-SA"/>
        </w:rPr>
        <w:t>88</w:t>
      </w:r>
    </w:p>
    <w:p>
      <w:pPr>
        <w:pStyle w:val="TOC2"/>
        <w:tabs>
          <w:tab w:val="right" w:leader="dot" w:pos="8495"/>
        </w:tabs>
        <w:rPr>
          <w:noProof/>
        </w:rPr>
      </w:pPr>
      <w:r>
        <w:rPr>
          <w:szCs w:val="22"/>
          <w:lang w:val="en-US" w:eastAsia="en-US" w:bidi="ar-SA"/>
        </w:rPr>
        <w:t>9.9 Limits of What Has Been Shown</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9.10 Natural Extensions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9.11 Returning to the Three F4 Residents</w:t>
      </w:r>
      <w:r>
        <w:rPr>
          <w:szCs w:val="22"/>
          <w:lang w:val="en-US" w:eastAsia="en-US" w:bidi="ar-SA"/>
        </w:rPr>
        <w:tab/>
      </w:r>
      <w:r>
        <w:rPr>
          <w:szCs w:val="22"/>
          <w:lang w:val="en-US" w:eastAsia="en-US" w:bidi="ar-SA"/>
        </w:rPr>
        <w:t>92</w:t>
      </w:r>
    </w:p>
    <w:p>
      <w:pPr>
        <w:pStyle w:val="TOC2"/>
        <w:tabs>
          <w:tab w:val="right" w:leader="dot" w:pos="8495"/>
        </w:tabs>
        <w:rPr>
          <w:noProof/>
        </w:rPr>
      </w:pPr>
      <w:r>
        <w:rPr>
          <w:szCs w:val="22"/>
          <w:lang w:val="en-US" w:eastAsia="en-US" w:bidi="ar-SA"/>
        </w:rPr>
        <w:t>9.12 Closing Synthesis</w:t>
      </w:r>
      <w:r>
        <w:rPr>
          <w:szCs w:val="22"/>
          <w:lang w:val="en-US" w:eastAsia="en-US" w:bidi="ar-SA"/>
        </w:rPr>
        <w:tab/>
      </w:r>
      <w:r>
        <w:rPr>
          <w:szCs w:val="22"/>
          <w:lang w:val="en-US" w:eastAsia="en-US" w:bidi="ar-SA"/>
        </w:rPr>
        <w:t>93</w:t>
      </w:r>
    </w:p>
    <w:p>
      <w:pPr>
        <w:pStyle w:val="TOC1"/>
        <w:tabs>
          <w:tab w:val="right" w:leader="dot" w:pos="8495"/>
        </w:tabs>
        <w:rPr>
          <w:noProof/>
        </w:rPr>
      </w:pPr>
      <w:r>
        <w:rPr>
          <w:szCs w:val="22"/>
          <w:lang w:val="en-US" w:eastAsia="en-US" w:bidi="ar-SA"/>
        </w:rPr>
        <w:t>References</w:t>
      </w:r>
      <w:r>
        <w:rPr>
          <w:szCs w:val="22"/>
          <w:lang w:val="en-US" w:eastAsia="en-US" w:bidi="ar-SA"/>
        </w:rPr>
        <w:tab/>
      </w:r>
      <w:r>
        <w:rPr>
          <w:szCs w:val="22"/>
          <w:lang w:val="en-US" w:eastAsia="en-US" w:bidi="ar-SA"/>
        </w:rPr>
        <w:t>94</w:t>
      </w:r>
    </w:p>
    <w:p>
      <w:pPr>
        <w:pStyle w:val="TOC1"/>
        <w:tabs>
          <w:tab w:val="right" w:leader="dot" w:pos="8495"/>
        </w:tabs>
        <w:rPr>
          <w:noProof/>
        </w:rPr>
      </w:pPr>
      <w:r>
        <w:rPr>
          <w:szCs w:val="22"/>
          <w:lang w:val="en-US" w:eastAsia="en-US" w:bidi="ar-SA"/>
        </w:rPr>
        <w:t>Appendices</w:t>
      </w:r>
      <w:r>
        <w:rPr>
          <w:szCs w:val="22"/>
          <w:lang w:val="en-US" w:eastAsia="en-US" w:bidi="ar-SA"/>
        </w:rPr>
        <w:tab/>
      </w:r>
      <w:r>
        <w:rPr>
          <w:szCs w:val="22"/>
          <w:lang w:val="en-US" w:eastAsia="en-US" w:bidi="ar-SA"/>
        </w:rPr>
        <w:t>101</w:t>
      </w:r>
    </w:p>
    <w:p>
      <w:pPr>
        <w:pStyle w:val="TOC2"/>
        <w:tabs>
          <w:tab w:val="right" w:leader="dot" w:pos="8495"/>
        </w:tabs>
        <w:rPr>
          <w:noProof/>
        </w:rPr>
      </w:pPr>
      <w:r>
        <w:rPr>
          <w:szCs w:val="22"/>
          <w:lang w:val="en-US" w:eastAsia="en-US" w:bidi="ar-SA"/>
        </w:rPr>
        <w:t>Appendix A · Stage-1 Survey Instrument</w:t>
      </w:r>
      <w:r>
        <w:rPr>
          <w:szCs w:val="22"/>
          <w:lang w:val="en-US" w:eastAsia="en-US" w:bidi="ar-SA"/>
        </w:rPr>
        <w:tab/>
      </w:r>
      <w:r>
        <w:rPr>
          <w:szCs w:val="22"/>
          <w:lang w:val="en-US" w:eastAsia="en-US" w:bidi="ar-SA"/>
        </w:rPr>
        <w:t>102</w:t>
      </w:r>
    </w:p>
    <w:p>
      <w:pPr>
        <w:pStyle w:val="TOC3"/>
        <w:tabs>
          <w:tab w:val="right" w:leader="dot" w:pos="8495"/>
        </w:tabs>
        <w:rPr>
          <w:noProof/>
        </w:rPr>
      </w:pPr>
      <w:r>
        <w:rPr>
          <w:szCs w:val="22"/>
          <w:lang w:val="en-US" w:eastAsia="en-US" w:bidi="ar-SA"/>
        </w:rPr>
        <w:t>A.1 · Survey Items</w:t>
      </w:r>
      <w:r>
        <w:rPr>
          <w:szCs w:val="22"/>
          <w:lang w:val="en-US" w:eastAsia="en-US" w:bidi="ar-SA"/>
        </w:rPr>
        <w:tab/>
      </w:r>
      <w:r>
        <w:rPr>
          <w:szCs w:val="22"/>
          <w:lang w:val="en-US" w:eastAsia="en-US" w:bidi="ar-SA"/>
        </w:rPr>
        <w:t>102</w:t>
      </w:r>
    </w:p>
    <w:p>
      <w:pPr>
        <w:pStyle w:val="TOC2"/>
        <w:tabs>
          <w:tab w:val="right" w:leader="dot" w:pos="8495"/>
        </w:tabs>
        <w:rPr>
          <w:noProof/>
        </w:rPr>
      </w:pPr>
      <w:r>
        <w:rPr>
          <w:szCs w:val="22"/>
          <w:lang w:val="en-US" w:eastAsia="en-US" w:bidi="ar-SA"/>
        </w:rPr>
        <w:t>Appendix B · Stage-2 FIAS Coding Scheme</w:t>
      </w:r>
      <w:r>
        <w:rPr>
          <w:szCs w:val="22"/>
          <w:lang w:val="en-US" w:eastAsia="en-US" w:bidi="ar-SA"/>
        </w:rPr>
        <w:tab/>
      </w:r>
      <w:r>
        <w:rPr>
          <w:szCs w:val="22"/>
          <w:lang w:val="en-US" w:eastAsia="en-US" w:bidi="ar-SA"/>
        </w:rPr>
        <w:t>103</w:t>
      </w:r>
    </w:p>
    <w:p>
      <w:pPr>
        <w:pStyle w:val="TOC2"/>
        <w:tabs>
          <w:tab w:val="right" w:leader="dot" w:pos="8495"/>
        </w:tabs>
        <w:rPr>
          <w:noProof/>
        </w:rPr>
      </w:pPr>
      <w:r>
        <w:rPr>
          <w:szCs w:val="22"/>
          <w:lang w:val="en-US" w:eastAsia="en-US" w:bidi="ar-SA"/>
        </w:rPr>
        <w:t>Appendix C · Stage-2 Qualitative Record and the F4 Interview Protocol (Designed, Not Administered)</w:t>
        <w:tab/>
        <w:t>104</w:t>
      </w:r>
    </w:p>
    <w:p>
      <w:pPr>
        <w:pStyle w:val="TOC3"/>
        <w:tabs>
          <w:tab w:val="right" w:leader="dot" w:pos="8495"/>
        </w:tabs>
        <w:rPr>
          <w:noProof/>
        </w:rPr>
      </w:pPr>
      <w:r>
        <w:rPr>
          <w:szCs w:val="22"/>
          <w:lang w:val="en-US" w:eastAsia="en-US" w:bidi="ar-SA"/>
        </w:rPr>
        <w:t>C.1 · Question Set</w:t>
      </w:r>
      <w:r>
        <w:rPr>
          <w:szCs w:val="22"/>
          <w:lang w:val="en-US" w:eastAsia="en-US" w:bidi="ar-SA"/>
        </w:rPr>
        <w:tab/>
      </w:r>
      <w:r>
        <w:rPr>
          <w:szCs w:val="22"/>
          <w:lang w:val="en-US" w:eastAsia="en-US" w:bidi="ar-SA"/>
        </w:rPr>
        <w:t>104</w:t>
      </w:r>
    </w:p>
    <w:p>
      <w:pPr>
        <w:pStyle w:val="TOC2"/>
        <w:tabs>
          <w:tab w:val="right" w:leader="dot" w:pos="8495"/>
        </w:tabs>
        <w:rPr>
          <w:noProof/>
        </w:rPr>
      </w:pPr>
      <w:r>
        <w:rPr>
          <w:szCs w:val="22"/>
          <w:lang w:val="en-US" w:eastAsia="en-US" w:bidi="ar-SA"/>
        </w:rPr>
        <w:t>Appendix D · Stage-3 Decoupling Questionnaire</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D.1 · Post-Session Items</w:t>
      </w:r>
      <w:r>
        <w:rPr>
          <w:szCs w:val="22"/>
          <w:lang w:val="en-US" w:eastAsia="en-US" w:bidi="ar-SA"/>
        </w:rPr>
        <w:tab/>
      </w:r>
      <w:r>
        <w:rPr>
          <w:szCs w:val="22"/>
          <w:lang w:val="en-US" w:eastAsia="en-US" w:bidi="ar-SA"/>
        </w:rPr>
        <w:t>105</w:t>
      </w:r>
    </w:p>
    <w:p>
      <w:pPr>
        <w:pStyle w:val="TOC3"/>
        <w:tabs>
          <w:tab w:val="right" w:leader="dot" w:pos="8495"/>
        </w:tabs>
        <w:rPr>
          <w:noProof/>
        </w:rPr>
      </w:pPr>
      <w:r>
        <w:rPr>
          <w:szCs w:val="22"/>
          <w:lang w:val="en-US" w:eastAsia="en-US" w:bidi="ar-SA"/>
        </w:rPr>
        <w:t>D.2 · Demographic Block (At Enrolment)</w:t>
      </w:r>
      <w:r>
        <w:rPr>
          <w:szCs w:val="22"/>
          <w:lang w:val="en-US" w:eastAsia="en-US" w:bidi="ar-SA"/>
        </w:rPr>
        <w:tab/>
      </w:r>
      <w:r>
        <w:rPr>
          <w:szCs w:val="22"/>
          <w:lang w:val="en-US" w:eastAsia="en-US" w:bidi="ar-SA"/>
        </w:rPr>
        <w:t>105</w:t>
      </w:r>
    </w:p>
    <w:p>
      <w:pPr>
        <w:pStyle w:val="TOC2"/>
        <w:tabs>
          <w:tab w:val="right" w:leader="dot" w:pos="8495"/>
        </w:tabs>
        <w:rPr>
          <w:noProof/>
        </w:rPr>
      </w:pPr>
      <w:r>
        <w:rPr>
          <w:szCs w:val="22"/>
          <w:lang w:val="en-US" w:eastAsia="en-US" w:bidi="ar-SA"/>
        </w:rPr>
        <w:t>Appendix E · Five-Layer Architecture and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E.1 · Layers L0–L4 (Stage-2 Operational)</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E.2 · Layers L5–L7 (Adaptive-Learning Reference Stack)</w:t>
      </w:r>
      <w:r>
        <w:rPr>
          <w:szCs w:val="22"/>
          <w:lang w:val="en-US" w:eastAsia="en-US" w:bidi="ar-SA"/>
        </w:rPr>
        <w:tab/>
      </w:r>
      <w:r>
        <w:rPr>
          <w:szCs w:val="22"/>
          <w:lang w:val="en-US" w:eastAsia="en-US" w:bidi="ar-SA"/>
        </w:rPr>
        <w:t>106</w:t>
      </w:r>
    </w:p>
    <w:p>
      <w:pPr>
        <w:pStyle w:val="TOC3"/>
        <w:tabs>
          <w:tab w:val="right" w:leader="dot" w:pos="8495"/>
        </w:tabs>
        <w:rPr>
          <w:noProof/>
        </w:rPr>
      </w:pPr>
      <w:r>
        <w:rPr>
          <w:szCs w:val="22"/>
          <w:lang w:val="en-US" w:eastAsia="en-US" w:bidi="ar-SA"/>
        </w:rPr>
        <w:t>E.3 · AI Safety Provisions</w:t>
      </w:r>
      <w:r>
        <w:rPr>
          <w:szCs w:val="22"/>
          <w:lang w:val="en-US" w:eastAsia="en-US" w:bidi="ar-SA"/>
        </w:rPr>
        <w:tab/>
      </w:r>
      <w:r>
        <w:rPr>
          <w:szCs w:val="22"/>
          <w:lang w:val="en-US" w:eastAsia="en-US" w:bidi="ar-SA"/>
        </w:rPr>
        <w:t>107</w:t>
      </w:r>
    </w:p>
    <w:p>
      <w:pPr>
        <w:pStyle w:val="TOC2"/>
      </w:pPr>
      <w:r>
        <w:rPr>
          <w:szCs w:val="22"/>
          <w:lang w:val="en-US" w:eastAsia="en-US" w:bidi="ar-SA"/>
        </w:rPr>
        <w:t>Appendix F · Glossary of Key Constructs</w:t>
      </w:r>
      <w:r>
        <w:rPr>
          <w:szCs w:val="22"/>
          <w:lang w:val="en-US" w:eastAsia="en-US" w:bidi="ar-SA"/>
        </w:rPr>
        <w:tab/>
      </w:r>
      <w:r>
        <w:rPr>
          <w:szCs w:val="22"/>
          <w:lang w:val="en-US" w:eastAsia="en-US" w:bidi="ar-SA"/>
        </w:rPr>
        <w:t>108</w:t>
      </w:r>
    </w:p>
    <w:p>
      <w:pPr>
        <w:pStyle w:val="TOC2"/>
        <w:spacing w:after="200" w:line="276" w:lineRule="auto"/>
        <w:rPr>
          <w:rFonts w:asciiTheme="majorHAnsi" w:eastAsiaTheme="majorEastAsia" w:hAnsiTheme="majorHAnsi" w:cstheme="majorBidi"/>
          <w:b/>
          <w:bCs/>
          <w:color w:val="000000"/>
          <w:sz w:val="32"/>
          <w:szCs w:val="32"/>
        </w:rPr>
      </w:pPr>
      <w:r>
        <w:rPr>
          <w:color w:val="000000"/>
          <w:szCs w:val="28"/>
        </w:rPr>
        <w:t>Appendix G · Raw Data, Photographs and Supplementary Materials</w:t>
      </w:r>
      <w:r>
        <w:rPr>
          <w:rFonts w:asciiTheme="majorHAnsi" w:eastAsiaTheme="majorEastAsia" w:hAnsiTheme="majorHAnsi" w:cstheme="majorBidi"/>
          <w:color w:val="000000"/>
          <w:szCs w:val="32"/>
        </w:rPr>
        <w:tab/>
      </w:r>
      <w:r>
        <w:rPr>
          <w:color w:val="000000"/>
          <w:szCs w:val="28"/>
        </w:rPr>
        <w:t>110</w:t>
      </w:r>
    </w:p>
    <w:p>
      <w:pPr>
        <w:pStyle w:val="TOC2"/>
      </w:pPr>
      <w:r>
        <w:rPr>
          <w:szCs w:val="22"/>
          <w:lang w:val="en-US" w:eastAsia="en-US" w:bidi="ar-SA"/>
        </w:rPr>
        <w:t>Appendix H · Expert Consultation Record</w:t>
      </w:r>
      <w:r>
        <w:rPr>
          <w:szCs w:val="22"/>
          <w:lang w:val="en-US" w:eastAsia="en-US" w:bidi="ar-SA"/>
        </w:rPr>
        <w:tab/>
      </w:r>
      <w:r>
        <w:rPr>
          <w:szCs w:val="22"/>
          <w:lang w:val="en-US" w:eastAsia="en-US" w:bidi="ar-SA"/>
        </w:rPr>
        <w:t>112</w:t>
      </w:r>
    </w:p>
    <w:p>
      <w:pPr>
        <w:pStyle w:val="Heading1"/>
      </w:pPr>
      <w:r>
        <w:rPr>
          <w:lang w:val="en-US" w:eastAsia="en-US" w:bidi="ar-SA"/>
          <w:color w:val="000000"/>
          <w:szCs w:val="28"/>
        </w:rPr>
        <w:t>List of Figures</w:t>
      </w:r>
    </w:p>
    <w:p>
      <w:pPr>
        <w:pStyle w:val="TOC1"/>
      </w:pPr>
      <w:r>
        <w:rPr>
          <w:szCs w:val="22"/>
          <w:lang w:val="en-US" w:eastAsia="en-US" w:bidi="ar-SA"/>
        </w:rPr>
        <w:t>Figure 1.1. The intellectual structure of the thesis: from industrial problem through FIAS, the adaptive-learning framework and the dynamic game-state engine to the industrial outcome.</w:t>
      </w:r>
      <w:r>
        <w:rPr>
          <w:szCs w:val="22"/>
          <w:lang w:val="en-US" w:eastAsia="en-US" w:bidi="ar-SA"/>
        </w:rPr>
        <w:tab/>
      </w:r>
      <w:r>
        <w:rPr>
          <w:szCs w:val="22"/>
          <w:lang w:val="en-US" w:eastAsia="en-US" w:bidi="ar-SA"/>
        </w:rPr>
        <w:t>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szCs w:val="22"/>
          <w:lang w:val="en-HK" w:eastAsia="zh-CN"/>
        </w:rPr>
        <w:t>26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szCs w:val="22"/>
          <w:lang w:val="en-HK" w:eastAsia="zh-CN"/>
        </w:rPr>
        <w:t>30</w:t>
      </w:r>
    </w:p>
    <w:p>
      <w:pPr>
        <w:pStyle w:val="TOC1"/>
      </w:pPr>
      <w:r>
        <w:rPr>
          <w:szCs w:val="22"/>
          <w:lang w:val="en-US" w:eastAsia="en-US" w:bidi="ar-SA"/>
        </w:rPr>
        <w:t>Figure 4.1B. The FRA balance station as deployed in the rehabilitation room of the Guangzhou facility.</w:t>
      </w:r>
      <w:r>
        <w:rPr>
          <w:szCs w:val="22"/>
          <w:lang w:val="en-US" w:eastAsia="en-US" w:bidi="ar-SA"/>
        </w:rPr>
        <w:tab/>
      </w:r>
      <w:r>
        <w:rPr>
          <w:szCs w:val="22"/>
          <w:lang w:val="en-US" w:eastAsia="en-US" w:bidi="ar-SA"/>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szCs w:val="22"/>
          <w:lang w:val="en-HK" w:eastAsia="zh-CN"/>
        </w:rPr>
        <w:t>36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szCs w:val="22"/>
          <w:lang w:val="en-HK" w:eastAsia="zh-CN"/>
        </w:rPr>
        <w:t>40</w:t>
      </w:r>
    </w:p>
    <w:p>
      <w:pPr>
        <w:pStyle w:val="TOC1"/>
      </w:pPr>
      <w:r>
        <w:rPr>
          <w:szCs w:val="22"/>
          <w:lang w:val="en-US" w:eastAsia="en-US" w:bidi="ar-SA"/>
        </w:rPr>
        <w:t>Figure 5.1A. The platform-game coupling demonstrated by a control person (development office, August 2024).</w:t>
      </w:r>
      <w:r>
        <w:rPr>
          <w:szCs w:val="22"/>
          <w:lang w:val="en-US" w:eastAsia="en-US" w:bidi="ar-SA"/>
        </w:rPr>
        <w:tab/>
      </w:r>
      <w:r>
        <w:rPr>
          <w:szCs w:val="22"/>
          <w:lang w:val="en-US" w:eastAsia="en-US" w:bidi="ar-SA"/>
        </w:rPr>
        <w:t>40</w:t>
      </w:r>
    </w:p>
    <w:p>
      <w:pPr>
        <w:pStyle w:val="TOC1"/>
      </w:pPr>
      <w:r>
        <w:rPr>
          <w:szCs w:val="22"/>
          <w:lang w:val="en-US" w:eastAsia="en-US" w:bidi="ar-SA"/>
        </w:rPr>
        <w:t>Figure 5.1B. The deployed game artefact across difficulty levels 1–5 (screenshots from the archived game build).</w:t>
      </w:r>
      <w:r>
        <w:rPr>
          <w:szCs w:val="22"/>
          <w:lang w:val="en-US" w:eastAsia="en-US" w:bidi="ar-SA"/>
        </w:rPr>
        <w:tab/>
      </w:r>
      <w:r>
        <w:rPr>
          <w:szCs w:val="22"/>
          <w:lang w:val="en-US" w:eastAsia="en-US" w:bidi="ar-SA"/>
        </w:rPr>
        <w:t>40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szCs w:val="22"/>
          <w:lang w:val="en-HK" w:eastAsia="zh-CN"/>
        </w:rPr>
        <w:t>42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szCs w:val="22"/>
          <w:lang w:val="en-HK" w:eastAsia="zh-CN"/>
        </w:rPr>
        <w:t>46</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5.4. Participant-level pre/post recorded FRA index for the Stage-2 cohort (N = 30), by engagement group.</w:t>
      </w:r>
      <w:r>
        <w:rPr>
          <w:rFonts w:asciiTheme="minorHAnsi" w:hAnsiTheme="minorHAnsi"/>
          <w:szCs w:val="24"/>
          <w:lang w:val="en-HK" w:eastAsia="zh-CN"/>
        </w:rPr>
        <w:tab/>
      </w:r>
      <w:r>
        <w:rPr>
          <w:szCs w:val="22"/>
          <w:lang w:val="en-HK" w:eastAsia="zh-CN"/>
        </w:rPr>
        <w:t>49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szCs w:val="22"/>
          <w:lang w:val="en-HK" w:eastAsia="zh-CN"/>
        </w:rPr>
        <w:t>50</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szCs w:val="22"/>
          <w:lang w:val="en-HK" w:eastAsia="zh-CN"/>
        </w:rPr>
        <w:t>51</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szCs w:val="22"/>
          <w:lang w:val="en-HK" w:eastAsia="zh-CN"/>
        </w:rPr>
        <w:t>52</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6.1. Stage-3 retention and observed non-return at the end of the study window by age band (N = 120).</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6.2. Return behaviour after initial dropout, by age band: 62.5% return rate in the 65–80 band.</w:t>
      </w:r>
      <w:r>
        <w:rPr>
          <w:rFonts w:asciiTheme="minorHAnsi" w:hAnsiTheme="minorHAnsi"/>
          <w:szCs w:val="24"/>
          <w:lang w:val="en-HK" w:eastAsia="zh-CN"/>
        </w:rPr>
        <w:tab/>
      </w:r>
      <w:r>
        <w:rPr>
          <w:szCs w:val="22"/>
          <w:lang w:val="en-HK" w:eastAsia="zh-CN"/>
        </w:rPr>
        <w:t>57</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6.3. Retention versus regular-use intention by age band: the 29.3-pp commitment gap in the 65–80 band.</w:t>
      </w:r>
      <w:r>
        <w:rPr>
          <w:rFonts w:asciiTheme="minorHAnsi" w:hAnsiTheme="minorHAnsi"/>
          <w:szCs w:val="24"/>
          <w:lang w:val="en-HK" w:eastAsia="zh-CN"/>
        </w:rPr>
        <w:tab/>
      </w:r>
      <w:r>
        <w:rPr>
          <w:szCs w:val="22"/>
          <w:lang w:val="en-HK" w:eastAsia="zh-CN"/>
        </w:rPr>
        <w:t>59</w:t>
      </w:r>
    </w:p>
    <w:p>
      <w:pPr>
        <w:pStyle w:val="TOC1"/>
        <w:tabs>
          <w:tab w:val="right" w:leader="dot" w:pos="8495"/>
        </w:tabs>
        <w:rPr>
          <w:rFonts w:asciiTheme="minorHAnsi" w:hAnsiTheme="minorHAnsi"/>
          <w:noProof/>
          <w:kern w:val="2"/>
          <w:szCs w:val="24"/>
          <w:lang w:val="en-HK" w:eastAsia="zh-CN"/>
          <w14:ligatures w14:val="standardContextual"/>
        </w:rPr>
      </w:pPr>
      <w:r>
        <w:rPr>
          <w:szCs w:val="22"/>
          <w:lang w:val="en-HK" w:eastAsia="zh-CN"/>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szCs w:val="22"/>
          <w:lang w:val="en-HK" w:eastAsia="zh-CN"/>
        </w:rPr>
        <w:t>68</w:t>
      </w:r>
    </w:p>
    <w:p>
      <w:pPr>
        <w:pStyle w:val="TOC1"/>
      </w:pPr>
      <w:r>
        <w:t>Figure 8.1. The gerontechnology design space: measurement versus engagement, and the occupied middle ground.</w:t>
        <w:tab/>
        <w:t>79</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szCs w:val="24"/>
          <w:lang w:val="en-HK" w:eastAsia="zh-CN"/>
        </w:rPr>
        <w:t>90</w:t>
      </w:r>
    </w:p>
    <w:p>
      <w:pPr>
        <w:pStyle w:val="Normal"/>
      </w:pPr>
    </w:p>
    <w:p>
      <w:pPr>
        <w:pStyle w:val="Heading1"/>
      </w:pPr>
      <w:bookmarkStart w:id="3" w:name="_Toc232024494"/>
      <w:r>
        <w:rPr>
          <w:lang w:val="en-US" w:eastAsia="en-US" w:bidi="ar-SA"/>
          <w:color w:val="000000"/>
          <w:szCs w:val="28"/>
        </w:rPr>
        <w:t>List of Tables</w:t>
      </w:r>
      <w:bookmarkEnd w:id="3"/>
    </w:p>
    <w:p>
      <w:pPr>
        <w:pStyle w:val="TOC1"/>
      </w:pPr>
      <w:r>
        <w:rPr>
          <w:szCs w:val="22"/>
          <w:lang w:val="en-US" w:eastAsia="en-US" w:bidi="ar-SA"/>
        </w:rPr>
        <w:t>Table 2.1. From the rejected null hypothesis to candidate mechanisms: the structure of the FIAS account.</w:t>
      </w:r>
    </w:p>
    <w:p>
      <w:pPr>
        <w:pStyle w:val="TOC1"/>
      </w:pPr>
      <w:r>
        <w:rPr>
          <w:szCs w:val="22"/>
          <w:lang w:val="en-US" w:eastAsia="en-US" w:bidi="ar-SA"/>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4.1. Stage-1 survey results (N = 200 residents surveyed, of a resident population of 280).</w:t>
        <w:tab/>
        <w:t>31</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4.2. TAM limitations for elderly FRA users.</w:t>
      </w:r>
      <w:r>
        <w:rPr>
          <w:rFonts w:asciiTheme="minorHAnsi" w:hAnsiTheme="minorHAnsi"/>
          <w:szCs w:val="24"/>
          <w:lang w:val="en-HK" w:eastAsia="zh-CN"/>
        </w:rPr>
        <w:tab/>
      </w:r>
      <w:r>
        <w:rPr>
          <w:szCs w:val="24"/>
          <w:lang w:val="en-HK" w:eastAsia="zh-CN"/>
        </w:rPr>
        <w:t>32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4.3. Octalysis drives contextualised against STAM characteristics.</w:t>
      </w:r>
      <w:r>
        <w:rPr>
          <w:rFonts w:asciiTheme="minorHAnsi" w:hAnsiTheme="minorHAnsi"/>
          <w:szCs w:val="24"/>
          <w:lang w:val="en-HK" w:eastAsia="zh-CN"/>
        </w:rPr>
        <w:tab/>
      </w:r>
      <w:r>
        <w:rPr>
          <w:szCs w:val="24"/>
          <w:lang w:val="en-HK" w:eastAsia="zh-CN"/>
        </w:rPr>
        <w:t>33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szCs w:val="24"/>
          <w:lang w:val="en-HK" w:eastAsia="zh-CN"/>
        </w:rPr>
        <w:t>38</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5.1. Skiing game data structure summary.</w:t>
      </w:r>
      <w:r>
        <w:rPr>
          <w:rFonts w:asciiTheme="minorHAnsi" w:hAnsiTheme="minorHAnsi"/>
          <w:szCs w:val="24"/>
          <w:lang w:val="en-HK" w:eastAsia="zh-CN"/>
        </w:rPr>
        <w:tab/>
      </w:r>
      <w:r>
        <w:rPr>
          <w:szCs w:val="24"/>
          <w:lang w:val="en-HK" w:eastAsia="zh-CN"/>
        </w:rPr>
        <w:t>43</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5.2. Stage-2 engagement pattern (N = 30).</w:t>
      </w:r>
      <w:r>
        <w:rPr>
          <w:rFonts w:asciiTheme="minorHAnsi" w:hAnsiTheme="minorHAnsi"/>
          <w:szCs w:val="24"/>
          <w:lang w:val="en-HK" w:eastAsia="zh-CN"/>
        </w:rPr>
        <w:tab/>
      </w:r>
      <w:r>
        <w:rPr>
          <w:szCs w:val="24"/>
          <w:lang w:val="en-HK" w:eastAsia="zh-CN"/>
        </w:rPr>
        <w:t>48</w:t>
      </w:r>
    </w:p>
    <w:p>
      <w:pPr>
        <w:pStyle w:val="TOC1"/>
      </w:pPr>
      <w:r>
        <w:rPr>
          <w:szCs w:val="22"/>
          <w:lang w:val="en-US" w:eastAsia="en-US" w:bidi="ar-SA"/>
        </w:rPr>
        <w:t>Table 5.3. QFD deployment matrix: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6.1. Stage-3 overall engagement and dropout (N = 120).</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6.2. Stage-3 age-stratified engagement.</w:t>
      </w:r>
      <w:r>
        <w:rPr>
          <w:rFonts w:asciiTheme="minorHAnsi" w:hAnsiTheme="minorHAnsi"/>
          <w:szCs w:val="24"/>
          <w:lang w:val="en-HK" w:eastAsia="zh-CN"/>
        </w:rPr>
        <w:tab/>
      </w:r>
      <w:r>
        <w:rPr>
          <w:szCs w:val="24"/>
          <w:lang w:val="en-HK" w:eastAsia="zh-CN"/>
        </w:rPr>
        <w:t>55</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6.3. Stage-3 coordination endorsement and regular-use intention by age band.</w:t>
      </w:r>
      <w:r>
        <w:rPr>
          <w:rFonts w:asciiTheme="minorHAnsi" w:hAnsiTheme="minorHAnsi"/>
          <w:szCs w:val="24"/>
          <w:lang w:val="en-HK" w:eastAsia="zh-CN"/>
        </w:rPr>
        <w:tab/>
      </w:r>
      <w:r>
        <w:rPr>
          <w:szCs w:val="24"/>
          <w:lang w:val="en-HK" w:eastAsia="zh-CN"/>
        </w:rPr>
        <w:t>56</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6.4. Three-tier nested model specification for the FIAS-vs-TAM/STAM quantitative comparison.</w:t>
      </w:r>
      <w:r>
        <w:rPr>
          <w:rFonts w:asciiTheme="minorHAnsi" w:hAnsiTheme="minorHAnsi"/>
          <w:szCs w:val="24"/>
          <w:lang w:val="en-HK" w:eastAsia="zh-CN"/>
        </w:rPr>
        <w:tab/>
      </w:r>
      <w:r>
        <w:rPr>
          <w:szCs w:val="24"/>
          <w:lang w:val="en-HK" w:eastAsia="zh-CN"/>
        </w:rPr>
        <w:t>60</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6.5. Consolidated statistical results for the key contrasts of Stages 2 and 3.</w:t>
      </w:r>
      <w:r>
        <w:rPr>
          <w:rFonts w:asciiTheme="minorHAnsi" w:hAnsiTheme="minorHAnsi"/>
          <w:szCs w:val="24"/>
          <w:lang w:val="en-HK" w:eastAsia="zh-CN"/>
        </w:rPr>
        <w:tab/>
      </w:r>
      <w:r>
        <w:rPr>
          <w:szCs w:val="24"/>
          <w:lang w:val="en-HK" w:eastAsia="zh-CN"/>
        </w:rPr>
        <w:t>62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7.1. Adaptive-learning principles, function and empirical anchor.</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8.0. The four contribution registers and where each is stated.</w:t>
      </w:r>
      <w:r>
        <w:rPr>
          <w:szCs w:val="22"/>
          <w:lang w:val="en-US" w:eastAsia="en-US" w:bidi="ar-SA"/>
        </w:rPr>
        <w:tab/>
      </w:r>
      <w:r>
        <w:rPr>
          <w:szCs w:val="22"/>
          <w:lang w:val="en-US" w:eastAsia="en-US" w:bidi="ar-SA"/>
        </w:rPr>
        <w:t>72</w:t>
      </w:r>
    </w:p>
    <w:p>
      <w:pPr>
        <w:pStyle w:val="TOC1"/>
        <w:tabs>
          <w:tab w:val="right" w:leader="dot" w:pos="8495"/>
        </w:tabs>
        <w:rPr>
          <w:rFonts w:asciiTheme="minorHAnsi" w:hAnsiTheme="minorHAnsi"/>
          <w:noProof/>
          <w:kern w:val="2"/>
          <w:szCs w:val="24"/>
          <w:lang w:val="en-HK" w:eastAsia="zh-CN"/>
          <w14:ligatures w14:val="standardContextual"/>
        </w:rPr>
      </w:pPr>
      <w:r>
        <w:rPr>
          <w:szCs w:val="24"/>
          <w:lang w:val="en-HK" w:eastAsia="zh-CN"/>
        </w:rPr>
        <w:t>Table 7.2. Adaptive-learning reference stack (L0–L7) mapped to adaptive-learning principles.</w:t>
      </w:r>
      <w:r>
        <w:rPr>
          <w:rFonts w:asciiTheme="minorHAnsi" w:hAnsiTheme="minorHAnsi"/>
          <w:szCs w:val="24"/>
          <w:lang w:val="en-HK" w:eastAsia="zh-CN"/>
        </w:rPr>
        <w:tab/>
      </w:r>
      <w:r>
        <w:rPr>
          <w:szCs w:val="24"/>
          <w:lang w:val="en-HK" w:eastAsia="zh-CN"/>
        </w:rPr>
        <w:t>66</w:t>
      </w:r>
    </w:p>
    <w:p>
      <w:pPr>
        <w:pStyle w:val="TOC1"/>
      </w:pPr>
      <w:r>
        <w:rPr>
          <w:szCs w:val="22"/>
          <w:lang w:val="en-US" w:eastAsia="en-US" w:bidi="ar-SA"/>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Pr>
        <w:tab/>
      </w:r>
      <w:r>
        <w:rPr>
          <w:szCs w:val="22"/>
          <w:lang w:val="en-US" w:eastAsia="en-US" w:bidi="ar-SA"/>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tblHeader/>
        </w:trPr>
        <w:tc>
          <w:tcPr>
            <w:tcW w:w="2324" w:type="dxa"/>
          </w:tcPr>
          <w:p>
            <w:pPr>
              <w:pStyle w:val="Normal"/>
            </w:pPr>
            <w:r>
              <w:rPr>
                <w:b/>
                <w:sz w:val="20"/>
                <w:szCs w:val="22"/>
                <w:lang w:val="en-US" w:eastAsia="en-US" w:bidi="ar-SA"/>
                <w:rFonts w:ascii="Times New Roman" w:hAnsi="Times New Roman" w:eastAsia="Times New Roman" w:cs="Times New Roman"/>
              </w:rPr>
              <w:t>AI</w:t>
            </w:r>
          </w:p>
        </w:tc>
        <w:tc>
          <w:tcPr>
            <w:tcW w:w="6181"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pStyle w:val="Heading2"/>
      </w:pPr>
      <w:bookmarkStart w:id="6" w:name="_Toc232024498"/>
      <w:r>
        <w:rPr>
          <w:lang w:val="en-US" w:eastAsia="en-US" w:bidi="ar-SA"/>
          <w:color w:val="000000"/>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Whether the conjecture's name and definition would survive contact with the field is itself part of the journey Chapters 4 and 5 report. Throughout this thesis, "syndrome" is used as a conceptual label for a proposed behavioural pattern, not as a clinical diagnosis, and any construct developed from the conjecture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was designed to test the FIDS conjecture prospectively and at close range. Thirty residents participated over eight weeks in an action-research deployment of a dual-purpose AI-assisted skiing game on the InBody pressure panel. The design attended closely to the relationship between recorded score change and subsequent return: if behaviour were to track the direction of recorded change, acceptance models would suffice; if not, something else would be at work. A methodological guard was set in advance: a single-session change may include measurement variation, familiarisation, practice effects or short-term motor adaptation, and is not interpreted as clinical benefit unless it exceeds a validated measurement-error or clinical-significance threshold. The session-level records, the F4 cluster and the behavioural outcomes are reported in Chapter 5.</w:t>
      </w:r>
    </w:p>
    <w:p w14:paraId="1D7A94AA" w14:textId="77777777" w:rsidR="0062437E" w:rsidRDefault="00000000">
      <w:pPr>
        <w:jc w:val="both"/>
      </w:pPr>
      <w:r>
        <w:t>The possibility that improvers and non-improvers might behave alike on the outcome of interest — that favourable task-related feedback might coexist with non-return — is precisely the case conventional acceptance models do not explicitly represent. Behavioural economics was therefore prepared as a candidate explanatory layer for whatever Stage 2 observed, while recognising that the deployment would not directly measure mental accounting, identity protection, endowment or stereotype threat. Whether the score-improvement/non-return paradox materialised, and what it came to anchor, is the subject of Chapter 5.</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designed as the programme's attribution experiment. If Stage 2's prospective test were to move H0, the movement would admit two readings: either gamification simply does not transfer to frail older adults, or the theory works and the coupling to the clinical technology breaks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a newly named abandonment construct —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 argued in Chapter 8 from the Chapter 6 evidence: the theory transfers to older adults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the abandonment construct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Stage-2 prospective test of H0 and the Stage-3 decoupling outcomes (Chapters 5 and 6),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jc w:val="center"/>
      </w:pPr>
      <w:r>
        <w:t>Figure 1.1. The intellectual structure of the thesis: an industrial problem produces an observed behavioural phenomenon (the abandonment construct developed in Chapters 4 and 5);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r>
        <w:rPr>
          <w:highlight w:val="yellow"/>
        </w:rPr>
        <w:t xml:space="preserve"> [AUTHOR CHECK: if the Figure 1.1 graphic itself carries the construct's name, regenerate the graphic or approve the mention.]</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candidate explanation for the class of observations that the null hypothesis could not accommodate, should the stages produce them. The integration is developed into the thesis's central theoretical construct in Chapter 5. The individual operators are not directly measured by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abandonment-construct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this thesis investigates.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color w:val="000000"/>
        </w:rPr>
        <w:t>2.3.5 The Null Hypothesis Built From Stages One and Two</w:t>
      </w:r>
    </w:p>
    <w:p>
      <w:pPr>
        <w:pStyle w:val="Normal"/>
        <w:jc w:val="both"/>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pPr>
        <w:pStyle w:val="Normal"/>
        <w:jc w:val="both"/>
      </w:pPr>
      <w:r>
        <w:rPr>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jc w:val="both"/>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jc w:val="both"/>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szCs w:val="22"/>
          <w:lang w:val="en-US" w:eastAsia="en-US" w:bidi="ar-SA"/>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szCs w:val="22"/>
          <w:lang w:val="en-US" w:eastAsia="en-US" w:bidi="ar-SA"/>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contingency the null hypothesis makes testable: the case in which H0 fails.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the candidate account, and the testable prediction it generates. The subsections that follow develop each row. The operators are not directly measured by the present studies; the table is the structure that future measurement (§3.6) is designed to fill.</w:t>
      </w:r>
    </w:p>
    <w:p>
      <w:pPr>
        <w:pStyle w:val="FigureCaption"/>
        <w:jc w:val="center"/>
      </w:pPr>
      <w:r>
        <w:rPr>
          <w:sz w:val="22"/>
          <w:szCs w:val="22"/>
          <w:lang w:val="en-US" w:eastAsia="en-US" w:bidi="ar-SA"/>
          <w:rFonts w:ascii="Times New Roman" w:hAnsi="Times New Roman" w:eastAsia="Times New Roman" w:cs="Times New Roman"/>
          <w:i/>
        </w:rPr>
        <w:t>Table 2.1. From the null hypothesis's failure case to candidate mechanisms: the structure of the candidate behavioural account.</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trPr>
        <w:tc>
          <w:tcPr>
            <w:tcW w:type="dxa" w:w="2039"/>
          </w:tcPr>
          <w:p>
            <w:r>
              <w:t>Observation class H0 cannot accommodate</w:t>
            </w:r>
          </w:p>
        </w:tc>
        <w:tc>
          <w:tcPr>
            <w:tcW w:type="dxa" w:w="1850"/>
          </w:tcPr>
          <w:p>
            <w:pPr>
              <w:pStyle w:val="Normal"/>
            </w:pPr>
            <w:r>
              <w:rPr>
                <w:b/>
                <w:sz w:val="20"/>
                <w:szCs w:val="22"/>
                <w:lang w:val="en-US" w:eastAsia="en-US" w:bidi="ar-SA"/>
                <w:rFonts w:ascii="Times New Roman" w:hAnsi="Times New Roman" w:eastAsia="Times New Roman" w:cs="Times New Roman"/>
              </w:rPr>
              <w:t>Behavioural theory</w:t>
            </w:r>
          </w:p>
        </w:tc>
        <w:tc>
          <w:tcPr>
            <w:tcW w:type="dxa" w:w="2183"/>
          </w:tcPr>
          <w:p>
            <w:r>
              <w:t>Construct contributed to the account</w:t>
            </w:r>
          </w:p>
        </w:tc>
        <w:tc>
          <w:tcPr>
            <w:tcW w:type="dxa" w:w="2433"/>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039"/>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039"/>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433"/>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039"/>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433"/>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039"/>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83"/>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433"/>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83"/>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433"/>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color w:val="000000"/>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the candidate account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szCs w:val="22"/>
          <w:lang w:val="en-US" w:eastAsia="en-US" w:bidi="ar-SA"/>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this thesis names in Chapter 5.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color w:val="000000"/>
        </w:rPr>
        <w:t>2.6.2C Zero-Failure Design: A Research-Generated Concept That Inverts Octalysis D8</w:t>
      </w:r>
    </w:p>
    <w:p>
      <w:pPr>
        <w:pStyle w:val="Normal"/>
        <w:jc w:val="both"/>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jc w:val="both"/>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jc w:val="both"/>
      </w:pPr>
      <w:r>
        <w:rPr>
          <w:szCs w:val="26"/>
          <w:lang w:val="en-US" w:eastAsia="en-US" w:bidi="ar-SA"/>
          <w:rFonts w:ascii="Times New Roman" w:hAnsi="Times New Roman" w:eastAsia="Times New Roman" w:cs="Times New Roman"/>
          <w:sz w:val="24"/>
        </w:rPr>
        <w:t>The evidential status of the concept must be stated carefully. The Stage-2 build softens the in-game loss economy substantially — three lives, a neutral first hit, an obstacle-clearing second hit (Table 5.0) — yet retains a conventional terminal Game Over; whether softened in-game loss alone suffices is one of the questions Chapter 5 examines. The complete zero-failure repertoire — non-terminal recovery, mastery, narrative and reframe states — is specified at §5.3.10 and implemented in the successor short-run build used for the Stage-3 apparatus lineage. And because Stage 3 changes the participant-facing frame and the cohort together, the isolated causal effect of the zero-failure component is not measured within the main stages (Chapter 6). Zero-failure design is therefore treated as a candidate moderator within the behavioural account and a testable component of the adaptive-learning framework (Chapter 7), not a demonstrated cure; its isolated evaluation is pre-specified in the randomised study of §8.8.</w:t>
      </w:r>
    </w:p>
    <w:p>
      <w:pPr>
        <w:pStyle w:val="Heading3"/>
      </w:pPr>
      <w:r>
        <w:rPr>
          <w:szCs w:val="28"/>
          <w:lang w:val="en-US" w:eastAsia="en-US" w:bidi="ar-SA"/>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szCs w:val="28"/>
          <w:lang w:val="en-US" w:eastAsia="en-US" w:bidi="ar-SA"/>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4"/>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4"/>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the mechanism-level construct this thesis develops (Chapter 5) remains provisional, requiring independent validation.</w:t>
      </w:r>
    </w:p>
    <w:p>
      <w:pPr>
        <w:pStyle w:val="Heading3"/>
      </w:pPr>
      <w:bookmarkStart w:id="43" w:name="_Toc232024543"/>
      <w:r>
        <w:rPr>
          <w:szCs w:val="28"/>
          <w:lang w:val="en-US" w:eastAsia="en-US" w:bidi="ar-SA"/>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is assembled to explain precisely the class of observations H0 cannot; the construct itself is named and specified in Chapter 5.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4"/>
        </w:rPr>
        <w:t>No single stage carries the argument alone. The intellectual contribution is the chain itself: a null hypothesis honestly built from the best available models, an empirical rejection unlikely to be attributable to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trPr>
        <w:tc>
          <w:tcPr>
            <w:tcW w:w="1737" w:type="dxa"/>
          </w:tcPr>
          <w:p>
            <w:r>
              <w:rPr>
                <w:b/>
              </w:rPr>
              <w:t>Literature stage</w:t>
            </w:r>
          </w:p>
        </w:tc>
        <w:tc>
          <w:tcPr>
            <w:tcW w:w="2905" w:type="dxa"/>
          </w:tcPr>
          <w:p>
            <w:r>
              <w:rPr>
                <w:b/>
              </w:rPr>
              <w:t>Core sources</w:t>
            </w:r>
          </w:p>
        </w:tc>
        <w:tc>
          <w:tcPr>
            <w:tcW w:w="3196" w:type="dxa"/>
          </w:tcPr>
          <w:p>
            <w:r>
              <w:rPr>
                <w:b/>
              </w:rPr>
              <w:t>What it establishes</w:t>
            </w:r>
          </w:p>
        </w:tc>
        <w:tc>
          <w:tcPr>
            <w:tcW w:w="2827" w:type="dxa"/>
          </w:tcPr>
          <w:p>
            <w:r>
              <w:rPr>
                <w:b/>
              </w:rPr>
              <w:t>The question it leaves open</w:t>
            </w:r>
          </w:p>
        </w:tc>
        <w:tc>
          <w:tcPr>
            <w:tcW w:w="2772" w:type="dxa"/>
          </w:tcPr>
          <w:p>
            <w:r>
              <w:rPr>
                <w:b/>
              </w:rPr>
              <w:t>Where the programme takes it up</w:t>
            </w:r>
          </w:p>
        </w:tc>
      </w:tr>
      <w:tr>
        <w:tc>
          <w:tcPr>
            <w:tcW w:w="1737" w:type="dxa"/>
          </w:tcPr>
          <w:p>
            <w:r>
              <w:t>One — Technology acceptance lineage</w:t>
            </w:r>
          </w:p>
        </w:tc>
        <w:tc>
          <w:tcPr>
            <w:tcW w:w="2905" w:type="dxa"/>
          </w:tcPr>
          <w:p>
            <w:r>
              <w:t>Davis (1989); TAM2/TAM3/UTAUT; Chen &amp; Chan (2014)</w:t>
            </w:r>
          </w:p>
        </w:tc>
        <w:tc>
          <w:tcPr>
            <w:tcW w:w="3196" w:type="dxa"/>
          </w:tcPr>
          <w:p>
            <w:r>
              <w:t>Fitting a technology to the user's acceptance criteria produces intention and use; STAM adds age-specific factors</w:t>
            </w:r>
          </w:p>
        </w:tc>
        <w:tc>
          <w:tcPr>
            <w:tcW w:w="2827" w:type="dxa"/>
          </w:tcPr>
          <w:p>
            <w:r>
              <w:t>Whether acceptance survives an adverse, identity-relevant first verdict is not modelled</w:t>
            </w:r>
          </w:p>
        </w:tc>
        <w:tc>
          <w:tcPr>
            <w:tcW w:w="2772" w:type="dxa"/>
          </w:tcPr>
          <w:p>
            <w:r>
              <w:t>Premise one of H0 (§2.3.5); Stage-1 survey constructs (Chapter 4)</w:t>
            </w:r>
          </w:p>
        </w:tc>
      </w:tr>
      <w:tr>
        <w:tc>
          <w:tcPr>
            <w:tcW w:w="1737" w:type="dxa"/>
          </w:tcPr>
          <w:p>
            <w:r>
              <w:t>Two — Gamification and Octalysis</w:t>
            </w:r>
          </w:p>
        </w:tc>
        <w:tc>
          <w:tcPr>
            <w:tcW w:w="2905" w:type="dxa"/>
          </w:tcPr>
          <w:p>
            <w:r>
              <w:t>Deterding et al. (2011); Chou (2015); An, Cheung &amp; Willoughby (2024); An, Cheung &amp; Lo (2025)</w:t>
            </w:r>
          </w:p>
        </w:tc>
        <w:tc>
          <w:tcPr>
            <w:tcW w:w="3196" w:type="dxa"/>
          </w:tcPr>
          <w:p>
            <w:r>
              <w:t>Game mechanics lift older adults' intention and engagement in non-clinical demonstrations</w:t>
            </w:r>
          </w:p>
        </w:tc>
        <w:tc>
          <w:tcPr>
            <w:tcW w:w="2827" w:type="dxa"/>
          </w:tcPr>
          <w:p>
            <w:r>
              <w:t>Whether the demonstration transfers when the game is attached to a clinical FRA verdict (§2.3.4)</w:t>
            </w:r>
          </w:p>
        </w:tc>
        <w:tc>
          <w:tcPr>
            <w:tcW w:w="2772" w:type="dxa"/>
          </w:tcPr>
          <w:p>
            <w:r>
              <w:t>Premise two of H0; the Stage-2 instrument specification (Chapter 5)</w:t>
            </w:r>
          </w:p>
        </w:tc>
      </w:tr>
      <w:tr>
        <w:tc>
          <w:tcPr>
            <w:tcW w:w="1737" w:type="dxa"/>
          </w:tcPr>
          <w:p>
            <w:r>
              <w:t>Three — Self-efficacy</w:t>
            </w:r>
          </w:p>
        </w:tc>
        <w:tc>
          <w:tcPr>
            <w:tcW w:w="2905" w:type="dxa"/>
          </w:tcPr>
          <w:p>
            <w:r>
              <w:t>Bandura (1977, 1997); Hawthorn (2007); Broady, Chan &amp; Caputi (2010); Tsai et al. (2020)</w:t>
            </w:r>
          </w:p>
        </w:tc>
        <w:tc>
          <w:tcPr>
            <w:tcW w:w="3196" w:type="dxa"/>
          </w:tcPr>
          <w:p>
            <w:r>
              <w:t>Difficulty lowers persistence; the fear-and-failure cycle in older computer users</w:t>
            </w:r>
          </w:p>
        </w:tc>
        <w:tc>
          <w:tcPr>
            <w:tcW w:w="2827" w:type="dxa"/>
          </w:tcPr>
          <w:p>
            <w:r>
              <w:t>Why dropout would become permanent even where recorded competence improves (§2.4.4)</w:t>
            </w:r>
          </w:p>
        </w:tc>
        <w:tc>
          <w:tcPr>
            <w:tcW w:w="2772" w:type="dxa"/>
          </w:tcPr>
          <w:p>
            <w:r>
              <w:t>First diagnostic layer for reading the engagement data (Chapters 5–6)</w:t>
            </w:r>
          </w:p>
        </w:tc>
      </w:tr>
      <w:tr>
        <w:tc>
          <w:tcPr>
            <w:tcW w:w="1737" w:type="dxa"/>
          </w:tcPr>
          <w:p>
            <w:r>
              <w:t>Four — Behavioural science</w:t>
            </w:r>
          </w:p>
        </w:tc>
        <w:tc>
          <w:tcPr>
            <w:tcW w:w="2905" w:type="dxa"/>
          </w:tcPr>
          <w:p>
            <w:r>
              <w:t>Kahneman &amp; Tversky (1979); Thaler (1985); Steele &amp; Aronson (1995)</w:t>
            </w:r>
          </w:p>
        </w:tc>
        <w:tc>
          <w:tcPr>
            <w:tcW w:w="3196" w:type="dxa"/>
          </w:tcPr>
          <w:p>
            <w:r>
              <w:t>Loss aversion, endowment on identity-level assets, mental accounting and stereotype threat as candidate operators</w:t>
            </w:r>
          </w:p>
        </w:tc>
        <w:tc>
          <w:tcPr>
            <w:tcW w:w="2827" w:type="dxa"/>
          </w:tcPr>
          <w:p>
            <w:r>
              <w:t>Whether these laboratory-derived operators organise field non-return in clinically framed play</w:t>
            </w:r>
          </w:p>
        </w:tc>
        <w:tc>
          <w:tcPr>
            <w:tcW w:w="2772" w:type="dxa"/>
          </w:tcPr>
          <w:p>
            <w:r>
              <w:t>The candidate account of failure-associated non-return (Table 2.1); developed further in Chapter 5</w:t>
            </w:r>
          </w:p>
        </w:tc>
      </w:tr>
      <w:tr>
        <w:tc>
          <w:tcPr>
            <w:tcW w:w="1737" w:type="dxa"/>
          </w:tcPr>
          <w:p>
            <w:r>
              <w:t>Five — Design responses</w:t>
            </w:r>
          </w:p>
        </w:tc>
        <w:tc>
          <w:tcPr>
            <w:tcW w:w="2905" w:type="dxa"/>
          </w:tcPr>
          <w:p>
            <w:r>
              <w:t>Kapur (2008); adaptive-learning lineage (§2.6.2A); SDT and goal-setting (§2.6.2B); zero-failure design (research-generated, §2.6.2C)</w:t>
            </w:r>
          </w:p>
        </w:tc>
        <w:tc>
          <w:tcPr>
            <w:tcW w:w="3196" w:type="dxa"/>
          </w:tcPr>
          <w:p>
            <w:r>
              <w:t>Failure's meaning is designable: decoupling, trajectory framing and adaptive challenge are available responses</w:t>
            </w:r>
          </w:p>
        </w:tc>
        <w:tc>
          <w:tcPr>
            <w:tcW w:w="2827" w:type="dxa"/>
          </w:tcPr>
          <w:p>
            <w:r>
              <w:t>Whether re-framing failure restores engagement in this population</w:t>
            </w:r>
          </w:p>
        </w:tc>
        <w:tc>
          <w:tcPr>
            <w:tcW w:w="2772" w:type="dxa"/>
          </w:tcPr>
          <w:p>
            <w:r>
              <w:t>Stage-3 decoupling test (Chapter 6); the adaptive-learning framework (Chapter 7); prospective test (§8.8)</w:t>
            </w:r>
          </w:p>
        </w:tc>
      </w:tr>
      <w:tr>
        <w:tc>
          <w:tcPr>
            <w:tcW w:w="1737" w:type="dxa"/>
          </w:tcPr>
          <w:p>
            <w:r>
              <w:t>Supporting evidence and adjacent frameworks</w:t>
            </w:r>
          </w:p>
        </w:tc>
        <w:tc>
          <w:tcPr>
            <w:tcW w:w="2905" w:type="dxa"/>
          </w:tcPr>
          <w:p>
            <w:r>
              <w:t>Koivisto &amp; Malik (2021); Greenhalgh et al. (2017, NASSS); Park et al. (2019); Kim et al. (2018); Shannon (1948)</w:t>
            </w:r>
          </w:p>
        </w:tc>
        <w:tc>
          <w:tcPr>
            <w:tcW w:w="3196" w:type="dxa"/>
          </w:tcPr>
          <w:p>
            <w:r>
              <w:t>An evidence base for gamification with older adults; documented abandonment; a cross-cultural anchor; an information-theoretic bridge lens</w:t>
            </w:r>
          </w:p>
        </w:tc>
        <w:tc>
          <w:tcPr>
            <w:tcW w:w="2827" w:type="dxa"/>
          </w:tcPr>
          <w:p>
            <w:r>
              <w:t>A mechanism-level account of abandonment is absent from all of them</w:t>
            </w:r>
          </w:p>
        </w:tc>
        <w:tc>
          <w:tcPr>
            <w:tcW w:w="2772" w:type="dxa"/>
          </w:tcPr>
          <w:p>
            <w:r>
              <w:t>The gap this thesis addresses; discussion lenses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trPr>
        <w:tc>
          <w:tcPr>
            <w:tcW w:w="1881" w:type="dxa"/>
          </w:tcPr>
          <w:p>
            <w:r>
              <w:rPr>
                <w:b/>
              </w:rPr>
              <w:t>Research activity</w:t>
            </w:r>
          </w:p>
        </w:tc>
        <w:tc>
          <w:tcPr>
            <w:tcW w:w="2467" w:type="dxa"/>
          </w:tcPr>
          <w:p>
            <w:r>
              <w:rPr>
                <w:b/>
              </w:rPr>
              <w:t>Question carried from the literature</w:t>
            </w:r>
          </w:p>
        </w:tc>
        <w:tc>
          <w:tcPr>
            <w:tcW w:w="2199" w:type="dxa"/>
          </w:tcPr>
          <w:p>
            <w:r>
              <w:rPr>
                <w:b/>
              </w:rPr>
              <w:t>What is instrumented</w:t>
            </w:r>
          </w:p>
        </w:tc>
        <w:tc>
          <w:tcPr>
            <w:tcW w:w="1958" w:type="dxa"/>
          </w:tcPr>
          <w:p>
            <w:r>
              <w:rPr>
                <w:b/>
              </w:rPr>
              <w:t>Literature stage it tests</w:t>
            </w:r>
          </w:p>
        </w:tc>
      </w:tr>
      <w:tr>
        <w:tc>
          <w:tcPr>
            <w:tcW w:w="1881" w:type="dxa"/>
          </w:tcPr>
          <w:p>
            <w:r>
              <w:t>Stage 1 — retrospective survey (Chapter 4)</w:t>
            </w:r>
          </w:p>
        </w:tc>
        <w:tc>
          <w:tcPr>
            <w:tcW w:w="2467" w:type="dxa"/>
          </w:tcPr>
          <w:p>
            <w:r>
              <w:t>Does acceptance-compliant FRA use persist after adverse first experiences?</w:t>
            </w:r>
          </w:p>
        </w:tc>
        <w:tc>
          <w:tcPr>
            <w:tcW w:w="2199" w:type="dxa"/>
          </w:tcPr>
          <w:p>
            <w:r>
              <w:t>Prior use, adverse-experience recall, return behaviour; TAM/STAM acceptance items</w:t>
            </w:r>
          </w:p>
        </w:tc>
        <w:tc>
          <w:tcPr>
            <w:tcW w:w="1958" w:type="dxa"/>
          </w:tcPr>
          <w:p>
            <w:r>
              <w:t>Stages one–two (H0)</w:t>
            </w:r>
          </w:p>
        </w:tc>
      </w:tr>
      <w:tr>
        <w:tc>
          <w:tcPr>
            <w:tcW w:w="1881" w:type="dxa"/>
          </w:tcPr>
          <w:p>
            <w:r>
              <w:t>Stage 2 — gamified FRA deployment (Chapter 5)</w:t>
            </w:r>
          </w:p>
        </w:tc>
        <w:tc>
          <w:tcPr>
            <w:tcW w:w="2467" w:type="dxa"/>
          </w:tcPr>
          <w:p>
            <w:r>
              <w:t>Does an acceptance-screened, Octalysis-compliant gamified FRA sustain engagement at the assessment site?</w:t>
            </w:r>
          </w:p>
        </w:tc>
        <w:tc>
          <w:tcPr>
            <w:tcW w:w="2199" w:type="dxa"/>
          </w:tcPr>
          <w:p>
            <w:r>
              <w:t>Session telemetry, recorded performance, satisfaction and self-report</w:t>
            </w:r>
          </w:p>
        </w:tc>
        <w:tc>
          <w:tcPr>
            <w:tcW w:w="1958" w:type="dxa"/>
          </w:tcPr>
          <w:p>
            <w:r>
              <w:t>Stages one–two (H0), with stage three as the first diagnostic layer</w:t>
            </w:r>
          </w:p>
        </w:tc>
      </w:tr>
      <w:tr>
        <w:tc>
          <w:tcPr>
            <w:tcW w:w="1881" w:type="dxa"/>
          </w:tcPr>
          <w:p>
            <w:r>
              <w:t>Stage 3 — participant-facing decoupling (Chapter 6)</w:t>
            </w:r>
          </w:p>
        </w:tc>
        <w:tc>
          <w:tcPr>
            <w:tcW w:w="2467" w:type="dxa"/>
          </w:tcPr>
          <w:p>
            <w:r>
              <w:t>Is non-return dispositional, or coupled to the clinical frame that gives failure its meaning?</w:t>
            </w:r>
          </w:p>
        </w:tc>
        <w:tc>
          <w:tcPr>
            <w:tcW w:w="2199" w:type="dxa"/>
          </w:tcPr>
          <w:p>
            <w:r>
              <w:t>Post-failure return, endorsement and stated intention in a separate cohort</w:t>
            </w:r>
          </w:p>
        </w:tc>
        <w:tc>
          <w:tcPr>
            <w:tcW w:w="1958" w:type="dxa"/>
          </w:tcPr>
          <w:p>
            <w:r>
              <w:t>Stage four's candidate account against its dispositional rival; stage five's decoupling response</w:t>
            </w:r>
          </w:p>
        </w:tc>
      </w:tr>
      <w:tr>
        <w:tc>
          <w:tcPr>
            <w:tcW w:w="1881" w:type="dxa"/>
          </w:tcPr>
          <w:p>
            <w:r>
              <w:t>Adaptive-learning framework and prospective test (Chapter 7; §8.8)</w:t>
            </w:r>
          </w:p>
        </w:tc>
        <w:tc>
          <w:tcPr>
            <w:tcW w:w="2467" w:type="dxa"/>
          </w:tcPr>
          <w:p>
            <w:r>
              <w:t>Can a learning-trajectory frame change what a single adverse event means?</w:t>
            </w:r>
          </w:p>
        </w:tc>
        <w:tc>
          <w:tcPr>
            <w:tcW w:w="2199" w:type="dxa"/>
          </w:tcPr>
          <w:p>
            <w:r>
              <w:t>Framework specification; a pre-registered field experiment</w:t>
            </w:r>
          </w:p>
        </w:tc>
        <w:tc>
          <w:tcPr>
            <w:tcW w:w="1958" w:type="dxa"/>
          </w:tcPr>
          <w:p>
            <w:r>
              <w:t>Stage five's design propositions</w:t>
            </w:r>
          </w:p>
        </w:tc>
      </w:tr>
    </w:tbl>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conducted after the empirical work as a distinct data-collection exercise - not literature review - to test the programme's behavioural interpretation and its design framework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is interpretation and practice validation of the findings and a confirmatory-design review of the Chapter 7 framework; it is not additional empirical evidence and does not bear on the hypothesis tests.</w:t>
      </w:r>
    </w:p>
    <w:p>
      <w:pPr>
        <w:pStyle w:val="FigureCaption"/>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trPr>
        <w:tc>
          <w:tcPr>
            <w:tcW w:type="dxa" w:w="2460"/>
          </w:tcPr>
          <w:p>
            <w:pPr>
              <w:pStyle w:val="Normal"/>
            </w:pPr>
            <w:r>
              <w:rPr>
                <w:b/>
                <w:sz w:val="24"/>
                <w:szCs w:val="28"/>
                <w:lang w:val="en-US" w:eastAsia="en-US" w:bidi="ar-SA"/>
                <w:rFonts w:ascii="Times New Roman" w:hAnsi="Times New Roman" w:eastAsia="Times New Roman" w:cs="Times New Roman"/>
              </w:rPr>
              <w:t>Claim</w:t>
            </w:r>
          </w:p>
        </w:tc>
        <w:tc>
          <w:tcPr>
            <w:tcW w:type="dxa" w:w="1681"/>
          </w:tcPr>
          <w:p>
            <w:pPr>
              <w:pStyle w:val="Normal"/>
            </w:pPr>
            <w:r>
              <w:rPr>
                <w:b/>
                <w:sz w:val="24"/>
                <w:szCs w:val="28"/>
                <w:lang w:val="en-US" w:eastAsia="en-US" w:bidi="ar-SA"/>
                <w:rFonts w:ascii="Times New Roman" w:hAnsi="Times New Roman" w:eastAsia="Times New Roman" w:cs="Times New Roman"/>
              </w:rPr>
              <w:t>Origin</w:t>
            </w:r>
          </w:p>
        </w:tc>
        <w:tc>
          <w:tcPr>
            <w:tcW w:type="dxa" w:w="978"/>
          </w:tcPr>
          <w:p>
            <w:pPr>
              <w:pStyle w:val="Normal"/>
            </w:pPr>
            <w:r>
              <w:rPr>
                <w:b/>
                <w:sz w:val="24"/>
                <w:szCs w:val="28"/>
                <w:lang w:val="en-US" w:eastAsia="en-US" w:bidi="ar-SA"/>
                <w:rFonts w:ascii="Times New Roman" w:hAnsi="Times New Roman" w:eastAsia="Times New Roman" w:cs="Times New Roman"/>
              </w:rPr>
              <w:t>Stated</w:t>
            </w:r>
          </w:p>
        </w:tc>
        <w:tc>
          <w:tcPr>
            <w:tcW w:type="dxa" w:w="1387"/>
          </w:tcPr>
          <w:p>
            <w:pPr>
              <w:pStyle w:val="Normal"/>
            </w:pPr>
            <w:r>
              <w:rPr>
                <w:b/>
                <w:sz w:val="24"/>
                <w:szCs w:val="28"/>
                <w:lang w:val="en-US" w:eastAsia="en-US" w:bidi="ar-SA"/>
                <w:rFonts w:ascii="Times New Roman" w:hAnsi="Times New Roman" w:eastAsia="Times New Roman" w:cs="Times New Roman"/>
              </w:rPr>
              <w:t>Tested / examined</w:t>
            </w:r>
          </w:p>
        </w:tc>
        <w:tc>
          <w:tcPr>
            <w:tcW w:type="dxa" w:w="1999"/>
          </w:tcPr>
          <w:p>
            <w:pPr>
              <w:pStyle w:val="Normal"/>
            </w:pPr>
            <w:r>
              <w:rPr>
                <w:b/>
                <w:sz w:val="24"/>
                <w:szCs w:val="28"/>
                <w:lang w:val="en-US" w:eastAsia="en-US" w:bidi="ar-SA"/>
                <w:rFonts w:ascii="Times New Roman" w:hAnsi="Times New Roman" w:eastAsia="Times New Roman" w:cs="Times New Roman"/>
              </w:rPr>
              <w:t>Status in this thesis</w:t>
            </w:r>
          </w:p>
        </w:tc>
      </w:tr>
      <w:tr>
        <w:tc>
          <w:tcPr>
            <w:tcW w:type="dxa" w:w="2460"/>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68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978"/>
          </w:tcPr>
          <w:p>
            <w:pPr>
              <w:pStyle w:val="Normal"/>
            </w:pPr>
            <w:r>
              <w:rPr>
                <w:sz w:val="24"/>
                <w:szCs w:val="22"/>
                <w:lang w:val="en-US" w:eastAsia="en-US" w:bidi="ar-SA"/>
                <w:rFonts w:ascii="Times New Roman" w:hAnsi="Times New Roman" w:eastAsia="Times New Roman" w:cs="Times New Roman"/>
                <w:b/>
              </w:rPr>
              <w:t>§2.3.5; §5.1</w:t>
            </w:r>
          </w:p>
        </w:tc>
        <w:tc>
          <w:tcPr>
            <w:tcW w:type="dxa" w:w="1387"/>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999"/>
          </w:tcPr>
          <w:p>
            <w:pPr>
              <w:pStyle w:val="Normal"/>
            </w:pPr>
            <w:r>
              <w:rPr>
                <w:sz w:val="24"/>
                <w:szCs w:val="22"/>
                <w:lang w:val="en-US" w:eastAsia="en-US" w:bidi="ar-SA"/>
                <w:rFonts w:ascii="Times New Roman" w:hAnsi="Times New Roman" w:eastAsia="Times New Roman" w:cs="Times New Roman"/>
                <w:b/>
              </w:rPr>
              <w:t>Rejected</w:t>
            </w:r>
          </w:p>
        </w:tc>
      </w:tr>
      <w:tr>
        <w:tc>
          <w:tcPr>
            <w:tcW w:type="dxa" w:w="2460"/>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681"/>
          </w:tcPr>
          <w:p>
            <w:pPr>
              <w:pStyle w:val="Normal"/>
            </w:pPr>
            <w:r>
              <w:rPr>
                <w:sz w:val="24"/>
                <w:szCs w:val="22"/>
                <w:lang w:val="en-US" w:eastAsia="en-US" w:bidi="ar-SA"/>
                <w:rFonts w:ascii="Times New Roman" w:hAnsi="Times New Roman" w:eastAsia="Times New Roman" w:cs="Times New Roman"/>
                <w:b/>
              </w:rPr>
              <w:t>Stage-1 observations</w:t>
            </w:r>
          </w:p>
        </w:tc>
        <w:tc>
          <w:tcPr>
            <w:tcW w:type="dxa" w:w="978"/>
          </w:tcPr>
          <w:p>
            <w:pPr>
              <w:pStyle w:val="Normal"/>
            </w:pPr>
            <w:r>
              <w:rPr>
                <w:sz w:val="24"/>
                <w:szCs w:val="22"/>
                <w:lang w:val="en-US" w:eastAsia="en-US" w:bidi="ar-SA"/>
                <w:rFonts w:ascii="Times New Roman" w:hAnsi="Times New Roman" w:eastAsia="Times New Roman" w:cs="Times New Roman"/>
                <w:b/>
              </w:rPr>
              <w:t>§5.1</w:t>
            </w:r>
          </w:p>
        </w:tc>
        <w:tc>
          <w:tcPr>
            <w:tcW w:type="dxa" w:w="1387"/>
          </w:tcPr>
          <w:p>
            <w:pPr>
              <w:pStyle w:val="Normal"/>
            </w:pPr>
            <w:r>
              <w:rPr>
                <w:sz w:val="24"/>
                <w:szCs w:val="22"/>
                <w:lang w:val="en-US" w:eastAsia="en-US" w:bidi="ar-SA"/>
                <w:rFonts w:ascii="Times New Roman" w:hAnsi="Times New Roman" w:eastAsia="Times New Roman" w:cs="Times New Roman"/>
                <w:b/>
              </w:rPr>
              <w:t>Stage 2 (Ch 5)</w:t>
            </w:r>
          </w:p>
        </w:tc>
        <w:tc>
          <w:tcPr>
            <w:tcW w:type="dxa" w:w="1999"/>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2460"/>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68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978"/>
          </w:tcPr>
          <w:p>
            <w:pPr>
              <w:pStyle w:val="Normal"/>
            </w:pPr>
            <w:r>
              <w:rPr>
                <w:sz w:val="24"/>
                <w:szCs w:val="22"/>
                <w:lang w:val="en-US" w:eastAsia="en-US" w:bidi="ar-SA"/>
                <w:rFonts w:ascii="Times New Roman" w:hAnsi="Times New Roman" w:eastAsia="Times New Roman" w:cs="Times New Roman"/>
                <w:b/>
              </w:rPr>
              <w:t>§5.1; §6.2</w:t>
            </w:r>
          </w:p>
        </w:tc>
        <w:tc>
          <w:tcPr>
            <w:tcW w:type="dxa" w:w="1387"/>
          </w:tcPr>
          <w:p>
            <w:pPr>
              <w:pStyle w:val="Normal"/>
            </w:pPr>
            <w:r>
              <w:rPr>
                <w:sz w:val="24"/>
                <w:szCs w:val="22"/>
                <w:lang w:val="en-US" w:eastAsia="en-US" w:bidi="ar-SA"/>
                <w:rFonts w:ascii="Times New Roman" w:hAnsi="Times New Roman" w:eastAsia="Times New Roman" w:cs="Times New Roman"/>
                <w:b/>
              </w:rPr>
              <w:t>Stage 3 (Ch 6)</w:t>
            </w:r>
          </w:p>
        </w:tc>
        <w:tc>
          <w:tcPr>
            <w:tcW w:type="dxa" w:w="1999"/>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2460"/>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68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978"/>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387"/>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999"/>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2460"/>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68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978"/>
          </w:tcPr>
          <w:p>
            <w:pPr>
              <w:pStyle w:val="Normal"/>
            </w:pPr>
            <w:r>
              <w:rPr>
                <w:sz w:val="24"/>
                <w:szCs w:val="22"/>
                <w:lang w:val="en-US" w:eastAsia="en-US" w:bidi="ar-SA"/>
                <w:rFonts w:ascii="Times New Roman" w:hAnsi="Times New Roman" w:eastAsia="Times New Roman" w:cs="Times New Roman"/>
                <w:b/>
              </w:rPr>
              <w:t>§3.2; §6.2</w:t>
            </w:r>
          </w:p>
        </w:tc>
        <w:tc>
          <w:tcPr>
            <w:tcW w:type="dxa" w:w="1387"/>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999"/>
          </w:tcPr>
          <w:p>
            <w:pPr>
              <w:pStyle w:val="Normal"/>
            </w:pPr>
            <w:r>
              <w:rPr>
                <w:szCs w:val="26"/>
                <w:lang w:val="en-US" w:eastAsia="en-US" w:bidi="ar-SA"/>
                <w:rFonts w:ascii="Times New Roman" w:hAnsi="Times New Roman" w:eastAsia="Times New Roman" w:cs="Times New Roman"/>
                <w:sz w:val="24"/>
                <w:b/>
              </w:rPr>
              <w:t>Nullified: initial dropout 0.0% (25-44) vs 39.0% (65-80), Fisher's exact p &lt; 0.0001; non-return converges low in all bands</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tbl>
      <w:tblPr>
        <w:tblStyle w:val="TableGrid"/>
        <w:tblW w:type="dxa" w:w="8505"/>
        <w:tblLayout w:type="fixed"/>
        <w:tblLook w:firstColumn="1" w:firstRow="1" w:lastColumn="0" w:lastRow="0" w:noHBand="0" w:noVBand="1" w:val="04A0"/>
      </w:tblPr>
      <w:tblGrid>
        <w:gridCol w:w="3927"/>
        <w:gridCol w:w="2584"/>
        <w:gridCol w:w="1994"/>
      </w:tblGrid>
      <w:tr>
        <w:trPr>
          <w:tblHeader/>
        </w:trPr>
        <w:tc>
          <w:tcPr>
            <w:tcW w:type="dxa" w:w="3927"/>
          </w:tcPr>
          <w:p>
            <w:r>
              <w:rPr>
                <w:b/>
              </w:rPr>
              <w:t>Activity</w:t>
            </w:r>
          </w:p>
        </w:tc>
        <w:tc>
          <w:tcPr>
            <w:tcW w:type="dxa" w:w="2584"/>
          </w:tcPr>
          <w:p>
            <w:r>
              <w:rPr>
                <w:b/>
              </w:rPr>
              <w:t>Period</w:t>
            </w:r>
          </w:p>
        </w:tc>
        <w:tc>
          <w:tcPr>
            <w:tcW w:type="dxa" w:w="1994"/>
          </w:tcPr>
          <w:p>
            <w:r>
              <w:rPr>
                <w:b/>
              </w:rPr>
              <w:t>Reported in</w:t>
            </w:r>
          </w:p>
        </w:tc>
      </w:tr>
      <w:tr>
        <w:tc>
          <w:tcPr>
            <w:tcW w:type="dxa" w:w="3927"/>
          </w:tcPr>
          <w:p>
            <w:r>
              <w:t>Site observation and the FIDS conjecture</w:t>
            </w:r>
          </w:p>
        </w:tc>
        <w:tc>
          <w:tcPr>
            <w:tcW w:type="dxa" w:w="2584"/>
          </w:tcPr>
          <w:p>
            <w:r>
              <w:t>2023</w:t>
            </w:r>
          </w:p>
        </w:tc>
        <w:tc>
          <w:tcPr>
            <w:tcW w:type="dxa" w:w="1994"/>
          </w:tcPr>
          <w:p>
            <w:r>
              <w:t>Chapter 1</w:t>
            </w:r>
          </w:p>
        </w:tc>
      </w:tr>
      <w:tr>
        <w:tc>
          <w:tcPr>
            <w:tcW w:type="dxa" w:w="3927"/>
          </w:tcPr>
          <w:p>
            <w:r>
              <w:t>Stage 1 — retrospective survey (N=200 of 280)</w:t>
            </w:r>
          </w:p>
        </w:tc>
        <w:tc>
          <w:tcPr>
            <w:tcW w:type="dxa" w:w="2584"/>
          </w:tcPr>
          <w:p>
            <w:r>
              <w:t>July–August 2024</w:t>
            </w:r>
          </w:p>
        </w:tc>
        <w:tc>
          <w:tcPr>
            <w:tcW w:type="dxa" w:w="1994"/>
          </w:tcPr>
          <w:p>
            <w:r>
              <w:t>Chapter 4</w:t>
            </w:r>
          </w:p>
        </w:tc>
      </w:tr>
      <w:tr>
        <w:tc>
          <w:tcPr>
            <w:tcW w:type="dxa" w:w="3927"/>
          </w:tcPr>
          <w:p>
            <w:r>
              <w:t>Game design and platform validation</w:t>
            </w:r>
          </w:p>
        </w:tc>
        <w:tc>
          <w:tcPr>
            <w:tcW w:type="dxa" w:w="2584"/>
          </w:tcPr>
          <w:p>
            <w:r>
              <w:t>2024</w:t>
            </w:r>
          </w:p>
        </w:tc>
        <w:tc>
          <w:tcPr>
            <w:tcW w:type="dxa" w:w="1994"/>
          </w:tcPr>
          <w:p>
            <w:r>
              <w:t>Chapter 5, Appendix G.8</w:t>
            </w:r>
          </w:p>
        </w:tc>
      </w:tr>
      <w:tr>
        <w:tc>
          <w:tcPr>
            <w:tcW w:type="dxa" w:w="3927"/>
          </w:tcPr>
          <w:p>
            <w:r>
              <w:t>Stage 2 — eight-week facility deployment (N=30)</w:t>
            </w:r>
          </w:p>
        </w:tc>
        <w:tc>
          <w:tcPr>
            <w:tcW w:type="dxa" w:w="2584"/>
          </w:tcPr>
          <w:p>
            <w:r>
              <w:rPr>
                <w:highlight w:val="yellow"/>
              </w:rPr>
              <w:t>[AUTHOR INPUT NEEDED: exact dates]</w:t>
            </w:r>
          </w:p>
        </w:tc>
        <w:tc>
          <w:tcPr>
            <w:tcW w:type="dxa" w:w="1994"/>
          </w:tcPr>
          <w:p>
            <w:r>
              <w:t>Chapter 5</w:t>
            </w:r>
          </w:p>
        </w:tc>
      </w:tr>
      <w:tr>
        <w:tc>
          <w:tcPr>
            <w:tcW w:type="dxa" w:w="3927"/>
          </w:tcPr>
          <w:p>
            <w:r>
              <w:t>Stage 3 — remote decoupled deployment (register N=120)</w:t>
            </w:r>
          </w:p>
        </w:tc>
        <w:tc>
          <w:tcPr>
            <w:tcW w:type="dxa" w:w="2584"/>
          </w:tcPr>
          <w:p>
            <w:r>
              <w:t>March–April 2026</w:t>
            </w:r>
          </w:p>
        </w:tc>
        <w:tc>
          <w:tcPr>
            <w:tcW w:type="dxa" w:w="1994"/>
          </w:tcPr>
          <w:p>
            <w:r>
              <w:t>Chapter 6</w:t>
            </w:r>
          </w:p>
        </w:tc>
      </w:tr>
      <w:tr>
        <w:tc>
          <w:tcPr>
            <w:tcW w:type="dxa" w:w="3927"/>
          </w:tcPr>
          <w:p>
            <w:r>
              <w:t>Expert consultation panel (four consultations + follow-ups)</w:t>
            </w:r>
          </w:p>
        </w:tc>
        <w:tc>
          <w:tcPr>
            <w:tcW w:type="dxa" w:w="2584"/>
          </w:tcPr>
          <w:p>
            <w:r>
              <w:t>March–August 2026</w:t>
            </w:r>
          </w:p>
        </w:tc>
        <w:tc>
          <w:tcPr>
            <w:tcW w:type="dxa" w:w="1994"/>
          </w:tcPr>
          <w:p>
            <w:r>
              <w:t>§6.12, Appendix H</w:t>
            </w:r>
          </w:p>
        </w:tc>
      </w:tr>
      <w:tr>
        <w:tc>
          <w:tcPr>
            <w:tcW w:type="dxa" w:w="3927"/>
          </w:tcPr>
          <w:p>
            <w:r>
              <w:t>Ethics approval HSEARS20260805008</w:t>
            </w:r>
          </w:p>
        </w:tc>
        <w:tc>
          <w:tcPr>
            <w:tcW w:type="dxa" w:w="2584"/>
          </w:tcPr>
          <w:p>
            <w:r>
              <w:t>August 2026</w:t>
            </w:r>
          </w:p>
        </w:tc>
        <w:tc>
          <w:tcPr>
            <w:tcW w:type="dxa" w:w="1994"/>
          </w:tcPr>
          <w:p>
            <w:r>
              <w:t>§3.4</w:t>
            </w:r>
          </w:p>
        </w:tc>
      </w:tr>
      <w:tr>
        <w:tc>
          <w:tcPr>
            <w:tcW w:type="dxa" w:w="3927"/>
          </w:tcPr>
          <w:p>
            <w:r>
              <w:t>Stage 3B — pre-registered 2x2 field experiment</w:t>
            </w:r>
          </w:p>
        </w:tc>
        <w:tc>
          <w:tcPr>
            <w:tcW w:type="dxa" w:w="2584"/>
          </w:tcPr>
          <w:p>
            <w:r>
              <w:rPr>
                <w:highlight w:val="yellow"/>
              </w:rPr>
              <w:t>August–October 2026 [AUTHOR INPUT NEEDED: window dates]</w:t>
            </w:r>
          </w:p>
        </w:tc>
        <w:tc>
          <w:tcPr>
            <w:tcW w:type="dxa" w:w="1994"/>
          </w:tcPr>
          <w:p>
            <w:r>
              <w:t>§8.8</w:t>
            </w:r>
          </w:p>
        </w:tc>
      </w:tr>
      <w:tr>
        <w:tc>
          <w:tcPr>
            <w:tcW w:type="dxa" w:w="3927"/>
          </w:tcPr>
          <w:p>
            <w:r>
              <w:t>Programme close and thesis completion</w:t>
            </w:r>
          </w:p>
        </w:tc>
        <w:tc>
          <w:tcPr>
            <w:tcW w:type="dxa" w:w="2584"/>
          </w:tcPr>
          <w:p>
            <w:r>
              <w:t>October 2026</w:t>
            </w:r>
          </w:p>
        </w:tc>
        <w:tc>
          <w:tcPr>
            <w:tcW w:type="dxa" w:w="1994"/>
          </w:tcPr>
          <w:p>
            <w:r>
              <w:t>Chapter 9</w:t>
            </w:r>
          </w:p>
        </w:tc>
      </w:tr>
    </w:tbl>
    <w:p>
      <w:pPr>
        <w:pStyle w:val="FigureCaption"/>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jc w:val="both"/>
      </w:pPr>
      <w:r>
        <w:rPr>
          <w:i w:val="0"/>
          <w:szCs w:val="26"/>
          <w:lang w:val="en-US" w:eastAsia="en-US" w:bidi="ar-SA"/>
          <w:rFonts w:ascii="Times New Roman" w:hAnsi="Times New Roman" w:eastAsia="Times New Roman" w:cs="Times New Roman"/>
          <w:sz w:val="24"/>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trPr>
        <w:tc>
          <w:tcPr>
            <w:tcW w:w="6674" w:type="dxa"/>
          </w:tcPr>
          <w:p>
            <w:pPr>
              <w:pStyle w:val="Normal"/>
            </w:pPr>
            <w:r>
              <w:rPr>
                <w:b/>
                <w:sz w:val="24"/>
                <w:szCs w:val="22"/>
                <w:lang w:val="en-US" w:eastAsia="en-US" w:bidi="ar-SA"/>
                <w:rFonts w:ascii="Times New Roman" w:hAnsi="Times New Roman" w:eastAsia="Times New Roman" w:cs="Times New Roman"/>
              </w:rPr>
              <w:t>Survey item</w:t>
            </w:r>
          </w:p>
        </w:tc>
        <w:tc>
          <w:tcPr>
            <w:tcW w:w="1831" w:type="dxa"/>
          </w:tcPr>
          <w:p>
            <w:pPr>
              <w:pStyle w:val="Normal"/>
            </w:pPr>
            <w:r>
              <w:rPr>
                <w:b/>
                <w:sz w:val="24"/>
                <w:szCs w:val="22"/>
                <w:lang w:val="en-US" w:eastAsia="en-US" w:bidi="ar-SA"/>
                <w:rFonts w:ascii="Times New Roman" w:hAnsi="Times New Roman" w:eastAsia="Times New Roman" w:cs="Times New Roman"/>
              </w:rPr>
              <w:t>Result</w:t>
            </w:r>
          </w:p>
        </w:tc>
      </w:tr>
      <w:tr>
        <w:trPr>
          <w:jc w:val="center"/>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trPr>
        <w:tc>
          <w:tcPr>
            <w:tcW w:w="2587" w:type="dxa"/>
          </w:tcPr>
          <w:p>
            <w:pPr>
              <w:pStyle w:val="Normal"/>
            </w:pPr>
            <w:r>
              <w:rPr>
                <w:b/>
                <w:sz w:val="24"/>
                <w:szCs w:val="22"/>
                <w:lang w:val="en-US" w:eastAsia="en-US" w:bidi="ar-SA"/>
                <w:rFonts w:ascii="Times New Roman" w:hAnsi="Times New Roman" w:eastAsia="Times New Roman" w:cs="Times New Roman"/>
              </w:rPr>
              <w:t>TAM assumption</w:t>
            </w:r>
          </w:p>
        </w:tc>
        <w:tc>
          <w:tcPr>
            <w:tcW w:w="3142" w:type="dxa"/>
          </w:tcPr>
          <w:p>
            <w:pPr>
              <w:pStyle w:val="Normal"/>
            </w:pPr>
            <w:r>
              <w:rPr>
                <w:b/>
                <w:sz w:val="24"/>
                <w:szCs w:val="22"/>
                <w:lang w:val="en-US" w:eastAsia="en-US" w:bidi="ar-SA"/>
                <w:rFonts w:ascii="Times New Roman" w:hAnsi="Times New Roman" w:eastAsia="Times New Roman" w:cs="Times New Roman"/>
              </w:rPr>
              <w:t>Reality for elderly FRA users</w:t>
            </w:r>
          </w:p>
        </w:tc>
        <w:tc>
          <w:tcPr>
            <w:tcW w:w="2776" w:type="dxa"/>
          </w:tcPr>
          <w:p>
            <w:pPr>
              <w:pStyle w:val="Normal"/>
            </w:pPr>
            <w:r>
              <w:rPr>
                <w:b/>
                <w:sz w:val="24"/>
                <w:szCs w:val="22"/>
                <w:lang w:val="en-US" w:eastAsia="en-US" w:bidi="ar-SA"/>
                <w:rFonts w:ascii="Times New Roman" w:hAnsi="Times New Roman" w:eastAsia="Times New Roman" w:cs="Times New Roman"/>
              </w:rPr>
              <w:t>Consequence</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Usefulness tied to job performance</w:t>
            </w:r>
          </w:p>
        </w:tc>
        <w:tc>
          <w:tcPr>
            <w:tcW w:w="3142" w:type="dxa"/>
          </w:tcPr>
          <w:p>
            <w:pPr>
              <w:pStyle w:val="Normal"/>
            </w:pPr>
            <w:r>
              <w:rPr>
                <w:sz w:val="24"/>
                <w:szCs w:val="22"/>
                <w:lang w:val="en-US" w:eastAsia="en-US" w:bidi="ar-SA"/>
                <w:rFonts w:ascii="Times New Roman" w:hAnsi="Times New Roman" w:eastAsia="Times New Roman" w:cs="Times New Roman"/>
              </w:rPr>
              <w:t>Users are retired</w:t>
            </w:r>
          </w:p>
        </w:tc>
        <w:tc>
          <w:tcPr>
            <w:tcW w:w="2776" w:type="dxa"/>
          </w:tcPr>
          <w:p>
            <w:pPr>
              <w:pStyle w:val="Normal"/>
            </w:pPr>
            <w:r>
              <w:rPr>
                <w:sz w:val="24"/>
                <w:szCs w:val="22"/>
                <w:lang w:val="en-US" w:eastAsia="en-US" w:bidi="ar-SA"/>
                <w:rFonts w:ascii="Times New Roman" w:hAnsi="Times New Roman" w:eastAsia="Times New Roman" w:cs="Times New Roman"/>
              </w:rPr>
              <w:t>PU needs redefining</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Positive perceptions predict adoption</w:t>
            </w:r>
          </w:p>
        </w:tc>
        <w:tc>
          <w:tcPr>
            <w:tcW w:w="3142"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776"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Negative experience reduces acceptance gradually</w:t>
            </w:r>
          </w:p>
        </w:tc>
        <w:tc>
          <w:tcPr>
            <w:tcW w:w="3142"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776"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587" w:type="dxa"/>
          </w:tcPr>
          <w:p>
            <w:pPr>
              <w:pStyle w:val="Normal"/>
            </w:pPr>
            <w:r>
              <w:rPr>
                <w:sz w:val="24"/>
                <w:szCs w:val="22"/>
                <w:lang w:val="en-US" w:eastAsia="en-US" w:bidi="ar-SA"/>
                <w:rFonts w:ascii="Times New Roman" w:hAnsi="Times New Roman" w:eastAsia="Times New Roman" w:cs="Times New Roman"/>
              </w:rPr>
              <w:t>No construct for failure response</w:t>
            </w:r>
          </w:p>
        </w:tc>
        <w:tc>
          <w:tcPr>
            <w:tcW w:w="3142"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776"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trPr>
        <w:tc>
          <w:tcPr>
            <w:tcW w:w="2079" w:type="dxa"/>
          </w:tcPr>
          <w:p>
            <w:pPr>
              <w:pStyle w:val="Normal"/>
            </w:pPr>
            <w:r>
              <w:rPr>
                <w:b/>
                <w:sz w:val="24"/>
                <w:szCs w:val="22"/>
                <w:lang w:val="en-US" w:eastAsia="en-US" w:bidi="ar-SA"/>
                <w:rFonts w:ascii="Times New Roman" w:hAnsi="Times New Roman" w:eastAsia="Times New Roman" w:cs="Times New Roman"/>
              </w:rPr>
              <w:t>Octalysis drive</w:t>
            </w:r>
          </w:p>
        </w:tc>
        <w:tc>
          <w:tcPr>
            <w:tcW w:w="2628" w:type="dxa"/>
          </w:tcPr>
          <w:p>
            <w:pPr>
              <w:pStyle w:val="Normal"/>
            </w:pPr>
            <w:r>
              <w:rPr>
                <w:b/>
                <w:sz w:val="24"/>
                <w:szCs w:val="22"/>
                <w:lang w:val="en-US" w:eastAsia="en-US" w:bidi="ar-SA"/>
                <w:rFonts w:ascii="Times New Roman" w:hAnsi="Times New Roman" w:eastAsia="Times New Roman" w:cs="Times New Roman"/>
              </w:rPr>
              <w:t>Standard assumption</w:t>
            </w:r>
          </w:p>
        </w:tc>
        <w:tc>
          <w:tcPr>
            <w:tcW w:w="3798"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Fear of losing progress sustains play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trPr>
        <w:tc>
          <w:tcPr>
            <w:tcW w:w="1053" w:type="dxa"/>
          </w:tcPr>
          <w:p>
            <w:pPr>
              <w:pStyle w:val="Normal"/>
            </w:pPr>
            <w:r>
              <w:rPr>
                <w:b/>
                <w:sz w:val="20"/>
                <w:szCs w:val="22"/>
                <w:lang w:val="en-US" w:eastAsia="en-US" w:bidi="ar-SA"/>
                <w:rFonts w:ascii="Times New Roman" w:hAnsi="Times New Roman" w:eastAsia="Times New Roman" w:cs="Times New Roman"/>
              </w:rPr>
              <w:t>Category</w:t>
            </w:r>
          </w:p>
        </w:tc>
        <w:tc>
          <w:tcPr>
            <w:tcW w:w="2401" w:type="dxa"/>
          </w:tcPr>
          <w:p>
            <w:pPr>
              <w:pStyle w:val="Normal"/>
            </w:pPr>
            <w:r>
              <w:rPr>
                <w:b/>
                <w:sz w:val="20"/>
                <w:szCs w:val="22"/>
                <w:lang w:val="en-US" w:eastAsia="en-US" w:bidi="ar-SA"/>
                <w:rFonts w:ascii="Times New Roman" w:hAnsi="Times New Roman" w:eastAsia="Times New Roman" w:cs="Times New Roman"/>
              </w:rPr>
              <w:t>Parameter</w:t>
            </w:r>
          </w:p>
        </w:tc>
        <w:tc>
          <w:tcPr>
            <w:tcW w:w="1967" w:type="dxa"/>
          </w:tcPr>
          <w:p>
            <w:pPr>
              <w:pStyle w:val="Normal"/>
            </w:pPr>
            <w:r>
              <w:rPr>
                <w:b/>
                <w:sz w:val="20"/>
                <w:szCs w:val="22"/>
                <w:lang w:val="en-US" w:eastAsia="en-US" w:bidi="ar-SA"/>
                <w:rFonts w:ascii="Times New Roman" w:hAnsi="Times New Roman" w:eastAsia="Times New Roman" w:cs="Times New Roman"/>
              </w:rPr>
              <w:t>Value</w:t>
            </w:r>
          </w:p>
        </w:tc>
        <w:tc>
          <w:tcPr>
            <w:tcW w:w="3084"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trPr>
        <w:tc>
          <w:tcPr>
            <w:tcW w:w="1467" w:type="dxa"/>
          </w:tcPr>
          <w:p>
            <w:pPr>
              <w:pStyle w:val="Normal"/>
            </w:pPr>
            <w:r>
              <w:rPr>
                <w:b/>
                <w:sz w:val="20"/>
                <w:szCs w:val="22"/>
                <w:lang w:val="en-US" w:eastAsia="en-US" w:bidi="ar-SA"/>
                <w:rFonts w:ascii="Times New Roman" w:hAnsi="Times New Roman" w:eastAsia="Times New Roman" w:cs="Times New Roman"/>
              </w:rPr>
              <w:t>Dimension</w:t>
            </w:r>
          </w:p>
        </w:tc>
        <w:tc>
          <w:tcPr>
            <w:tcW w:w="7038"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color w:val="000000"/>
        </w:rPr>
        <w:t>5.3.8 Why a Skiing Game?</w:t>
      </w:r>
      <w:bookmarkEnd w:id="82"/>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jc w:val="both"/>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trPr>
        <w:tc>
          <w:tcPr>
            <w:tcW w:w="4989" w:type="dxa"/>
          </w:tcPr>
          <w:p>
            <w:pPr>
              <w:pStyle w:val="Normal"/>
            </w:pPr>
            <w:r>
              <w:rPr>
                <w:b/>
                <w:sz w:val="24"/>
                <w:szCs w:val="26"/>
                <w:lang w:val="en-US" w:eastAsia="en-US" w:bidi="ar-SA"/>
                <w:rFonts w:ascii="Times New Roman" w:hAnsi="Times New Roman" w:eastAsia="Times New Roman" w:cs="Times New Roman"/>
              </w:rPr>
              <w:t>Engagement metric</w:t>
            </w:r>
          </w:p>
        </w:tc>
        <w:tc>
          <w:tcPr>
            <w:tcW w:w="3516" w:type="dxa"/>
          </w:tcPr>
          <w:p>
            <w:pPr>
              <w:pStyle w:val="Normal"/>
            </w:pPr>
            <w:r>
              <w:rPr>
                <w:b/>
                <w:sz w:val="24"/>
                <w:szCs w:val="26"/>
                <w:lang w:val="en-US" w:eastAsia="en-US" w:bidi="ar-SA"/>
                <w:rFonts w:ascii="Times New Roman" w:hAnsi="Times New Roman" w:eastAsia="Times New Roman" w:cs="Times New Roman"/>
              </w:rPr>
              <w:t>Value</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A QFD Pipeline</w:t>
      </w:r>
    </w:p>
    <w:p>
      <w:pPr>
        <w:pStyle w:val="Normal"/>
        <w:jc w:val="both"/>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jc w:val="center"/>
      </w:pPr>
      <w:r>
        <w:rPr>
          <w:sz w:val="24"/>
          <w:szCs w:val="22"/>
          <w:lang w:val="en-US" w:eastAsia="en-US" w:bidi="ar-SA"/>
          <w:rFonts w:ascii="Times New Roman" w:hAnsi="Times New Roman" w:eastAsia="Times New Roman" w:cs="Times New Roman"/>
          <w:i/>
          <w:b/>
        </w:rPr>
        <w:t>Table 5.3. QFD deployment matrix: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trPr>
        <w:tc>
          <w:tcPr>
            <w:tcW w:type="dxa" w:w="2842"/>
          </w:tcPr>
          <w:p>
            <w:pPr>
              <w:pStyle w:val="Normal"/>
            </w:pPr>
            <w:r>
              <w:rPr>
                <w:b/>
                <w:sz w:val="20"/>
                <w:szCs w:val="26"/>
                <w:lang w:val="en-US" w:eastAsia="en-US" w:bidi="ar-SA"/>
                <w:rFonts w:ascii="Times New Roman" w:hAnsi="Times New Roman" w:eastAsia="Times New Roman" w:cs="Times New Roman"/>
              </w:rPr>
              <w:t>User need (voice of the user)</w:t>
            </w:r>
          </w:p>
        </w:tc>
        <w:tc>
          <w:tcPr>
            <w:tcW w:type="dxa" w:w="4208"/>
          </w:tcPr>
          <w:p>
            <w:pPr>
              <w:pStyle w:val="Normal"/>
            </w:pPr>
            <w:r>
              <w:rPr>
                <w:b/>
                <w:sz w:val="20"/>
                <w:szCs w:val="26"/>
                <w:lang w:val="en-US" w:eastAsia="en-US" w:bidi="ar-SA"/>
                <w:rFonts w:ascii="Times New Roman" w:hAnsi="Times New Roman" w:eastAsia="Times New Roman" w:cs="Times New Roman"/>
              </w:rPr>
              <w:t>Evidence from the data</w:t>
            </w:r>
          </w:p>
        </w:tc>
        <w:tc>
          <w:tcPr>
            <w:tcW w:type="dxa" w:w="2374"/>
          </w:tcPr>
          <w:p>
            <w:pPr>
              <w:pStyle w:val="Normal"/>
            </w:pPr>
            <w:r>
              <w:rPr>
                <w:b/>
                <w:sz w:val="20"/>
                <w:szCs w:val="26"/>
                <w:lang w:val="en-US" w:eastAsia="en-US" w:bidi="ar-SA"/>
                <w:rFonts w:ascii="Times New Roman" w:hAnsi="Times New Roman" w:eastAsia="Times New Roman" w:cs="Times New Roman"/>
              </w:rPr>
              <w:t>Construct</w:t>
            </w:r>
          </w:p>
        </w:tc>
        <w:tc>
          <w:tcPr>
            <w:tcW w:type="dxa" w:w="1002"/>
          </w:tcPr>
          <w:p>
            <w:pPr>
              <w:pStyle w:val="Normal"/>
            </w:pPr>
            <w:r>
              <w:rPr>
                <w:b/>
                <w:sz w:val="20"/>
                <w:szCs w:val="26"/>
                <w:lang w:val="en-US" w:eastAsia="en-US" w:bidi="ar-SA"/>
                <w:rFonts w:ascii="Times New Roman" w:hAnsi="Times New Roman" w:eastAsia="Times New Roman" w:cs="Times New Roman"/>
              </w:rPr>
              <w:t>Adaptive difficulty (L2)</w:t>
            </w:r>
          </w:p>
        </w:tc>
        <w:tc>
          <w:tcPr>
            <w:tcW w:type="dxa" w:w="1002"/>
          </w:tcPr>
          <w:p>
            <w:pPr>
              <w:pStyle w:val="Normal"/>
            </w:pPr>
            <w:r>
              <w:rPr>
                <w:b/>
                <w:sz w:val="20"/>
                <w:szCs w:val="26"/>
                <w:lang w:val="en-US" w:eastAsia="en-US" w:bidi="ar-SA"/>
                <w:rFonts w:ascii="Times New Roman" w:hAnsi="Times New Roman" w:eastAsia="Times New Roman" w:cs="Times New Roman"/>
              </w:rPr>
              <w:t>Loss-free states</w:t>
            </w:r>
          </w:p>
        </w:tc>
        <w:tc>
          <w:tcPr>
            <w:tcW w:type="dxa" w:w="1002"/>
          </w:tcPr>
          <w:p>
            <w:pPr>
              <w:pStyle w:val="Normal"/>
            </w:pPr>
            <w:r>
              <w:rPr>
                <w:b/>
                <w:sz w:val="20"/>
                <w:szCs w:val="26"/>
                <w:lang w:val="en-US" w:eastAsia="en-US" w:bidi="ar-SA"/>
                <w:rFonts w:ascii="Times New Roman" w:hAnsi="Times New Roman" w:eastAsia="Times New Roman" w:cs="Times New Roman"/>
              </w:rPr>
              <w:t>Trajectory display (L5)</w:t>
            </w:r>
          </w:p>
        </w:tc>
        <w:tc>
          <w:tcPr>
            <w:tcW w:type="dxa" w:w="1007"/>
          </w:tcPr>
          <w:p>
            <w:pPr>
              <w:pStyle w:val="Normal"/>
            </w:pPr>
            <w:r>
              <w:rPr>
                <w:b/>
                <w:sz w:val="20"/>
                <w:szCs w:val="26"/>
                <w:lang w:val="en-US" w:eastAsia="en-US" w:bidi="ar-SA"/>
                <w:rFonts w:ascii="Times New Roman" w:hAnsi="Times New Roman" w:eastAsia="Times New Roman" w:cs="Times New Roman"/>
              </w:rPr>
              <w:t>Coaching (L6)</w:t>
            </w:r>
          </w:p>
        </w:tc>
      </w:tr>
      <w:t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color w:val="000000"/>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That participants who knew the origin still returned after failure sharpens the reading rather than weakening it: what changed between the stages was not what participants knew, but what the artefact did with their failures.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reduces, though it does not eliminate, the risk that participation reflected personal obligation to the researcher.</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trPr>
        <w:tc>
          <w:tcPr>
            <w:tcW w:w="4518" w:type="dxa"/>
          </w:tcPr>
          <w:p>
            <w:pPr>
              <w:pStyle w:val="Normal"/>
            </w:pPr>
            <w:r>
              <w:rPr>
                <w:b/>
                <w:sz w:val="24"/>
                <w:szCs w:val="26"/>
                <w:lang w:val="en-US" w:eastAsia="en-US" w:bidi="ar-SA"/>
                <w:rFonts w:ascii="Times New Roman" w:hAnsi="Times New Roman" w:eastAsia="Times New Roman" w:cs="Times New Roman"/>
              </w:rPr>
              <w:t>Engagement metric</w:t>
            </w:r>
          </w:p>
        </w:tc>
        <w:tc>
          <w:tcPr>
            <w:tcW w:w="1993" w:type="dxa"/>
          </w:tcPr>
          <w:p>
            <w:pPr>
              <w:pStyle w:val="Normal"/>
            </w:pPr>
            <w:r>
              <w:rPr>
                <w:b/>
                <w:sz w:val="24"/>
                <w:szCs w:val="26"/>
                <w:lang w:val="en-US" w:eastAsia="en-US" w:bidi="ar-SA"/>
                <w:rFonts w:ascii="Times New Roman" w:hAnsi="Times New Roman" w:eastAsia="Times New Roman" w:cs="Times New Roman"/>
              </w:rPr>
              <w:t>Count</w:t>
            </w:r>
          </w:p>
        </w:tc>
        <w:tc>
          <w:tcPr>
            <w:tcW w:w="1994" w:type="dxa"/>
          </w:tcPr>
          <w:p>
            <w:pPr>
              <w:pStyle w:val="Normal"/>
            </w:pPr>
            <w:r>
              <w:rPr>
                <w:b/>
                <w:sz w:val="24"/>
                <w:szCs w:val="26"/>
                <w:lang w:val="en-US" w:eastAsia="en-US" w:bidi="ar-SA"/>
                <w:rFonts w:ascii="Times New Roman" w:hAnsi="Times New Roman" w:eastAsia="Times New Roman" w:cs="Times New Roman"/>
              </w:rPr>
              <w:t>Percentage</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trPr>
        <w:tc>
          <w:tcPr>
            <w:tcW w:w="1318" w:type="dxa"/>
          </w:tcPr>
          <w:p>
            <w:pPr>
              <w:pStyle w:val="Normal"/>
            </w:pPr>
            <w:r>
              <w:rPr>
                <w:szCs w:val="26"/>
                <w:lang w:val="en-US" w:eastAsia="en-US" w:bidi="ar-SA"/>
                <w:rFonts w:ascii="Times New Roman" w:hAnsi="Times New Roman" w:eastAsia="Times New Roman" w:cs="Times New Roman"/>
                <w:sz w:val="24"/>
                <w:b/>
              </w:rPr>
              <w:t>Age band</w:t>
            </w:r>
          </w:p>
        </w:tc>
        <w:tc>
          <w:tcPr>
            <w:tcW w:w="1114" w:type="dxa"/>
          </w:tcPr>
          <w:p>
            <w:pPr>
              <w:pStyle w:val="Normal"/>
            </w:pPr>
            <w:r>
              <w:rPr>
                <w:b/>
                <w:sz w:val="24"/>
                <w:szCs w:val="26"/>
                <w:lang w:val="en-US" w:eastAsia="en-US" w:bidi="ar-SA"/>
                <w:rFonts w:ascii="Times New Roman" w:hAnsi="Times New Roman" w:eastAsia="Times New Roman" w:cs="Times New Roman"/>
              </w:rPr>
              <w:t>n</w:t>
            </w:r>
          </w:p>
        </w:tc>
        <w:tc>
          <w:tcPr>
            <w:tcW w:w="1796" w:type="dxa"/>
          </w:tcPr>
          <w:p>
            <w:pPr>
              <w:pStyle w:val="Normal"/>
            </w:pPr>
            <w:r>
              <w:rPr>
                <w:b/>
                <w:sz w:val="24"/>
                <w:szCs w:val="26"/>
                <w:lang w:val="en-US" w:eastAsia="en-US" w:bidi="ar-SA"/>
                <w:rFonts w:ascii="Times New Roman" w:hAnsi="Times New Roman" w:eastAsia="Times New Roman" w:cs="Times New Roman"/>
              </w:rPr>
              <w:t>Initial dropout</w:t>
            </w:r>
          </w:p>
        </w:tc>
        <w:tc>
          <w:tcPr>
            <w:tcW w:w="1114" w:type="dxa"/>
          </w:tcPr>
          <w:p>
            <w:pPr>
              <w:pStyle w:val="Normal"/>
            </w:pPr>
            <w:r>
              <w:rPr>
                <w:b/>
                <w:sz w:val="24"/>
                <w:szCs w:val="26"/>
                <w:lang w:val="en-US" w:eastAsia="en-US" w:bidi="ar-SA"/>
                <w:rFonts w:ascii="Times New Roman" w:hAnsi="Times New Roman" w:eastAsia="Times New Roman" w:cs="Times New Roman"/>
              </w:rPr>
              <w:t>Returned</w:t>
            </w:r>
          </w:p>
        </w:tc>
        <w:tc>
          <w:tcPr>
            <w:tcW w:w="1796" w:type="dxa"/>
          </w:tcPr>
          <w:p>
            <w:pPr>
              <w:pStyle w:val="Normal"/>
            </w:pPr>
            <w:r>
              <w:rPr>
                <w:szCs w:val="22"/>
                <w:lang w:val="en-US" w:eastAsia="en-US" w:bidi="ar-SA"/>
                <w:rFonts w:ascii="Times New Roman" w:hAnsi="Times New Roman" w:eastAsia="Times New Roman" w:cs="Times New Roman"/>
                <w:sz w:val="24"/>
              </w:rPr>
              <w:t>Observed non-return</w:t>
            </w:r>
          </w:p>
        </w:tc>
        <w:tc>
          <w:tcPr>
            <w:tcW w:w="1367" w:type="dxa"/>
          </w:tcPr>
          <w:p>
            <w:pPr>
              <w:pStyle w:val="Normal"/>
            </w:pPr>
            <w:r>
              <w:rPr>
                <w:b/>
                <w:sz w:val="24"/>
                <w:szCs w:val="26"/>
                <w:lang w:val="en-US" w:eastAsia="en-US" w:bidi="ar-SA"/>
                <w:rFonts w:ascii="Times New Roman" w:hAnsi="Times New Roman" w:eastAsia="Times New Roman" w:cs="Times New Roman"/>
              </w:rPr>
              <w:t>Retention</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trPr>
        <w:tc>
          <w:tcPr>
            <w:tcW w:w="3197" w:type="dxa"/>
          </w:tcPr>
          <w:p>
            <w:pPr>
              <w:pStyle w:val="Normal"/>
            </w:pPr>
            <w:r>
              <w:rPr>
                <w:b/>
                <w:sz w:val="24"/>
                <w:szCs w:val="26"/>
                <w:lang w:val="en-US" w:eastAsia="en-US" w:bidi="ar-SA"/>
                <w:rFonts w:ascii="Times New Roman" w:hAnsi="Times New Roman" w:eastAsia="Times New Roman" w:cs="Times New Roman"/>
              </w:rPr>
              <w:t>Item</w:t>
            </w:r>
          </w:p>
        </w:tc>
        <w:tc>
          <w:tcPr>
            <w:tcW w:w="1393" w:type="dxa"/>
          </w:tcPr>
          <w:p>
            <w:pPr>
              <w:pStyle w:val="Normal"/>
            </w:pPr>
            <w:r>
              <w:rPr>
                <w:b/>
                <w:sz w:val="24"/>
                <w:szCs w:val="26"/>
                <w:lang w:val="en-US" w:eastAsia="en-US" w:bidi="ar-SA"/>
                <w:rFonts w:ascii="Times New Roman" w:hAnsi="Times New Roman" w:eastAsia="Times New Roman" w:cs="Times New Roman"/>
              </w:rPr>
              <w:t>Younger 25–44</w:t>
            </w:r>
          </w:p>
        </w:tc>
        <w:tc>
          <w:tcPr>
            <w:tcW w:w="1356" w:type="dxa"/>
          </w:tcPr>
          <w:p>
            <w:pPr>
              <w:pStyle w:val="Normal"/>
            </w:pPr>
            <w:r>
              <w:rPr>
                <w:b/>
                <w:sz w:val="24"/>
                <w:szCs w:val="26"/>
                <w:lang w:val="en-US" w:eastAsia="en-US" w:bidi="ar-SA"/>
                <w:rFonts w:ascii="Times New Roman" w:hAnsi="Times New Roman" w:eastAsia="Times New Roman" w:cs="Times New Roman"/>
              </w:rPr>
              <w:t>Middle 45–64</w:t>
            </w:r>
          </w:p>
        </w:tc>
        <w:tc>
          <w:tcPr>
            <w:tcW w:w="1318" w:type="dxa"/>
          </w:tcPr>
          <w:p>
            <w:pPr>
              <w:pStyle w:val="Normal"/>
            </w:pPr>
            <w:r>
              <w:rPr>
                <w:b/>
                <w:sz w:val="24"/>
                <w:szCs w:val="26"/>
                <w:lang w:val="en-US" w:eastAsia="en-US" w:bidi="ar-SA"/>
                <w:rFonts w:ascii="Times New Roman" w:hAnsi="Times New Roman" w:eastAsia="Times New Roman" w:cs="Times New Roman"/>
              </w:rPr>
              <w:t>Older 65–80</w:t>
            </w:r>
          </w:p>
        </w:tc>
        <w:tc>
          <w:tcPr>
            <w:tcW w:w="1241" w:type="dxa"/>
          </w:tcPr>
          <w:p>
            <w:pPr>
              <w:pStyle w:val="Normal"/>
            </w:pPr>
            <w:r>
              <w:rPr>
                <w:b/>
                <w:sz w:val="24"/>
                <w:szCs w:val="26"/>
                <w:lang w:val="en-US" w:eastAsia="en-US" w:bidi="ar-SA"/>
                <w:rFonts w:ascii="Times New Roman" w:hAnsi="Times New Roman" w:eastAsia="Times New Roman" w:cs="Times New Roman"/>
              </w:rPr>
              <w:t>Total</w:t>
            </w:r>
          </w:p>
        </w:tc>
      </w:tr>
      <w:tr>
        <w:trPr>
          <w:jc w:val="center"/>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color w:val="000000"/>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trPr>
        <w:tc>
          <w:tcPr>
            <w:tcW w:w="1605" w:type="dxa"/>
          </w:tcPr>
          <w:p>
            <w:pPr>
              <w:pStyle w:val="Normal"/>
            </w:pPr>
            <w:r>
              <w:rPr>
                <w:b/>
                <w:sz w:val="24"/>
                <w:szCs w:val="26"/>
                <w:lang w:val="en-US" w:eastAsia="en-US" w:bidi="ar-SA"/>
                <w:rFonts w:ascii="Times New Roman" w:hAnsi="Times New Roman" w:eastAsia="Times New Roman" w:cs="Times New Roman"/>
              </w:rPr>
              <w:t>Model</w:t>
            </w:r>
          </w:p>
        </w:tc>
        <w:tc>
          <w:tcPr>
            <w:tcW w:w="3764" w:type="dxa"/>
          </w:tcPr>
          <w:p>
            <w:pPr>
              <w:pStyle w:val="Normal"/>
            </w:pPr>
            <w:r>
              <w:rPr>
                <w:b/>
                <w:sz w:val="24"/>
                <w:szCs w:val="26"/>
                <w:lang w:val="en-US" w:eastAsia="en-US" w:bidi="ar-SA"/>
                <w:rFonts w:ascii="Times New Roman" w:hAnsi="Times New Roman" w:eastAsia="Times New Roman" w:cs="Times New Roman"/>
              </w:rPr>
              <w:t>Predictors</w:t>
            </w:r>
          </w:p>
        </w:tc>
        <w:tc>
          <w:tcPr>
            <w:tcW w:w="3136" w:type="dxa"/>
          </w:tcPr>
          <w:p>
            <w:pPr>
              <w:pStyle w:val="Normal"/>
            </w:pPr>
            <w:r>
              <w:rPr>
                <w:b/>
                <w:sz w:val="24"/>
                <w:szCs w:val="26"/>
                <w:lang w:val="en-US" w:eastAsia="en-US" w:bidi="ar-SA"/>
                <w:rFonts w:ascii="Times New Roman" w:hAnsi="Times New Roman" w:eastAsia="Times New Roman" w:cs="Times New Roman"/>
              </w:rPr>
              <w:t>Construct represented</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Acceptance-model account of intention; predicts initial use</w:t>
            </w:r>
          </w:p>
        </w:tc>
      </w:tr>
      <w:tr>
        <w:trPr>
          <w:jc w:val="center"/>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trPr>
        <w:tc>
          <w:tcPr>
            <w:tcW w:w="2649" w:type="dxa"/>
          </w:tcPr>
          <w:p>
            <w:pPr>
              <w:pStyle w:val="Normal"/>
            </w:pPr>
            <w:r>
              <w:rPr>
                <w:b/>
                <w:sz w:val="24"/>
                <w:szCs w:val="22"/>
                <w:lang w:val="en-US" w:eastAsia="en-US" w:bidi="ar-SA"/>
                <w:rFonts w:ascii="Times New Roman" w:hAnsi="Times New Roman" w:eastAsia="Times New Roman" w:cs="Times New Roman"/>
              </w:rPr>
              <w:t>Contrast or quantity</w:t>
            </w:r>
          </w:p>
        </w:tc>
        <w:tc>
          <w:tcPr>
            <w:tcW w:w="1290" w:type="dxa"/>
          </w:tcPr>
          <w:p>
            <w:pPr>
              <w:pStyle w:val="Normal"/>
            </w:pPr>
            <w:r>
              <w:rPr>
                <w:b/>
                <w:sz w:val="24"/>
                <w:szCs w:val="22"/>
                <w:lang w:val="en-US" w:eastAsia="en-US" w:bidi="ar-SA"/>
                <w:rFonts w:ascii="Times New Roman" w:hAnsi="Times New Roman" w:eastAsia="Times New Roman" w:cs="Times New Roman"/>
              </w:rPr>
              <w:t>Estimate</w:t>
            </w:r>
          </w:p>
        </w:tc>
        <w:tc>
          <w:tcPr>
            <w:tcW w:w="1365" w:type="dxa"/>
          </w:tcPr>
          <w:p>
            <w:pPr>
              <w:pStyle w:val="Normal"/>
            </w:pPr>
            <w:r>
              <w:rPr>
                <w:b/>
                <w:sz w:val="24"/>
                <w:szCs w:val="22"/>
                <w:lang w:val="en-US" w:eastAsia="en-US" w:bidi="ar-SA"/>
                <w:rFonts w:ascii="Times New Roman" w:hAnsi="Times New Roman" w:eastAsia="Times New Roman" w:cs="Times New Roman"/>
              </w:rPr>
              <w:t>95% CI</w:t>
            </w:r>
          </w:p>
        </w:tc>
        <w:tc>
          <w:tcPr>
            <w:tcW w:w="772" w:type="dxa"/>
          </w:tcPr>
          <w:p>
            <w:pPr>
              <w:pStyle w:val="Normal"/>
            </w:pPr>
            <w:r>
              <w:rPr>
                <w:b/>
                <w:sz w:val="24"/>
                <w:szCs w:val="22"/>
                <w:lang w:val="en-US" w:eastAsia="en-US" w:bidi="ar-SA"/>
                <w:rFonts w:ascii="Times New Roman" w:hAnsi="Times New Roman" w:eastAsia="Times New Roman" w:cs="Times New Roman"/>
              </w:rPr>
              <w:t>n</w:t>
            </w:r>
          </w:p>
        </w:tc>
        <w:tc>
          <w:tcPr>
            <w:tcW w:w="2429" w:type="dxa"/>
          </w:tcPr>
          <w:p>
            <w:pPr>
              <w:pStyle w:val="Normal"/>
            </w:pPr>
            <w:r>
              <w:rPr>
                <w:b/>
                <w:sz w:val="24"/>
                <w:szCs w:val="22"/>
                <w:lang w:val="en-US" w:eastAsia="en-US" w:bidi="ar-SA"/>
                <w:rFonts w:ascii="Times New Roman" w:hAnsi="Times New Roman" w:eastAsia="Times New Roman" w:cs="Times New Roman"/>
              </w:rPr>
              <w:t>Test / source</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w:t>
            </w:r>
          </w:p>
        </w:tc>
        <w:tc>
          <w:tcPr>
            <w:tcW w:w="1365" w:type="dxa"/>
          </w:tcPr>
          <w:p>
            <w:pPr>
              <w:pStyle w:val="Normal"/>
            </w:pPr>
            <w:r>
              <w:rPr>
                <w:szCs w:val="22"/>
                <w:lang w:val="en-US" w:eastAsia="en-US" w:bidi="ar-SA"/>
                <w:rFonts w:ascii="Times New Roman" w:hAnsi="Times New Roman" w:eastAsia="Times New Roman" w:cs="Times New Roman"/>
                <w:sz w:val="24"/>
              </w:rPr>
              <w:t>p = 0.013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2"/>
      </w:pPr>
      <w:r>
        <w:t>6.12 The Expert Consultation Panel (March–August 2026)</w:t>
      </w:r>
    </w:p>
    <w:p>
      <w:pPr>
        <w:jc w:val="both"/>
      </w:pPr>
      <w:r>
        <w:t>The programme's fourth evidence activity closed its empirical arc in calendar order: after the Stage-3 window, the findings of all three stages were taken to a panel of four senior practitioners and researchers between March and August 2026, under the method, consent and analysis arrangements described in §3.2 (records: Appendix H.1-H.8). Dr Yuan's commitment-gap consultation is reported at §6.8A above; the panel-wide analysis follows here, reported as convergence, divergence and silence.</w:t>
      </w:r>
    </w:p>
    <w:p>
      <w:pPr>
        <w:jc w:val="both"/>
      </w:pPr>
      <w:r>
        <w:t>Three further consultations extend the validation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an independent, practice-based statement of the attribution claim at the centre of this thesis.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supporting the occupied-middle argument of Figure 8.1; games pitched too simply read as childish to older players; and, most distinctively, that higher-educated patients who are observed failing will probably stop immediately - failure witnessed is a stronger stopping trigger than failure alone, which retrospectively supports Stage 3's choice of private, unsupervised play. In a dated follow-up he played the decoupled build itself and judged it suitable for fall-risk assessment, stating he would return to it regularly were it installed - the panel's first artifact-level validation, mirroring the study's intention construct behaviourally.</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That pair of statements is the clinical case for the framework's coaching layer, and for AI's enabling role as the affordable way to give every user a coach.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highlight w:val="yellow"/>
        </w:rPr>
        <w:t>[AUTHOR INPUT NEEDED - Dr Lau second consultation: his played-the-game feedback and the Mirror-project convergence (avatar coaching; self-awareness and self-engagement as the key mechanism) await his explicit clearance and the author's record before this paragraph is completed.]</w:t>
      </w:r>
    </w:p>
    <w:p>
      <w:pPr>
        <w:jc w:val="both"/>
      </w:pPr>
      <w:r>
        <w:t>The analysis records its own limits. The verdict-attribution corroboration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r>
        <w:rPr>
          <w:lang w:val="en-US" w:eastAsia="en-US" w:bidi="ar-SA"/>
          <w:color w:val="000000"/>
          <w:szCs w:val="22"/>
        </w:rPr>
        <w:t>Chapter 7 Discussion: Adaptive Learning as the Behavioural-Change Driver</w:t>
      </w:r>
      <w:bookmarkEnd w:id="111"/>
    </w:p>
    <w:p>
      <w:pPr>
        <w:pStyle w:val="Heading2"/>
      </w:pPr>
      <w:r>
        <w:rPr>
          <w:lang w:val="en-US" w:eastAsia="en-US" w:bidi="ar-SA"/>
          <w:color w:val="000000"/>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color w:val="000000"/>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jc w:val="both"/>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therefore jointly exhaustive over the appraisal chain,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trPr>
        <w:tc>
          <w:tcPr>
            <w:tcW w:w="1909" w:type="dxa"/>
          </w:tcPr>
          <w:p>
            <w:pPr>
              <w:pStyle w:val="Normal"/>
            </w:pPr>
            <w:r>
              <w:rPr>
                <w:b/>
                <w:sz w:val="24"/>
                <w:szCs w:val="22"/>
                <w:lang w:val="en-US" w:eastAsia="en-US" w:bidi="ar-SA"/>
                <w:rFonts w:ascii="Times New Roman" w:hAnsi="Times New Roman" w:eastAsia="Times New Roman" w:cs="Times New Roman"/>
              </w:rPr>
              <w:t>Principle</w:t>
            </w:r>
          </w:p>
        </w:tc>
        <w:tc>
          <w:tcPr>
            <w:tcW w:w="3313" w:type="dxa"/>
          </w:tcPr>
          <w:p>
            <w:pPr>
              <w:pStyle w:val="Normal"/>
            </w:pPr>
            <w:r>
              <w:rPr>
                <w:b/>
                <w:sz w:val="24"/>
                <w:szCs w:val="22"/>
                <w:lang w:val="en-US" w:eastAsia="en-US" w:bidi="ar-SA"/>
                <w:rFonts w:ascii="Times New Roman" w:hAnsi="Times New Roman" w:eastAsia="Times New Roman" w:cs="Times New Roman"/>
              </w:rPr>
              <w:t>What it does</w:t>
            </w:r>
          </w:p>
        </w:tc>
        <w:tc>
          <w:tcPr>
            <w:tcW w:w="3283" w:type="dxa"/>
          </w:tcPr>
          <w:p>
            <w:pPr>
              <w:pStyle w:val="Normal"/>
            </w:pPr>
            <w:r>
              <w:rPr>
                <w:b/>
                <w:sz w:val="24"/>
                <w:szCs w:val="22"/>
                <w:lang w:val="en-US" w:eastAsia="en-US" w:bidi="ar-SA"/>
                <w:rFonts w:ascii="Times New Roman" w:hAnsi="Times New Roman" w:eastAsia="Times New Roman" w:cs="Times New Roman"/>
              </w:rPr>
              <w:t>Empirical anchor</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Removes the cue that sorts the activity into the user's health account</w:t>
            </w:r>
          </w:p>
        </w:tc>
        <w:tc>
          <w:tcPr>
            <w:tcW w:w="3283"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Makes a dynamic self-concept trajectory the reference point against which performance is read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Continuously matches challenge, feedback affect and pacing to the user's position</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color w:val="000000"/>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trPr>
        <w:tc>
          <w:tcPr>
            <w:tcW w:w="1629" w:type="dxa"/>
          </w:tcPr>
          <w:p>
            <w:pPr>
              <w:pStyle w:val="Normal"/>
            </w:pPr>
            <w:r>
              <w:rPr>
                <w:szCs w:val="22"/>
                <w:lang w:val="en-US" w:eastAsia="en-US" w:bidi="ar-SA"/>
                <w:rFonts w:ascii="Times New Roman" w:hAnsi="Times New Roman" w:eastAsia="Times New Roman" w:cs="Times New Roman"/>
                <w:sz w:val="20"/>
              </w:rPr>
              <w:t>Layer</w:t>
            </w:r>
          </w:p>
        </w:tc>
        <w:tc>
          <w:tcPr>
            <w:tcW w:w="3111" w:type="dxa"/>
          </w:tcPr>
          <w:p>
            <w:pPr>
              <w:pStyle w:val="Normal"/>
            </w:pPr>
            <w:r>
              <w:rPr>
                <w:b/>
                <w:sz w:val="20"/>
                <w:szCs w:val="22"/>
                <w:lang w:val="en-US" w:eastAsia="en-US" w:bidi="ar-SA"/>
                <w:rFonts w:ascii="Times New Roman" w:hAnsi="Times New Roman" w:eastAsia="Times New Roman" w:cs="Times New Roman"/>
              </w:rPr>
              <w:t>Component</w:t>
            </w:r>
          </w:p>
        </w:tc>
        <w:tc>
          <w:tcPr>
            <w:tcW w:w="1086"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679"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L0 Sensor</w:t>
            </w:r>
          </w:p>
        </w:tc>
        <w:tc>
          <w:tcPr>
            <w:tcW w:w="3111"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L1 Game Engine</w:t>
            </w:r>
          </w:p>
        </w:tc>
        <w:tc>
          <w:tcPr>
            <w:tcW w:w="3111"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L2 AI Adaptation</w:t>
            </w:r>
          </w:p>
        </w:tc>
        <w:tc>
          <w:tcPr>
            <w:tcW w:w="3111"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L3 Logging</w:t>
            </w:r>
          </w:p>
        </w:tc>
        <w:tc>
          <w:tcPr>
            <w:tcW w:w="3111"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L4 Clinical Output</w:t>
            </w:r>
          </w:p>
        </w:tc>
        <w:tc>
          <w:tcPr>
            <w:tcW w:w="3111"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086" w:type="dxa"/>
          </w:tcPr>
          <w:p>
            <w:pPr>
              <w:pStyle w:val="Normal"/>
            </w:pPr>
            <w:r>
              <w:rPr>
                <w:sz w:val="20"/>
                <w:szCs w:val="22"/>
                <w:lang w:val="en-US" w:eastAsia="en-US" w:bidi="ar-SA"/>
                <w:rFonts w:ascii="Times New Roman" w:hAnsi="Times New Roman" w:eastAsia="Times New Roman" w:cs="Times New Roman"/>
              </w:rPr>
              <w:t>—</w:t>
            </w:r>
          </w:p>
        </w:tc>
        <w:tc>
          <w:tcPr>
            <w:tcW w:w="2679"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L5 User-Facing Trajectory</w:t>
            </w:r>
          </w:p>
        </w:tc>
        <w:tc>
          <w:tcPr>
            <w:tcW w:w="3111"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1"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629"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1"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086" w:type="dxa"/>
          </w:tcPr>
          <w:p>
            <w:pPr>
              <w:pStyle w:val="Normal"/>
            </w:pPr>
            <w:r>
              <w:rPr>
                <w:sz w:val="20"/>
                <w:szCs w:val="22"/>
                <w:lang w:val="en-US" w:eastAsia="en-US" w:bidi="ar-SA"/>
                <w:rFonts w:ascii="Times New Roman" w:hAnsi="Times New Roman" w:eastAsia="Times New Roman" w:cs="Times New Roman"/>
              </w:rPr>
              <w:t>—</w:t>
            </w:r>
          </w:p>
        </w:tc>
        <w:tc>
          <w:tcPr>
            <w:tcW w:w="2679"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color w:val="000000"/>
          <w:szCs w:val="22"/>
        </w:rPr>
        <w:t>7.5A One Architecture: Phenomenon, Principles, Engine</w:t>
      </w:r>
    </w:p>
    <w:p>
      <w:pPr>
        <w:pStyle w:val="Normal"/>
        <w:jc w:val="both"/>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jc w:val="both"/>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szCs w:val="26"/>
          <w:lang w:val="en-US" w:eastAsia="en-US" w:bidi="ar-SA"/>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color w:val="000000"/>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color w:val="00000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thesis shows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lies; and the adaptive-learning framework specifies how a measuring technology can remain bearable — challenge calibrated to the person, results presented as a trajectory, coaching absorbing the failure moment. The gamified FRA is the working demonstration that the middle ground is occupiable: one physical action that plays and measures, made returnable-to by design. In an AI decade, that is the difference between health technologies older adults live with and health technologies that fall silent (§8.6B). Figure 8.1 maps this design space.</w:t>
      </w:r>
    </w:p>
    <w:p>
      <w:r>
        <w:drawing>
          <wp:inline>
            <wp:extent cx="5120640" cy="3995517"/>
            <wp:docPr id="32" name="Picture 32"/>
            <wp:cNvGraphicFramePr>
              <a:graphicFrameLocks noChangeAspect="1"/>
            </wp:cNvGraphicFramePr>
            <a:graphic>
              <a:graphicData uri="http://schemas.openxmlformats.org/drawingml/2006/picture">
                <pic:pic>
                  <pic:nvPicPr>
                    <pic:cNvPr id="0" name="fig_8_1_design_space.png"/>
                    <pic:cNvPicPr/>
                  </pic:nvPicPr>
                  <pic:blipFill>
                    <a:blip r:embed="rId41"/>
                    <a:stretch>
                      <a:fillRect/>
                    </a:stretch>
                  </pic:blipFill>
                  <pic:spPr>
                    <a:xfrm>
                      <a:off x="0" y="0"/>
                      <a:ext cx="5120640" cy="3995517"/>
                    </a:xfrm>
                    <a:prstGeom prst="rect"/>
                  </pic:spPr>
                </pic:pic>
              </a:graphicData>
            </a:graphic>
          </wp:inline>
        </w:drawing>
      </w:r>
    </w:p>
    <w:p>
      <w:pPr>
        <w:pStyle w:val="FigureCaption"/>
        <w:jc w:val="center"/>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trPr>
        <w:tc>
          <w:tcPr>
            <w:tcW w:type="dxa" w:w="1472"/>
          </w:tcPr>
          <w:p>
            <w:pPr>
              <w:pStyle w:val="Normal"/>
            </w:pPr>
            <w:r>
              <w:rPr>
                <w:b/>
                <w:sz w:val="24"/>
                <w:szCs w:val="22"/>
                <w:lang w:val="en-US" w:eastAsia="en-US" w:bidi="ar-SA"/>
                <w:rFonts w:ascii="Times New Roman" w:hAnsi="Times New Roman" w:eastAsia="Times New Roman" w:cs="Times New Roman"/>
              </w:rPr>
              <w:t>Register</w:t>
            </w:r>
          </w:p>
        </w:tc>
        <w:tc>
          <w:tcPr>
            <w:tcW w:type="dxa" w:w="5179"/>
          </w:tcPr>
          <w:p>
            <w:pPr>
              <w:pStyle w:val="Normal"/>
            </w:pPr>
            <w:r>
              <w:rPr>
                <w:b/>
                <w:sz w:val="24"/>
                <w:szCs w:val="22"/>
                <w:lang w:val="en-US" w:eastAsia="en-US" w:bidi="ar-SA"/>
                <w:rFonts w:ascii="Times New Roman" w:hAnsi="Times New Roman" w:eastAsia="Times New Roman" w:cs="Times New Roman"/>
              </w:rPr>
              <w:t>Contribution</w:t>
            </w:r>
          </w:p>
        </w:tc>
        <w:tc>
          <w:tcPr>
            <w:tcW w:type="dxa" w:w="1854"/>
          </w:tcPr>
          <w:p>
            <w:pPr>
              <w:pStyle w:val="Normal"/>
            </w:pPr>
            <w:r>
              <w:rPr>
                <w:b/>
                <w:sz w:val="24"/>
                <w:szCs w:val="22"/>
                <w:lang w:val="en-US" w:eastAsia="en-US" w:bidi="ar-SA"/>
                <w:rFonts w:ascii="Times New Roman" w:hAnsi="Times New Roman" w:eastAsia="Times New Roman" w:cs="Times New Roman"/>
              </w:rPr>
              <w:t>Stated in</w:t>
            </w:r>
          </w:p>
        </w:tc>
      </w:tr>
      <w:tr>
        <w:tc>
          <w:tcPr>
            <w:tcW w:type="dxa" w:w="1472"/>
          </w:tcPr>
          <w:p>
            <w:pPr>
              <w:pStyle w:val="Normal"/>
            </w:pPr>
            <w:r>
              <w:rPr>
                <w:sz w:val="24"/>
                <w:szCs w:val="22"/>
                <w:lang w:val="en-US" w:eastAsia="en-US" w:bidi="ar-SA"/>
                <w:rFonts w:ascii="Times New Roman" w:hAnsi="Times New Roman" w:eastAsia="Times New Roman" w:cs="Times New Roman"/>
              </w:rPr>
              <w:t>Scientific</w:t>
            </w:r>
          </w:p>
        </w:tc>
        <w:tc>
          <w:tcPr>
            <w:tcW w:type="dxa" w:w="5179"/>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color w:val="00000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jc w:val="both"/>
      </w:pPr>
      <w:r>
        <w:t>Stage 3B extends the modality inventory a third step - iPad touch steering (on-screen arrows, with keyboard, controller and tilt as alternatives, and the input mode actually used logged per run in the session record) - so the programme now spans standing whole-body input (Stage 2), seated hand input (Stage 3) and seated touch input (Stage 3B). Three points keep this from contaminating the inferences. First, every confirmatory contrast is internally single-modality: the score-improvement/non-return paradox arose entirely within the Stage-2 panel cohort, the age gradient entirely within the Stage-3 remote cohort, and the Stage-3B 2x2 contrasts (adaptive against static, zero-failure against failure-possible) are randomised within one touch-input fleet - so input modality attaches only to the between-stage comparisons, which are already calibrated as non-causal (§6.7). Second, the randomised within-cohort study specified above holds hardware, software and input device constant across arms, which is the design that finally separates frame from modality. Third, the gradient itself is theoretically informative rather than mere noise: if failure produced by one's own balance speaks more directly to bodily decline than failure produced by one's fingers, then input modality is an identity-exposure dial, and the framework can use it as one - a graduated-embodiment pathway in which engagement begins at the lowest-stake modality (touch), moves through seated foot-pad play, and only then returns to the standing panel, letting confidence accumulate before the body itself is back on trial. On that reading, the modality differences across the programme's stages are not a flaw to explain away but an accidental first traversal of the very ladder the re-attachment design (§7.9) would build deliberately.</w:t>
      </w:r>
    </w:p>
    <w:p>
      <w:pPr>
        <w:pStyle w:val="Heading3"/>
      </w:pPr>
      <w:r>
        <w:t>8.5.9 Attrition-Like Dropout</w:t>
      </w:r>
    </w:p>
    <w:p>
      <w:pPr>
        <w:jc w:val="both"/>
      </w:pPr>
      <w:r>
        <w:t>Concern: the simplest rival explanation reads the empty station as ordinary attrition - users drift away because the machine is mildly boring, slightly inconvenient, or simply loses novelty, so that no behavioural-economics account of identity threat is needed to explain why older adults stop using a piece of equipment. Response: this rival deserves to be named because it is the account an examiner of parsimony should reach for first, and the programme's data speak to it directly. A gradual-decay account predicts declining session frequency before exit and occasional casual returns afterwards; the Stage-2 record shows neither - exits clustered abruptly at or before three cycles, and none of the twenty-one disengaged participants re-engaged within the observation window (Table 5.2). Attrition also cannot accommodate the objective-score-improvement/non-return paradox (§5.6): boredom does not select for players whose recorded performance was rising. Most directly, attrition is indifferent to framing, so it predicts no difference when the clinical frame is removed while the game mechanics stay the same; the substantially higher post-failure return in the decoupled Stage-3 cohort (§6.5) is therefore evidence against attrition as the governing account, subject to the between-cohort limits stated in §6.7. What survives calibration is bounded: a residual attrition component in any individual exit cannot be excluded, and the short observation windows leave slow-decay dynamics unmeasured; the longitudinal follow-up specified in §8.8 is the instrument that would bound it.</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color w:val="00000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jc w:val="both"/>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jc w:val="both"/>
      </w:pPr>
      <w:r>
        <w:t>A related rival, raised by the programme's industrial partner in draft review and conceded here, operates at the group level: non-use may be sustained by a collective, socially shared narrative - a common-room conclusion that the station signifies decline - rather than, or in addition to, each individual's private appraisal. The three parties of this section are also a narrative community, and a shared story travels between them faster than any individual verdict. This reading has explanatory reach the individual account lacks: it can produce pre-emptive avoidance in residents who never touched the device - and the majority of Stage-1 respondents reported no prior FRA use - because a narrative, unlike an adverse first experience, is transmissible second-hand. The programme's instruments were aimed at the individual level and collected no sociometric or narrative-circulation data, so this rival cannot be nullified with the present evidence; it is acknowledged as a plausible systemic amplifier rather than argued away. Two points keep the concession orderly. First, the group reading is complementary, not displacing: the first interpretive consultation read the Stage-3 commitment gap through group dynamics (§6.8A), and a collective narrative still needs seed events - individual adverse verdicts of exactly the kind FIAS describes - to crystallise around. Second, the concession converts into a design requirement rather than a dead end: any intervention that reaches only the individual leaves the narrative layer intact, so the confirmatory programme should carry at least one group-level design response; §8.8 states one.</w:t>
      </w:r>
    </w:p>
    <w:p>
      <w:pPr>
        <w:pStyle w:val="Heading2"/>
      </w:pPr>
      <w:bookmarkStart w:id="146" w:name="_Toc232024634"/>
      <w:r>
        <w:rPr>
          <w:lang w:val="en-US" w:eastAsia="en-US" w:bidi="ar-SA"/>
          <w:color w:val="000000"/>
          <w:szCs w:val="22"/>
        </w:rPr>
        <w:t>8.7 Ethical Considerations</w:t>
      </w:r>
      <w:bookmarkEnd w:id="146"/>
    </w:p>
    <w:p>
      <w:pPr>
        <w:jc w:val="both"/>
      </w:pPr>
      <w:r>
        <w:t>One scope limitation is stated before all others: this study covers the assessment phase of an assess-then-train product model and does not evaluate the training phase. Four considerations govern the boundary. First, the assessment gate is the binding constraint: abandonment there forecloses training altogether, and the non-utilisation figures that motivate the programme arise at this gate. Second, the mechanism documented here - verdict-driven abandonment - applies with equal force to the training phase, which delivers progress verdicts of its own; the framework is designed for, and extensible to, the full loop. Third, a supervised training intervention with elderly participants demands clinical resources and a longitudinal window beyond this part-time doctorate's scope. Fourth, the extension is specified rather than abandoned: the confirmatory programme of s8.8 carries the framework into the training phase.</w:t>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Since this section was first drafted, the first element of the confirmatory programme has been designed and pre-registered: Stage 3B, a 2x2 field experiment crossing adaptive against static presentation with zero-failure against failure-possible modes, in a new cohort of 80-120 adults recruited in the same three age bands, with recorded in-build consent, a single pre-specified confirmatory contrast, and a trilingual instrument implementing the framework's calibration, trajectory and coaching elements. The design also brings into contact, for older adults in a health-technology context, two traditions the literature has kept apart: errorless learning, which holds that vulnerable learners acquire best when prevented from erring (Baddeley &amp; Wilson, 1994), and the graceful-failure position of game-based learning, which treats low-consequence failure as productive (Plass, Homer, &amp; Kinzer, 2015); dynamic difficulty adjustment supplies the adaptive arm's engineering lineage (Zohaib, 2018).</w:t>
      </w:r>
    </w:p>
    <w:p>
      <w:pPr>
        <w:jc w:val="both"/>
      </w:pPr>
      <w:r>
        <w:t>The build's score economy is itself a design argument, and its two generations record a deliberate progression rather than an oversight corrected. The deployed Stage-2 and Stage-3 builds kept scoring intentionally thin - distance plus coins - for two reasons: for largely non-gaming older players the score had to be legible at a single glance, and a rich scoring apparatus makes the score more salient exactly where the programme's evidence warns that salient evaluation drives withdrawal. Once the zero-failure and trajectory findings had matured, the Stage-3B build could afford motivational depth - but enriched the economy on the gain side only, borrowing the grammar of role-playing games, in which experience points never decrease: a clean-riding combo multiplier (x1 to x3) that an obstacle bump resets, skill-dodge bonuses for near misses, a collection rate shown in place of any missed-coin penalty, and a persistent experience total with skier levels that accumulates across a participant's sessions. A deduction-based alternative (for example minus 100 points per hit) was considered and rejected on the programme's own grounds: under loss aversion, subtracting visible points converts each bump into a quantified verdict, re-importing into the scoreboard the loss economy that zero-failure design (§2.6.2C, §5.3.10) exists to remove. In the final economy, failure costs future earning rate - the reset multiplier - but never confiscates banked points; the distinction between opportunity cost and confiscation is the same distinction the framework formalises between learning-trajectory and endowment-protective appraisals (§7.3), now expressed inside the scoreboard itself. The persistent level system serves the sessions-played co-primary outcome directly: it gives a reason to return that does not depend on beating one's own record, because every session adds experience regardless of performance. The scoring formula is identical in both arms and both failure modes - it is an instrument property, not an experimental factor - and was finalised, with the rejected alternative recorded, before any participant played (protocol Amendment A).</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jc w:val="both"/>
      </w:pPr>
      <w:r>
        <w:t>A further proposition addresses the group-level layer conceded in §8.6B. A group-level problem invites a group-form counter, and role-playing structures are the strongest candidate in the game-design repertoire: a role separates the player from the identity under threat, progress-for-attempting mechanics give every session value regardless of measured performance, and cooperative framing can turn social friction into social support. Three implementation constraints, each raised and weighed during review, immediately bound the idea. Older adults in the target settings are largely non-gamers, and conventional role-playing conventions - character sheets, quest logs, progression trees - carry exactly the kind of entry cost this thesis shows produces avoidance. Role-play is cognitively demanding, and the loads it imposes - role-keeping, rule-tracking, narrative memory - are the loads that rise in cost with age. And the clinical acts themselves - an assessment, a rehabilitation session - are irreducibly individual, so a group form cannot simply be imposed on practices that happen one person at a time.</w:t>
      </w:r>
    </w:p>
    <w:p>
      <w:pPr>
        <w:jc w:val="both"/>
      </w:pPr>
      <w:r>
        <w:t>The proposition that survives these constraints is AI-managed invisible role-play, under a design principle this programme's own artefacts already instantiate: high system intelligence, low user cognitive burden. In the deployed builds the player never saw the difficulty engine; the rule agent carried the adaptive machinery while the player simply played (§5.3.5, §8.9). The proposition extends the same asymmetry one level up: the system holds the role-play architecture - persona, narrative continuity, progress-for-attempting, cooperative framing - and the user experiences only simple, dignified play. The role itself becomes an adaptive variable: where a conventional game predefines roles and asks the player to conform, here the system continuously re-fits the role to the player's observed capacities and responses, the same move the framework already makes for challenge parameters, applied to narrative content. The individual nature of clinical acts is answered by decoupling the social layer from the clinical act - the act stays individual while membership is collective, through asynchronous contribution to shared goals or system-supplied companions - and two safety constraints are non-negotiable: individual clinical metrics are never socially visible (comparative displays would amplify the very narrative the design targets, so contribution is visible and performance is not), and the fiction must not be infantilising, since a persona that reads as childish would reproduce the identity threat in costume (§6.12).</w:t>
      </w:r>
    </w:p>
    <w:p>
      <w:pPr>
        <w:jc w:val="both"/>
      </w:pPr>
      <w:r>
        <w:t>The furthest reach of the proposition is stated last because it is the least established: role-mediated play as scaffolding for the person's own adaptive-learning capacity. A well-fitted role embodies the learning-trajectory appraisal - inside the fiction, every attempt earns progress and a setback is plot rather than verdict - so the player practises trajectory-thinking without being taught it, and the design aim is that the appraisal eventually transfers from character to self. This is a three-link hypothesis chain: that a system can fit roles to players is buildable and testable; that fitted roles improve engagement is testable with the methods of this programme; that role-mediated practice transfers to the person's own appraisal habits is the hard link, a rate-and-transfer claim for which this thesis offers no evidence and which would require its own instruments - shifts in how participants speak about their own setbacks, appraisal measures taken outside the game, and behaviour observed after the fiction is withdrawn. The scaffold must also fade: the role begins as a shield, protecting identity by not being the self, and succeeds only if it ends as a bridge back to the self - how that hand-off is designed is a research question in its own right. The proposition is the natural continuation of the person-conditioned adaptation programme of §9.8B, and it preserves this thesis's calibration of the artificial-intelligence role: the system does not replace the human capacity it targets; it scaffolds it.</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t>9.2A The Programme Diary: How the Knowledge Evolved and What Was Nullified</w:t>
      </w:r>
    </w:p>
    <w:p>
      <w:pPr>
        <w:jc w:val="both"/>
      </w:pPr>
      <w:r>
        <w:t>The three-stage narrative above can also be read as a diary. Table 9.1 sets the programme's evidence activities in strict calendar order and records, for each entry, the knowledge position the author held going in, what the activity produced, and what was revised or nullified as a result. The table is deliberately retrospective: each chapter of this thesis reports only what existed at that point in the journey (Table 3.1A gives the activity calendar without findings), so this is the first place the full evolution can be stated in one view. The discipline the diary makes visible is that the programme advanced by nullification as much as by confirmation - the simple non-exposure account, the competence account, the dispositional account, and the assumption that artificial intelligence was critical rather than enabling were each held, tested and given up in turn.</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trPr>
        <w:tc>
          <w:tcPr>
            <w:tcW w:type="dxa" w:w="1575"/>
          </w:tcPr>
          <w:p>
            <w:r>
              <w:rPr>
                <w:b/>
              </w:rPr>
              <w:t>Period</w:t>
            </w:r>
          </w:p>
        </w:tc>
        <w:tc>
          <w:tcPr>
            <w:tcW w:type="dxa" w:w="2384"/>
          </w:tcPr>
          <w:p>
            <w:r>
              <w:rPr>
                <w:b/>
              </w:rPr>
              <w:t>Activity</w:t>
            </w:r>
          </w:p>
        </w:tc>
        <w:tc>
          <w:tcPr>
            <w:tcW w:type="dxa" w:w="2460"/>
          </w:tcPr>
          <w:p>
            <w:r>
              <w:rPr>
                <w:b/>
              </w:rPr>
              <w:t>Knowledge position going in</w:t>
            </w:r>
          </w:p>
        </w:tc>
        <w:tc>
          <w:tcPr>
            <w:tcW w:type="dxa" w:w="3422"/>
          </w:tcPr>
          <w:p>
            <w:r>
              <w:rPr>
                <w:b/>
              </w:rPr>
              <w:t>What the activity produced</w:t>
            </w:r>
          </w:p>
        </w:tc>
        <w:tc>
          <w:tcPr>
            <w:tcW w:type="dxa" w:w="3596"/>
          </w:tcPr>
          <w:p>
            <w:r>
              <w:rPr>
                <w:b/>
              </w:rPr>
              <w:t>What was revised or nullified</w:t>
            </w:r>
          </w:p>
        </w:tc>
      </w:tr>
      <w:t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Simple non-exposure account nullified: non-return was driven by prior users, not by residents who had never encountered the device</w:t>
            </w:r>
          </w:p>
        </w:tc>
      </w:tr>
      <w:tr>
        <w:tc>
          <w:tcPr>
            <w:tcW w:type="dxa" w:w="1575"/>
          </w:tcPr>
          <w:p>
            <w:r>
              <w:t>2024</w:t>
            </w:r>
          </w:p>
        </w:tc>
        <w:tc>
          <w:tcPr>
            <w:tcW w:type="dxa" w:w="2384"/>
          </w:tcPr>
          <w:p>
            <w:r>
              <w:t>Game design and platform validation</w:t>
            </w:r>
          </w:p>
        </w:tc>
        <w:tc>
          <w:tcPr>
            <w:tcW w:type="dxa" w:w="2460"/>
          </w:tcPr>
          <w:p>
            <w:r>
              <w:t>Gamification and dynamic-difficulty literature</w:t>
            </w:r>
          </w:p>
        </w:tc>
        <w:tc>
          <w:tcPr>
            <w:tcW w:type="dxa" w:w="3422"/>
          </w:tcPr>
          <w:p>
            <w:r>
              <w:t>The dual-purpose AI-assisted skiing game as the programme's instrument</w:t>
            </w:r>
          </w:p>
        </w:tc>
        <w:tc>
          <w:tcPr>
            <w:tcW w:type="dxa" w:w="3596"/>
          </w:tcPr>
          <w:p>
            <w:r>
              <w:t>-</w:t>
            </w:r>
          </w:p>
        </w:tc>
      </w:tr>
      <w:tr>
        <w:tc>
          <w:tcPr>
            <w:tcW w:type="dxa" w:w="1575"/>
          </w:tcPr>
          <w:p>
            <w:r>
              <w:rPr>
                <w:highlight w:val="yellow"/>
              </w:rPr>
              <w:t>[AUTHOR INPUT NEEDED: exact dates]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the objective-score-improvement/non-return paradox</w:t>
            </w:r>
          </w:p>
        </w:tc>
        <w:tc>
          <w:tcPr>
            <w:tcW w:type="dxa" w:w="3596"/>
          </w:tcPr>
          <w:p>
            <w:r>
              <w:t>Competence account nullified (scores improved yet players did not return); FIDS alone could no longer carry the account - the transition to FIAS, specified in Chapter 5, is the pivotal move of the research journey</w:t>
            </w:r>
          </w:p>
        </w:tc>
      </w:tr>
      <w:tr>
        <w:tc>
          <w:tcPr>
            <w:tcW w:type="dxa" w:w="1575"/>
          </w:tcPr>
          <w:p>
            <w:r>
              <w:t>March-April 2026</w:t>
            </w:r>
          </w:p>
        </w:tc>
        <w:tc>
          <w:tcPr>
            <w:tcW w:type="dxa" w:w="2384"/>
          </w:tcPr>
          <w:p>
            <w:r>
              <w:t>Stage 3 remote decoupled deployment (register N=120)</w:t>
            </w:r>
          </w:p>
        </w:tc>
        <w:tc>
          <w:tcPr>
            <w:tcW w:type="dxa" w:w="2460"/>
          </w:tcPr>
          <w:p>
            <w:r>
              <w:t>FIAS as the candidate account; frame-sensitive and dispositional readings as rivals</w:t>
            </w:r>
          </w:p>
        </w:tc>
        <w:tc>
          <w:tcPr>
            <w:tcW w:type="dxa" w:w="3422"/>
          </w:tcPr>
          <w:p>
            <w:r>
              <w:t>A substantial behavioural shift once the assessment frame was removed; the commitment gap</w:t>
            </w:r>
          </w:p>
        </w:tc>
        <w:tc>
          <w:tcPr>
            <w:tcW w:type="dxa" w:w="3596"/>
          </w:tcPr>
          <w:p>
            <w:r>
              <w:t>The dispositional account (H0) could not accommodate the between-cohort shift; frame-sensitivity retained as the calibrated reading</w:t>
            </w:r>
          </w:p>
        </w:tc>
      </w:tr>
      <w:tr>
        <w:tc>
          <w:tcPr>
            <w:tcW w:type="dxa" w:w="1575"/>
          </w:tcPr>
          <w:p>
            <w:r>
              <w:t>March-August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Clinical corroboration of the abandonment window, verdict attribution and reward economics; the build judged suitable for FRA practice</w:t>
            </w:r>
          </w:p>
        </w:tc>
        <w:tc>
          <w:tcPr>
            <w:tcW w:type="dxa" w:w="3596"/>
          </w:tcPr>
          <w:p>
            <w:r>
              <w:t>Technology-difficulty as the primary barrier was challenged from practice; coaching-at-scale was revised on cost grounds (social cost and therapist scarcity)</w:t>
            </w:r>
          </w:p>
        </w:tc>
      </w:tr>
      <w:t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covering the programme as conducted and the forward stage</w:t>
            </w:r>
          </w:p>
        </w:tc>
        <w:tc>
          <w:tcPr>
            <w:tcW w:type="dxa" w:w="3596"/>
          </w:tcPr>
          <w:p>
            <w:r>
              <w:t>-</w:t>
            </w:r>
          </w:p>
        </w:tc>
      </w:tr>
      <w:tr>
        <w:tc>
          <w:tcPr>
            <w:tcW w:type="dxa" w:w="1575"/>
          </w:tcPr>
          <w:p>
            <w:r>
              <w:rPr>
                <w:highlight w:val="yellow"/>
              </w:rPr>
              <w:t>August-October 2026 [AUTHOR INPUT NEEDED: window dates]</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H-3B under test; the design allows the adaptive-arm advantage itself to be nullified]</w:t>
            </w:r>
          </w:p>
        </w:tc>
      </w:tr>
      <w:tr>
        <w:tc>
          <w:tcPr>
            <w:tcW w:type="dxa" w:w="1575"/>
          </w:tcPr>
          <w:p>
            <w:r>
              <w:t>October 2026</w:t>
            </w:r>
          </w:p>
        </w:tc>
        <w:tc>
          <w:tcPr>
            <w:tcW w:type="dxa" w:w="2384"/>
          </w:tcPr>
          <w:p>
            <w:r>
              <w:t>Programme close and thesis completion</w:t>
            </w:r>
          </w:p>
        </w:tc>
        <w:tc>
          <w:tcPr>
            <w:tcW w:type="dxa" w:w="2460"/>
          </w:tcPr>
          <w:p>
            <w:r>
              <w:t>-</w:t>
            </w:r>
          </w:p>
        </w:tc>
        <w:tc>
          <w:tcPr>
            <w:tcW w:type="dxa" w:w="3422"/>
          </w:tcPr>
          <w:p>
            <w:r>
              <w:t>The calibrated evidential chain: observed, interpreted, demonstrated in part, hypothesised</w:t>
            </w:r>
          </w:p>
        </w:tc>
        <w:tc>
          <w:tcPr>
            <w:tcW w:type="dxa" w:w="3596"/>
          </w:tcPr>
          <w:p>
            <w:r>
              <w:t>Artificial intelligence recalibrated from critical to enabling - the deterministic rule agent sufficed for in-run adaptation</w:t>
            </w:r>
          </w:p>
        </w:tc>
      </w:tr>
    </w:tbl>
    <w:p>
      <w:pPr>
        <w:pStyle w:val="FigureCaption"/>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pStyle w:val="Heading2"/>
      </w:pPr>
      <w:r>
        <w:t>9.3A The Chain of Effects: The Argument in Logical Order</w:t>
      </w:r>
    </w:p>
    <w:p>
      <w:pPr>
        <w:jc w:val="both"/>
      </w:pPr>
      <w:r>
        <w:t>The programme can now be read three ways: in calendar order (Table 3.1A), as a diary of what was learned and given up (Table 9.1), and - here - as a chain of effects, the argument in logical order. Table 9.3 states each link, its principal evidence, and its evidential status in the vocabulary this thesis has used throughout: observed, eliminated, interpreted, designed, under test, conceded. Two provenance rules govern the chain. Construct names appear at the link where the journey produced them - the self-efficacy reading of dropout belongs to the early conjecture, and FIAS was named only after Stage 2. And the Stage-1 never-users are deliberately NOT classified under FIAS: they had no failure experience to appraise. Their stance - which the author summarises, in composite paraphrase rather than quotation, as 'the game is fun, gamification is beneficial, the FRA is a good tool - but I do not want it telling me where my health problems are' - is anticipatory verdict-fear, evidence that the feared object was the verdict, never the difficulty, before any construct of this thesis existed to say so.</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trPr>
        <w:tc>
          <w:tcPr>
            <w:tcW w:w="661" w:type="dxa"/>
          </w:tcPr>
          <w:p>
            <w:r>
              <w:rPr>
                <w:b/>
              </w:rPr>
              <w:t>Link</w:t>
            </w:r>
          </w:p>
        </w:tc>
        <w:tc>
          <w:tcPr>
            <w:tcW w:w="3024" w:type="dxa"/>
          </w:tcPr>
          <w:p>
            <w:r>
              <w:rPr>
                <w:b/>
              </w:rPr>
              <w:t>Effect / claim</w:t>
            </w:r>
          </w:p>
        </w:tc>
        <w:tc>
          <w:tcPr>
            <w:tcW w:w="3024" w:type="dxa"/>
          </w:tcPr>
          <w:p>
            <w:r>
              <w:rPr>
                <w:b/>
              </w:rPr>
              <w:t>Principal evidence</w:t>
            </w:r>
          </w:p>
        </w:tc>
        <w:tc>
          <w:tcPr>
            <w:tcW w:w="1796" w:type="dxa"/>
          </w:tcPr>
          <w:p>
            <w:r>
              <w:rPr>
                <w:b/>
              </w:rPr>
              <w:t>Status</w:t>
            </w:r>
          </w:p>
        </w:tc>
      </w:tr>
      <w:tr>
        <w:tc>
          <w:tcPr>
            <w:tcW w:w="661" w:type="dxa"/>
          </w:tcPr>
          <w:p>
            <w:r>
              <w:t>1</w:t>
            </w:r>
          </w:p>
        </w:tc>
        <w:tc>
          <w:tcPr>
            <w:tcW w:w="3024" w:type="dxa"/>
          </w:tcPr>
          <w:p>
            <w:r>
              <w:t>Clinically valuable FRA stations fall silent despite acknowledged benefit</w:t>
            </w:r>
          </w:p>
        </w:tc>
        <w:tc>
          <w:tcPr>
            <w:tcW w:w="3024" w:type="dxa"/>
          </w:tcPr>
          <w:p>
            <w:r>
              <w:t>Site observation, 2023; Stage-1 utilisation record (Chapter 4)</w:t>
            </w:r>
          </w:p>
        </w:tc>
        <w:tc>
          <w:tcPr>
            <w:tcW w:w="1796" w:type="dxa"/>
          </w:tcPr>
          <w:p>
            <w:r>
              <w:t>Observed</w:t>
            </w:r>
          </w:p>
        </w:tc>
      </w:tr>
      <w:tr>
        <w:tc>
          <w:tcPr>
            <w:tcW w:w="661" w:type="dxa"/>
          </w:tcPr>
          <w:p>
            <w:r>
              <w:t>2</w:t>
            </w:r>
          </w:p>
        </w:tc>
        <w:tc>
          <w:tcPr>
            <w:tcW w:w="3024" w:type="dxa"/>
          </w:tcPr>
          <w:p>
            <w:r>
              <w:t>Non-return concentrates among prior users with an adverse first experience; never-users show anticipatory verdict-fear, not difficulty complaints</w:t>
            </w:r>
          </w:p>
        </w:tc>
        <w:tc>
          <w:tcPr>
            <w:tcW w:w="3024" w:type="dxa"/>
          </w:tcPr>
          <w:p>
            <w:r>
              <w:t>Stage-1 survey, N=200 (Chapter 4)</w:t>
            </w:r>
          </w:p>
        </w:tc>
        <w:tc>
          <w:tcPr>
            <w:tcW w:w="1796" w:type="dxa"/>
          </w:tcPr>
          <w:p>
            <w:r>
              <w:t>Observed; self-efficacy (FIDS) reading conjectured</w:t>
            </w:r>
          </w:p>
        </w:tc>
      </w:tr>
      <w:tr>
        <w:tc>
          <w:tcPr>
            <w:tcW w:w="661" w:type="dxa"/>
          </w:tcPr>
          <w:p>
            <w:r>
              <w:t>3</w:t>
            </w:r>
          </w:p>
        </w:tc>
        <w:tc>
          <w:tcPr>
            <w:tcW w:w="3024" w:type="dxa"/>
          </w:tcPr>
          <w:p>
            <w:r>
              <w:t>An acceptance-compliant, gamified FRA is still abandoned</w:t>
            </w:r>
          </w:p>
        </w:tc>
        <w:tc>
          <w:tcPr>
            <w:tcW w:w="3024" w:type="dxa"/>
          </w:tcPr>
          <w:p>
            <w:r>
              <w:t>Stage 2: 70% disengaged at &lt;=3 cycles; 0/21 re-engagement (Chapter 5)</w:t>
            </w:r>
          </w:p>
        </w:tc>
        <w:tc>
          <w:tcPr>
            <w:tcW w:w="1796" w:type="dxa"/>
          </w:tcPr>
          <w:p>
            <w:r>
              <w:t>Observed</w:t>
            </w:r>
          </w:p>
        </w:tc>
      </w:tr>
      <w:tr>
        <w:tc>
          <w:tcPr>
            <w:tcW w:w="661" w:type="dxa"/>
          </w:tcPr>
          <w:p>
            <w:r>
              <w:t>4</w:t>
            </w:r>
          </w:p>
        </w:tc>
        <w:tc>
          <w:tcPr>
            <w:tcW w:w="3024" w:type="dxa"/>
          </w:tcPr>
          <w:p>
            <w:r>
              <w:t>Difficulty and competence cannot carry the account</w:t>
            </w:r>
          </w:p>
        </w:tc>
        <w:tc>
          <w:tcPr>
            <w:tcW w:w="3024" w:type="dxa"/>
          </w:tcPr>
          <w:p>
            <w:r>
              <w:t>Score-improvement/non-return paradox (§5.6); satisfaction among sustainers; attrition rival answered (§8.5.9)</w:t>
            </w:r>
          </w:p>
        </w:tc>
        <w:tc>
          <w:tcPr>
            <w:tcW w:w="1796" w:type="dxa"/>
          </w:tcPr>
          <w:p>
            <w:r>
              <w:t>Eliminated (within-cohort)</w:t>
            </w:r>
          </w:p>
        </w:tc>
      </w:tr>
      <w:tr>
        <w:tc>
          <w:tcPr>
            <w:tcW w:w="661" w:type="dxa"/>
          </w:tcPr>
          <w:p>
            <w:r>
              <w:t>5</w:t>
            </w:r>
          </w:p>
        </w:tc>
        <w:tc>
          <w:tcPr>
            <w:tcW w:w="3024" w:type="dxa"/>
          </w:tcPr>
          <w:p>
            <w:r>
              <w:t>Self-efficacy explains the dropout moment but not its permanence</w:t>
            </w:r>
          </w:p>
        </w:tc>
        <w:tc>
          <w:tcPr>
            <w:tcW w:w="3024" w:type="dxa"/>
          </w:tcPr>
          <w:p>
            <w:r>
              <w:t>§2.4.4; Stage-2 pattern of absolute, non-returning exits</w:t>
            </w:r>
          </w:p>
        </w:tc>
        <w:tc>
          <w:tcPr>
            <w:tcW w:w="1796" w:type="dxa"/>
          </w:tcPr>
          <w:p>
            <w:r>
              <w:t>Partial - first diagnostic layer</w:t>
            </w:r>
          </w:p>
        </w:tc>
      </w:tr>
      <w:tr>
        <w:tc>
          <w:tcPr>
            <w:tcW w:w="661" w:type="dxa"/>
          </w:tcPr>
          <w:p>
            <w:r>
              <w:t>6</w:t>
            </w:r>
          </w:p>
        </w:tc>
        <w:tc>
          <w:tcPr>
            <w:tcW w:w="3024" w:type="dxa"/>
          </w:tcPr>
          <w:p>
            <w:r>
              <w:t>Loss aversion on an identity-level asset makes retry a gamble on unwelcome bodily evidence; FIAS named</w:t>
            </w:r>
          </w:p>
        </w:tc>
        <w:tc>
          <w:tcPr>
            <w:tcW w:w="3024" w:type="dxa"/>
          </w:tcPr>
          <w:p>
            <w:r>
              <w:t>§5.6–5.7 appraisal account; expert corroboration (§6.12, Appendix H)</w:t>
            </w:r>
          </w:p>
        </w:tc>
        <w:tc>
          <w:tcPr>
            <w:tcW w:w="1796" w:type="dxa"/>
          </w:tcPr>
          <w:p>
            <w:r>
              <w:t>Interpreted (construct, post-Stage-2)</w:t>
            </w:r>
          </w:p>
        </w:tc>
      </w:tr>
      <w:tr>
        <w:tc>
          <w:tcPr>
            <w:tcW w:w="661" w:type="dxa"/>
          </w:tcPr>
          <w:p>
            <w:r>
              <w:t>7</w:t>
            </w:r>
          </w:p>
        </w:tc>
        <w:tc>
          <w:tcPr>
            <w:tcW w:w="3024" w:type="dxa"/>
          </w:tcPr>
          <w:p>
            <w:r>
              <w:t>The same mechanics without the clinical attachment are accepted and returned to</w:t>
            </w:r>
          </w:p>
        </w:tc>
        <w:tc>
          <w:tcPr>
            <w:tcW w:w="3024" w:type="dxa"/>
          </w:tcPr>
          <w:p>
            <w:r>
              <w:t>Stage 3: 85.4% in-session retention (65-80); return restored (Chapter 6)</w:t>
            </w:r>
          </w:p>
        </w:tc>
        <w:tc>
          <w:tcPr>
            <w:tcW w:w="1796" w:type="dxa"/>
          </w:tcPr>
          <w:p>
            <w:r>
              <w:t>Observed; design eliminated (consistent-with, §6.7 calibration)</w:t>
            </w:r>
          </w:p>
        </w:tc>
      </w:tr>
      <w:tr>
        <w:tc>
          <w:tcPr>
            <w:tcW w:w="661" w:type="dxa"/>
          </w:tcPr>
          <w:p>
            <w:r>
              <w:t>8</w:t>
            </w:r>
          </w:p>
        </w:tc>
        <w:tc>
          <w:tcPr>
            <w:tcW w:w="3024" w:type="dxa"/>
          </w:tcPr>
          <w:p>
            <w:r>
              <w:t>A boundary condition for gamification theory: the theory holds until the game is attached to an identity-relevant clinical verdict</w:t>
            </w:r>
          </w:p>
        </w:tc>
        <w:tc>
          <w:tcPr>
            <w:tcW w:w="3024" w:type="dxa"/>
          </w:tcPr>
          <w:p>
            <w:r>
              <w:t>Stages 2-3 jointly (§8.1)</w:t>
            </w:r>
          </w:p>
        </w:tc>
        <w:tc>
          <w:tcPr>
            <w:tcW w:w="1796" w:type="dxa"/>
          </w:tcPr>
          <w:p>
            <w:r>
              <w:t>Interpreted - scope finding</w:t>
            </w:r>
          </w:p>
        </w:tc>
      </w:tr>
      <w:tr>
        <w:tc>
          <w:tcPr>
            <w:tcW w:w="661" w:type="dxa"/>
          </w:tcPr>
          <w:p>
            <w:r>
              <w:t>9</w:t>
            </w:r>
          </w:p>
        </w:tc>
        <w:tc>
          <w:tcPr>
            <w:tcW w:w="3024" w:type="dxa"/>
          </w:tcPr>
          <w:p>
            <w:r>
              <w:t>Adaptive learning with zero-failure presentation as the design counter</w:t>
            </w:r>
          </w:p>
        </w:tc>
        <w:tc>
          <w:tcPr>
            <w:tcW w:w="3024" w:type="dxa"/>
          </w:tcPr>
          <w:p>
            <w:r>
              <w:t>Framework (Chapter 7); Stage 3B pre-registered 2x2 (§8.8)</w:t>
            </w:r>
          </w:p>
        </w:tc>
        <w:tc>
          <w:tcPr>
            <w:tcW w:w="1796" w:type="dxa"/>
          </w:tcPr>
          <w:p>
            <w:r>
              <w:t>Designed; under test</w:t>
            </w:r>
          </w:p>
        </w:tc>
      </w:tr>
      <w:tr>
        <w:tc>
          <w:tcPr>
            <w:tcW w:w="661" w:type="dxa"/>
          </w:tcPr>
          <w:p>
            <w:r>
              <w:t>10</w:t>
            </w:r>
          </w:p>
        </w:tc>
        <w:tc>
          <w:tcPr>
            <w:tcW w:w="3024" w:type="dxa"/>
          </w:tcPr>
          <w:p>
            <w:r>
              <w:t>Habit formation, appraisal transfer, and the group-narrative layer</w:t>
            </w:r>
          </w:p>
        </w:tc>
        <w:tc>
          <w:tcPr>
            <w:tcW w:w="3024" w:type="dxa"/>
          </w:tcPr>
          <w:p>
            <w:r>
              <w:t>§8.6B concession; §8.8 propositions; §9.8B</w:t>
            </w:r>
          </w:p>
        </w:tc>
        <w:tc>
          <w:tcPr>
            <w:tcW w:w="1796" w:type="dxa"/>
          </w:tcPr>
          <w:p>
            <w:r>
              <w:t>Hypothesised / conceded</w:t>
            </w:r>
          </w:p>
        </w:tc>
      </w:tr>
    </w:tbl>
    <w:p>
      <w:pPr>
        <w:pStyle w:val="FigureCaption"/>
      </w:pPr>
      <w:r>
        <w:t>Table 9.3. The chain of effects: each link of the argument, its principal evidence, and its evidential status. Constructs are dated to the link where the journey produced them.</w:t>
      </w:r>
    </w:p>
    <w:p>
      <w:pPr>
        <w:pStyle w:val="Heading2"/>
      </w:pPr>
      <w:bookmarkStart w:id="157" w:name="_Toc232024646"/>
      <w:r>
        <w:rPr>
          <w:lang w:val="en-US" w:eastAsia="en-US" w:bidi="ar-SA"/>
          <w:color w:val="00000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positive control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color w:val="00000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color w:val="00000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jc w:val="both"/>
      </w:pPr>
      <w:r>
        <w:t>The role-adaptive proposition of §8.8 is the fullest expression of this extension: person-conditioned adaptation applied not only to challenge parameters but to the narrative role itself, with the design aim that what ultimately develops is not the system's model of the person but the person's own adaptive-learning capacity.</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trPr>
        <w:tc>
          <w:tcPr>
            <w:tcW w:w="1748" w:type="dxa"/>
          </w:tcPr>
          <w:p>
            <w:pPr>
              <w:pStyle w:val="Normal"/>
            </w:pPr>
            <w:r>
              <w:rPr>
                <w:b/>
                <w:sz w:val="24"/>
                <w:szCs w:val="22"/>
                <w:lang w:val="en-US" w:eastAsia="en-US" w:bidi="ar-SA"/>
                <w:rFonts w:ascii="Times New Roman" w:hAnsi="Times New Roman" w:eastAsia="Times New Roman" w:cs="Times New Roman"/>
              </w:rPr>
              <w:t>Dimension</w:t>
            </w:r>
          </w:p>
        </w:tc>
        <w:tc>
          <w:tcPr>
            <w:tcW w:w="3229"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528"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programme's synthesis can now be stated with each claim at its evidential strength. It observed failure-induced disengagement (Stages 1 and 2). It interprets the escalation into abandonment as verdict-driven - an interpretation corroborated in clinical practice. It demonstrated that removing the clinical frame restores acceptance (Stage 3), with the isolation of the zero-failure element assigned to the pre-registered Stage 3B. It hypothesises - supported by the learning literature and by behavioural precursors within the study windows - that sustained, adaptively calibrated, failure-protected practice is the pathway by which measurement-bearing technology becomes a learning tool older adults live with. And it proposes the adaptive-learning framework as the design discipline for that pathway, with AI as the enabling technology that makes calibration individual and scalable - enabling, not essential: the deployed system ran on a deterministic agent, and what AI adds is reach, language and personalisation at population scale. Habit itself, and the framework's mechanism-level claims, are assigned to the longitudinal programme of s8.8. The thesis claims what its evidence supports, specifies what would test the rest, and provides the instrument to do it.</w:t>
      </w:r>
    </w:p>
    <w:p>
      <w:pPr>
        <w:pStyle w:val="Heading1"/>
        <w:pageBreakBefore/>
      </w:pPr>
      <w:r>
        <w:rPr>
          <w:lang w:val="en-US" w:eastAsia="en-US" w:bidi="ar-SA"/>
          <w:color w:val="000000"/>
          <w:szCs w:val="28"/>
        </w:rPr>
        <w:t>References</w:t>
      </w:r>
      <w:bookmarkEnd w:id="166"/>
    </w:p>
    <w:p>
      <w:pPr>
        <w:pStyle w:val="Normal"/>
        <w:jc w:val="both"/>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jc w:val="both"/>
      </w:pPr>
      <w:r>
        <w:t>Baddeley, A., &amp; Wilson, B. A. (1994). When implicit learning fails: Amnesia and the problem of error elimination. Neuropsychologia, 32(1), 53-68.</w:t>
      </w:r>
    </w:p>
    <w:p>
      <w:pPr>
        <w:jc w:val="both"/>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jc w:val="both"/>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jc w:val="both"/>
      </w:pPr>
      <w:r>
        <w:t>Czaja, S. J., Boot, W. R., Charness, N., Rogers, W. A., &amp; Sharit, J. (2018). Improving social support for older adults through technology: Findings from the PRISM randomized controlled trial. The Gerontologist, 58(3), 467-477. https://doi.org/10.1093/geront/gnw249</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jc w:val="both"/>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jc w:val="both"/>
      </w:pPr>
      <w:r>
        <w:t>GrandPad. (n.d.). GrandPad: The tablet for seniors [Product and subscription information]. GrandPad, Inc. https://www.grandpad.net</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jc w:val="both"/>
      </w:pPr>
      <w:r>
        <w:t>Lazar, A., Koehler, C., Tanenbaum, J., &amp; Nguyen, D. H. (2015). Why we use and abandon smart devices. In Proceedings of the 2015 ACM International Joint Conference on Pervasive and Ubiquitous Computing (UbiComp '15) (pp. 635-646). ACM. https://doi.org/10.1145/2750858.2804288</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jc w:val="both"/>
      </w:pPr>
      <w:r>
        <w:t>Liu, X., Cruz Rivera, S., Moher, D., Calvert, M. J., Denniston, A. K., &amp; SPIRIT-AI and CONSORT-AI Working Group. (2020). Reporting guidelines for clinical trials evaluating artificial intelligence interventions: The SPIRIT-AI and CONSORT-AI extensions. Nature Medicine, 26(9), 1364-1374.</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jc w:val="both"/>
      </w:pPr>
      <w:r>
        <w:t>Park, D. C., Lodi-Smith, J., Drew, L., Haber, S., Hebrank, A., Bischof, G. N., &amp; Aamodt, W. (2014). The impact of sustained engagement on cognitive function in older adults: The Synapse Project. Psychological Science, 25(1), 103-112. https://doi.org/10.1177/0956797613499592</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jc w:val="both"/>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jc w:val="both"/>
      </w:pPr>
      <w:r>
        <w:t>Perissinotto, C., Zhang, C., Oseau, T., Balik, D., Sou, C., Burnight, C., &amp; Burnight, K. (2019). Feasibility of a tablet designed for older adults to facilitate telemedicine visits [Conference abstract]. Innovation in Aging, 3(Suppl. 1), S975. https://doi.org/10.1093/geroni/igz038.3534</w:t>
      </w:r>
    </w:p>
    <w:p>
      <w:pPr>
        <w:jc w:val="both"/>
      </w:pPr>
      <w:r>
        <w:t>Phillips, B., &amp; Zhao, H. (1993). Predictors of assistive technology abandonment. Assistive Technology, 5(1), 36-45. https://doi.org/10.1080/10400435.1993.10132205</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jc w:val="both"/>
      </w:pPr>
      <w:r>
        <w:t>Plass, J. L., Homer, B. D., &amp; Kinzer, C. K. (2015). Foundations of game-based learning. Educational Psychologist, 50(4), 258-283.</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jc w:val="both"/>
      </w:pPr>
      <w:r>
        <w:t>Tha, S. H., Hough, K., Bui, N., Dulaney, S., &amp; Perissinotto, C. (2025). The use of age-friendly technology in the care of older adults: Two implementation case studies. Journal of Applied Gerontology. https://doi.org/10.1177/07334648251343513</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jc w:val="both"/>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jc w:val="both"/>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szCs w:val="26"/>
          <w:lang w:val="en-US" w:eastAsia="en-US" w:bidi="ar-SA"/>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trPr>
        <w:tc>
          <w:tcPr>
            <w:tcW w:w="1989" w:type="dxa"/>
          </w:tcPr>
          <w:p>
            <w:pPr>
              <w:pStyle w:val="Normal"/>
            </w:pPr>
            <w:r>
              <w:rPr>
                <w:b/>
                <w:sz w:val="24"/>
                <w:szCs w:val="22"/>
                <w:lang w:val="en-US" w:eastAsia="en-US" w:bidi="ar-SA"/>
                <w:rFonts w:ascii="Times New Roman" w:hAnsi="Times New Roman" w:eastAsia="Times New Roman" w:cs="Times New Roman"/>
              </w:rPr>
              <w:t>Construct</w:t>
            </w:r>
          </w:p>
        </w:tc>
        <w:tc>
          <w:tcPr>
            <w:tcW w:w="6516"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V37 REVIEW COPY: panel integration (3.2, Ch8, H.6-H.8), assess-vs-train scoping (Ch4, 8.7), Stage 3B + learning-traditions positioning (8.8), Ch9 synthesis, family-channel correction, 3 refs, yellow author-input marks + front checklist.</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