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jc w:val="center"/>
      </w:pPr>
      <w:r>
        <w:rPr>
          <w:b/>
          <w:color w:val="1F3A5F"/>
          <w:sz w:val="80"/>
        </w:rPr>
        <w:t>SYNAPEP</w:t>
      </w:r>
    </w:p>
    <w:p>
      <w:pPr>
        <w:jc w:val="center"/>
      </w:pPr>
      <w:r>
        <w:rPr>
          <w:color w:val="555555"/>
          <w:sz w:val="40"/>
        </w:rPr>
        <w:t>Master Investor Dossier</w:t>
      </w:r>
    </w:p>
    <w:p>
      <w:pPr>
        <w:jc w:val="center"/>
      </w:pPr>
      <w:r>
        <w:rPr>
          <w:i/>
          <w:color w:val="555555"/>
          <w:sz w:val="24"/>
        </w:rPr>
        <w:t>AI-Personalised Aesthetic Medical Devices · Korea-anchored, export-led</w:t>
      </w:r>
    </w:p>
    <w:p>
      <w:pPr>
        <w:spacing w:after="600"/>
      </w:pPr>
    </w:p>
    <w:p>
      <w:pPr>
        <w:jc w:val="center"/>
      </w:pPr>
      <w:r>
        <w:rPr>
          <w:i/>
          <w:color w:val="555555"/>
          <w:sz w:val="20"/>
        </w:rPr>
        <w:t>Consolidates the business plan, financial model, multi-market scenarios, valuation, export strategy, diligence scorecard and indicative term sheet into one document. Illustrative — not investment, legal or tax advice.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pStyle w:val="ListNumber"/>
      </w:pPr>
      <w:r>
        <w:rPr>
          <w:sz w:val="22"/>
        </w:rPr>
        <w:t>Business Plan</w:t>
      </w:r>
    </w:p>
    <w:p>
      <w:pPr>
        <w:pStyle w:val="ListNumber"/>
      </w:pPr>
      <w:r>
        <w:rPr>
          <w:sz w:val="22"/>
        </w:rPr>
        <w:t>Financial Model</w:t>
      </w:r>
    </w:p>
    <w:p>
      <w:pPr>
        <w:pStyle w:val="ListNumber"/>
      </w:pPr>
      <w:r>
        <w:rPr>
          <w:sz w:val="22"/>
        </w:rPr>
        <w:t>Multi-Market Revenue Model</w:t>
      </w:r>
    </w:p>
    <w:p>
      <w:pPr>
        <w:pStyle w:val="ListNumber"/>
      </w:pPr>
      <w:r>
        <w:rPr>
          <w:sz w:val="22"/>
        </w:rPr>
        <w:t>Valuation</w:t>
      </w:r>
    </w:p>
    <w:p>
      <w:pPr>
        <w:pStyle w:val="ListNumber"/>
      </w:pPr>
      <w:r>
        <w:rPr>
          <w:sz w:val="22"/>
        </w:rPr>
        <w:t>International Expansion / Export Strategy</w:t>
      </w:r>
    </w:p>
    <w:p>
      <w:pPr>
        <w:pStyle w:val="ListNumber"/>
      </w:pPr>
      <w:r>
        <w:rPr>
          <w:sz w:val="22"/>
        </w:rPr>
        <w:t>Investor Diligence Scorecard</w:t>
      </w:r>
    </w:p>
    <w:p>
      <w:pPr>
        <w:pStyle w:val="ListNumber"/>
      </w:pPr>
      <w:r>
        <w:rPr>
          <w:sz w:val="22"/>
        </w:rPr>
        <w:t>Indicative Term Sheet</w:t>
      </w:r>
    </w:p>
    <w:p>
      <w:r>
        <w:br w:type="page"/>
      </w:r>
    </w:p>
    <w:p>
      <w:pPr>
        <w:spacing w:after="40"/>
        <w:jc w:val="center"/>
      </w:pPr>
      <w:r>
        <w:rPr>
          <w:b/>
          <w:color w:val="2E86C1"/>
          <w:sz w:val="24"/>
        </w:rPr>
        <w:t>PART 1</w:t>
      </w:r>
    </w:p>
    <w:p>
      <w:pPr>
        <w:spacing w:after="200"/>
        <w:jc w:val="center"/>
      </w:pPr>
      <w:r>
        <w:rPr>
          <w:b/>
          <w:color w:val="1F3A5F"/>
          <w:sz w:val="44"/>
        </w:rPr>
        <w:t>Business Plan</w:t>
      </w:r>
    </w:p>
    <w:p>
      <w:pPr>
        <w:spacing w:after="160"/>
        <w:ind w:left="360"/>
      </w:pPr>
      <w:r>
        <w:rPr>
          <w:i/>
          <w:color w:val="555555"/>
          <w:sz w:val="20"/>
        </w:rPr>
        <w:t>Prepared 2026-06-06, grounded in the user's Drive materials (</w:t>
      </w:r>
      <w:r>
        <w:rPr>
          <w:rFonts w:ascii="Consolas" w:hAnsi="Consolas"/>
          <w:i/>
          <w:color w:val="555555"/>
          <w:sz w:val="20"/>
        </w:rPr>
        <w:t>context-from-drive.md</w:t>
      </w:r>
      <w:r>
        <w:rPr>
          <w:i/>
          <w:color w:val="555555"/>
          <w:sz w:val="20"/>
        </w:rPr>
        <w:t>) and market/regulatory research. Educational/illustrative draft for internal planning; not an offer of securities and not investment, legal, or tax advice.</w:t>
      </w:r>
    </w:p>
    <w:p>
      <w:pPr>
        <w:pStyle w:val="Heading2"/>
      </w:pPr>
      <w:r>
        <w:t>1. Executive summary</w:t>
      </w:r>
    </w:p>
    <w:p>
      <w:pPr>
        <w:spacing w:after="120"/>
      </w:pPr>
      <w:r>
        <w:rPr>
          <w:b/>
          <w:sz w:val="21"/>
        </w:rPr>
        <w:t>Synapep</w:t>
      </w:r>
      <w:r>
        <w:rPr>
          <w:sz w:val="21"/>
        </w:rPr>
        <w:t xml:space="preserve"> delivers </w:t>
      </w:r>
      <w:r>
        <w:rPr>
          <w:b/>
          <w:sz w:val="21"/>
        </w:rPr>
        <w:t>AI-personalised regenerative aesthetic treatments</w:t>
      </w:r>
      <w:r>
        <w:rPr>
          <w:sz w:val="21"/>
        </w:rPr>
        <w:t xml:space="preserve">. Physicians use </w:t>
      </w:r>
      <w:r>
        <w:rPr>
          <w:b/>
          <w:sz w:val="21"/>
        </w:rPr>
        <w:t>CodeLife.AI</w:t>
      </w:r>
      <w:r>
        <w:rPr>
          <w:sz w:val="21"/>
        </w:rPr>
        <w:t xml:space="preserve"> — a proprietary aesthetic-medicine model — to configure peptide-based </w:t>
      </w:r>
      <w:r>
        <w:rPr>
          <w:b/>
          <w:sz w:val="21"/>
        </w:rPr>
        <w:t>microneedling</w:t>
      </w:r>
      <w:r>
        <w:rPr>
          <w:sz w:val="21"/>
        </w:rPr>
        <w:t xml:space="preserve"> and </w:t>
      </w:r>
      <w:r>
        <w:rPr>
          <w:b/>
          <w:sz w:val="21"/>
        </w:rPr>
        <w:t>intramuscular (IM)</w:t>
      </w:r>
      <w:r>
        <w:rPr>
          <w:sz w:val="21"/>
        </w:rPr>
        <w:t xml:space="preserve"> treatment </w:t>
      </w:r>
      <w:r>
        <w:rPr>
          <w:b/>
          <w:sz w:val="21"/>
        </w:rPr>
        <w:t>kits</w:t>
      </w:r>
      <w:r>
        <w:rPr>
          <w:sz w:val="21"/>
        </w:rPr>
        <w:t xml:space="preserve"> to each clinical purpose, delivered as </w:t>
      </w:r>
      <w:r>
        <w:rPr>
          <w:b/>
          <w:sz w:val="21"/>
        </w:rPr>
        <w:t>registered medical devices</w:t>
      </w:r>
      <w:r>
        <w:rPr>
          <w:sz w:val="21"/>
        </w:rPr>
        <w:t xml:space="preserve"> and powered by </w:t>
      </w:r>
      <w:r>
        <w:rPr>
          <w:b/>
          <w:sz w:val="21"/>
        </w:rPr>
        <w:t>IT-EXO®</w:t>
      </w:r>
      <w:r>
        <w:rPr>
          <w:sz w:val="21"/>
        </w:rPr>
        <w:t xml:space="preserve"> (immune-tolerant stealth exosomes) and </w:t>
      </w:r>
      <w:r>
        <w:rPr>
          <w:b/>
          <w:sz w:val="21"/>
        </w:rPr>
        <w:t>SynExo</w:t>
      </w:r>
      <w:r>
        <w:rPr>
          <w:sz w:val="21"/>
        </w:rPr>
        <w:t xml:space="preserve"> (synthetic recombinant exosomes).</w:t>
      </w:r>
    </w:p>
    <w:p>
      <w:pPr>
        <w:spacing w:after="120"/>
      </w:pPr>
      <w:r>
        <w:rPr>
          <w:sz w:val="21"/>
        </w:rPr>
        <w:t xml:space="preserve">The wedge is a </w:t>
      </w:r>
      <w:r>
        <w:rPr>
          <w:b/>
          <w:sz w:val="21"/>
        </w:rPr>
        <w:t>razor-and-blades</w:t>
      </w:r>
      <w:r>
        <w:rPr>
          <w:sz w:val="21"/>
        </w:rPr>
        <w:t xml:space="preserve"> business: an applicator </w:t>
      </w:r>
      <w:r>
        <w:rPr>
          <w:b/>
          <w:sz w:val="21"/>
        </w:rPr>
        <w:t>device</w:t>
      </w:r>
      <w:r>
        <w:rPr>
          <w:sz w:val="21"/>
        </w:rPr>
        <w:t xml:space="preserve"> placed in clinics plus recurring </w:t>
      </w:r>
      <w:r>
        <w:rPr>
          <w:b/>
          <w:sz w:val="21"/>
        </w:rPr>
        <w:t>personalised kits</w:t>
      </w:r>
      <w:r>
        <w:rPr>
          <w:sz w:val="21"/>
        </w:rPr>
        <w:t xml:space="preserve"> (~$30–35 ex-factory). The durable asset is the </w:t>
      </w:r>
      <w:r>
        <w:rPr>
          <w:b/>
          <w:sz w:val="21"/>
        </w:rPr>
        <w:t>AI engine and the data it compounds</w:t>
      </w:r>
      <w:r>
        <w:rPr>
          <w:sz w:val="21"/>
        </w:rPr>
        <w:t xml:space="preserve"> — peptides engineered to </w:t>
      </w:r>
      <w:r>
        <w:rPr>
          <w:b/>
          <w:sz w:val="21"/>
        </w:rPr>
        <w:t>outperform generalised products</w:t>
      </w:r>
      <w:r>
        <w:rPr>
          <w:sz w:val="21"/>
        </w:rPr>
        <w:t xml:space="preserve">, validated by proprietary AI quality/analytics tools. The long-run vision is a </w:t>
      </w:r>
      <w:r>
        <w:rPr>
          <w:b/>
          <w:sz w:val="21"/>
        </w:rPr>
        <w:t>data-science company in aesthetic medicine built on our own large model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b/>
          <w:sz w:val="21"/>
        </w:rPr>
        <w:t>Market:</w:t>
      </w:r>
      <w:r>
        <w:rPr>
          <w:sz w:val="21"/>
        </w:rPr>
        <w:t xml:space="preserve"> medical aesthetics ≈ $17–18.5B (2024), ~10–13% CAGR → ~$56B by 2033; injectables &gt;40% of revenue. Korea is a global aesthetic hub; Hong Kong a gateway.</w:t>
      </w:r>
    </w:p>
    <w:p>
      <w:pPr>
        <w:pStyle w:val="ListBullet"/>
        <w:spacing w:after="60"/>
      </w:pPr>
      <w:r>
        <w:rPr>
          <w:b/>
          <w:sz w:val="21"/>
        </w:rPr>
        <w:t>Regulatory speed:</w:t>
      </w:r>
      <w:r>
        <w:rPr>
          <w:sz w:val="21"/>
        </w:rPr>
        <w:t xml:space="preserve"> Korea MFDS </w:t>
      </w:r>
      <w:r>
        <w:rPr>
          <w:b/>
          <w:sz w:val="21"/>
        </w:rPr>
        <w:t>"modified device"</w:t>
      </w:r>
      <w:r>
        <w:rPr>
          <w:sz w:val="21"/>
        </w:rPr>
        <w:t xml:space="preserve"> path (~3 months), then Hong Kong's light </w:t>
      </w:r>
      <w:r>
        <w:rPr>
          <w:b/>
          <w:sz w:val="21"/>
        </w:rPr>
        <w:t>MDACS</w:t>
      </w:r>
      <w:r>
        <w:rPr>
          <w:sz w:val="21"/>
        </w:rPr>
        <w:t xml:space="preserve"> voluntary listing. Personalised by </w:t>
      </w:r>
      <w:r>
        <w:rPr>
          <w:b/>
          <w:sz w:val="21"/>
        </w:rPr>
        <w:t>purpose, not per individual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b/>
          <w:sz w:val="21"/>
        </w:rPr>
        <w:t>Economics:</w:t>
      </w:r>
      <w:r>
        <w:rPr>
          <w:sz w:val="21"/>
        </w:rPr>
        <w:t xml:space="preserve"> ~65% blended gross margin; revenue $5.3M → $39.9M (2027–2030); EBITDA-positive in the launch year.</w:t>
      </w:r>
    </w:p>
    <w:p>
      <w:pPr>
        <w:pStyle w:val="ListBullet"/>
        <w:spacing w:after="60"/>
      </w:pPr>
      <w:r>
        <w:rPr>
          <w:b/>
          <w:sz w:val="21"/>
        </w:rPr>
        <w:t>Structure:</w:t>
      </w:r>
      <w:r>
        <w:rPr>
          <w:sz w:val="21"/>
        </w:rPr>
        <w:t xml:space="preserve"> JV — </w:t>
      </w:r>
      <w:r>
        <w:rPr>
          <w:b/>
          <w:sz w:val="21"/>
        </w:rPr>
        <w:t>WBI 70%</w:t>
      </w:r>
      <w:r>
        <w:rPr>
          <w:sz w:val="21"/>
        </w:rPr>
        <w:t xml:space="preserve"> (IP + R&amp;D) / </w:t>
      </w:r>
      <w:r>
        <w:rPr>
          <w:b/>
          <w:sz w:val="21"/>
        </w:rPr>
        <w:t>Eyesel 30%</w:t>
      </w:r>
      <w:r>
        <w:rPr>
          <w:sz w:val="21"/>
        </w:rPr>
        <w:t xml:space="preserve"> (manufacturing); valued standalone at ex-factory.</w:t>
      </w:r>
    </w:p>
    <w:p>
      <w:pPr>
        <w:pStyle w:val="ListBullet"/>
        <w:spacing w:after="60"/>
      </w:pPr>
      <w:r>
        <w:rPr>
          <w:b/>
          <w:sz w:val="21"/>
        </w:rPr>
        <w:t>Ask:</w:t>
      </w:r>
      <w:r>
        <w:rPr>
          <w:sz w:val="21"/>
        </w:rPr>
        <w:t xml:space="preserve"> </w:t>
      </w:r>
      <w:r>
        <w:rPr>
          <w:b/>
          <w:sz w:val="21"/>
        </w:rPr>
        <w:t>$1.0M</w:t>
      </w:r>
      <w:r>
        <w:rPr>
          <w:sz w:val="21"/>
        </w:rPr>
        <w:t xml:space="preserve"> at </w:t>
      </w:r>
      <w:r>
        <w:rPr>
          <w:b/>
          <w:sz w:val="21"/>
        </w:rPr>
        <w:t>$5–7M pre-money</w:t>
      </w:r>
      <w:r>
        <w:rPr>
          <w:sz w:val="21"/>
        </w:rPr>
        <w:t xml:space="preserve"> ($6M midpoint → ~14.3%). AI/data thesis underpins a premium institutional-AI </w:t>
      </w:r>
      <w:r>
        <w:rPr>
          <w:b/>
          <w:sz w:val="21"/>
        </w:rPr>
        <w:t>Series A in 2028</w:t>
      </w:r>
      <w:r>
        <w:rPr>
          <w:sz w:val="21"/>
        </w:rPr>
        <w:t>.</w:t>
      </w:r>
    </w:p>
    <w:p>
      <w:pPr>
        <w:pStyle w:val="Heading2"/>
      </w:pPr>
      <w:r>
        <w:t>2. The opportunity &amp; the AI moat</w:t>
      </w:r>
    </w:p>
    <w:p>
      <w:pPr>
        <w:spacing w:after="120"/>
      </w:pPr>
      <w:r>
        <w:rPr>
          <w:sz w:val="21"/>
        </w:rPr>
        <w:t>Three pillars — the AI pillar is the spine; devices/kits are the wedge and the data-capture layer.</w:t>
      </w:r>
    </w:p>
    <w:p>
      <w:pPr>
        <w:pStyle w:val="ListBullet"/>
        <w:spacing w:after="60"/>
      </w:pPr>
      <w:r>
        <w:rPr>
          <w:b/>
          <w:sz w:val="21"/>
        </w:rPr>
        <w:t>Pillar 1 — AI engine &amp; data flywheel (the moat).</w:t>
      </w:r>
      <w:r>
        <w:rPr>
          <w:sz w:val="21"/>
        </w:rPr>
        <w:t xml:space="preserve"> CodeLife.AI designs personalised peptides engineered to </w:t>
      </w:r>
      <w:r>
        <w:rPr>
          <w:b/>
          <w:sz w:val="21"/>
        </w:rPr>
        <w:t>outperform</w:t>
      </w:r>
      <w:r>
        <w:rPr>
          <w:sz w:val="21"/>
        </w:rPr>
        <w:t xml:space="preserve"> generalised, off-the-shelf products (the differentiator is *performance*, not just personalisation). A proprietary </w:t>
      </w:r>
      <w:r>
        <w:rPr>
          <w:b/>
          <w:sz w:val="21"/>
        </w:rPr>
        <w:t>AI quality-&amp;-analytics suite</w:t>
      </w:r>
      <w:r>
        <w:rPr>
          <w:sz w:val="21"/>
        </w:rPr>
        <w:t xml:space="preserve"> validates every batch/variant and improves the model from each treatment — a compounding </w:t>
      </w:r>
      <w:r>
        <w:rPr>
          <w:b/>
          <w:sz w:val="21"/>
        </w:rPr>
        <w:t>data flywheel</w:t>
      </w:r>
      <w:r>
        <w:rPr>
          <w:sz w:val="21"/>
        </w:rPr>
        <w:t xml:space="preserve"> (inputs/outcomes → better model → better peptides). Built as physician decision-support within a cleared envelope to manage SaMD exposure.</w:t>
      </w:r>
    </w:p>
    <w:p>
      <w:pPr>
        <w:pStyle w:val="ListBullet"/>
        <w:spacing w:after="60"/>
      </w:pPr>
      <w:r>
        <w:rPr>
          <w:b/>
          <w:sz w:val="21"/>
        </w:rPr>
        <w:t>Pillar 2 — Devices &amp; kits (revenue wedge + data capture).</w:t>
      </w:r>
      <w:r>
        <w:rPr>
          <w:sz w:val="21"/>
        </w:rPr>
        <w:t xml:space="preserve"> Applicator device + recurring personalised kits, CodeLife-configured within an approved device family.</w:t>
      </w:r>
    </w:p>
    <w:p>
      <w:pPr>
        <w:pStyle w:val="ListBullet"/>
        <w:spacing w:after="60"/>
      </w:pPr>
      <w:r>
        <w:rPr>
          <w:b/>
          <w:sz w:val="21"/>
        </w:rPr>
        <w:t>Pillar 3 — Data monetisation (future upside).</w:t>
      </w:r>
      <w:r>
        <w:rPr>
          <w:sz w:val="21"/>
        </w:rPr>
        <w:t xml:space="preserve"> Licensing the model/insights, physician outcome analytics, R&amp;D partnerships — the institutional-AI-investor story; not in the base P&amp;L.</w:t>
      </w:r>
    </w:p>
    <w:p>
      <w:pPr>
        <w:spacing w:after="120"/>
      </w:pPr>
      <w:r>
        <w:rPr>
          <w:b/>
          <w:sz w:val="21"/>
        </w:rPr>
        <w:t>Positioning:</w:t>
      </w:r>
      <w:r>
        <w:rPr>
          <w:sz w:val="21"/>
        </w:rPr>
        <w:t xml:space="preserve"> a </w:t>
      </w:r>
      <w:r>
        <w:rPr>
          <w:b/>
          <w:sz w:val="21"/>
        </w:rPr>
        <w:t>new adjacent regenerative category</w:t>
      </w:r>
      <w:r>
        <w:rPr>
          <w:sz w:val="21"/>
        </w:rPr>
        <w:t xml:space="preserve"> beside (not replacing) HA fillers and botox — which remain ~$5–6.5B and still growing.</w:t>
      </w:r>
    </w:p>
    <w:p>
      <w:pPr>
        <w:pStyle w:val="Heading2"/>
      </w:pPr>
      <w:r>
        <w:t>3. Technology &amp; IP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Core technology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CodeLife.AI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Proprietary AI platform/model designing peptides &amp; proteins and optimising delivery within an approved envelope; basis of the data-science-company vision.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IT-EXO®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Immune-tolerant layer: surface HLA-G suppresses NK/T-cell attack, so efficacy compounds rather than declines.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SynExo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Synthetic recombinant exosome (salmon-derived) carrying growth-factor/peptide cargo; ~20B particles/mL, 30–150 nm, &gt;95% purity; 12-month stability at −80 °C.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sz w:val="21"/>
        </w:rPr>
        <w:t>Intellectual property</w:t>
      </w:r>
      <w:r>
        <w:rPr>
          <w:sz w:val="21"/>
        </w:rPr>
        <w:t xml:space="preserve"> (held by WBI, contributed into the JV — confirm scope):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Asset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Ref / number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SynExo HLA-G (Korea)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P25E10C1475 (filed 2025-11-11)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Application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SynExo HLA-G (PCT)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X25E10C0258 (2025-11-18)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PCT application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Ion-microneedling device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KR 10-2654857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Registered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Sophora Japonica stem cell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KR 10-1080297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Registered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Safe-Browning shampoo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KR 10-2025-0191060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Application</w:t>
            </w:r>
          </w:p>
        </w:tc>
      </w:tr>
    </w:tbl>
    <w:p>
      <w:pPr>
        <w:spacing w:after="40"/>
      </w:pPr>
    </w:p>
    <w:p>
      <w:pPr>
        <w:spacing w:after="160"/>
        <w:ind w:left="360"/>
      </w:pPr>
      <w:r>
        <w:rPr>
          <w:i/>
          <w:color w:val="555555"/>
          <w:sz w:val="20"/>
        </w:rPr>
        <w:t xml:space="preserve">The registered </w:t>
      </w:r>
      <w:r>
        <w:rPr>
          <w:b/>
          <w:i/>
          <w:color w:val="555555"/>
          <w:sz w:val="20"/>
        </w:rPr>
        <w:t>microneedling device</w:t>
      </w:r>
      <w:r>
        <w:rPr>
          <w:i/>
          <w:color w:val="555555"/>
          <w:sz w:val="20"/>
        </w:rPr>
        <w:t xml:space="preserve"> patent (KR 10-2654857) is a real asset for the device-family fast path.</w:t>
      </w:r>
    </w:p>
    <w:p>
      <w:pPr>
        <w:pStyle w:val="Heading2"/>
      </w:pPr>
      <w:r>
        <w:t>4. Regulatory strategy (Korea → Hong Kong)</w:t>
      </w:r>
    </w:p>
    <w:p>
      <w:pPr>
        <w:pStyle w:val="ListBullet"/>
        <w:spacing w:after="60"/>
      </w:pPr>
      <w:r>
        <w:rPr>
          <w:b/>
          <w:sz w:val="21"/>
        </w:rPr>
        <w:t>Korea (MFDS) first</w:t>
      </w:r>
      <w:r>
        <w:rPr>
          <w:sz w:val="21"/>
        </w:rPr>
        <w:t xml:space="preserve"> — register the </w:t>
      </w:r>
      <w:r>
        <w:rPr>
          <w:b/>
          <w:sz w:val="21"/>
        </w:rPr>
        <w:t>microneedling/topical applicator + kit</w:t>
      </w:r>
      <w:r>
        <w:rPr>
          <w:sz w:val="21"/>
        </w:rPr>
        <w:t xml:space="preserve"> as a device family; CodeLife variants register as </w:t>
      </w:r>
      <w:r>
        <w:rPr>
          <w:b/>
          <w:sz w:val="21"/>
        </w:rPr>
        <w:t>"modified devices"</w:t>
      </w:r>
      <w:r>
        <w:rPr>
          <w:sz w:val="21"/>
        </w:rPr>
        <w:t xml:space="preserve"> (same intended use / mechanism / raw materials) on the fast path (Class I ≈ 15 business days; Class II "modified" via conformity bodies; ~3 months realistic).</w:t>
      </w:r>
    </w:p>
    <w:p>
      <w:pPr>
        <w:pStyle w:val="ListBullet"/>
        <w:spacing w:after="60"/>
      </w:pPr>
      <w:r>
        <w:rPr>
          <w:b/>
          <w:sz w:val="21"/>
        </w:rPr>
        <w:t>Hong Kong next</w:t>
      </w:r>
      <w:r>
        <w:rPr>
          <w:sz w:val="21"/>
        </w:rPr>
        <w:t xml:space="preserve"> — light, voluntary </w:t>
      </w:r>
      <w:r>
        <w:rPr>
          <w:b/>
          <w:sz w:val="21"/>
        </w:rPr>
        <w:t>MDACS</w:t>
      </w:r>
      <w:r>
        <w:rPr>
          <w:sz w:val="21"/>
        </w:rPr>
        <w:t xml:space="preserve"> listing; move while the voluntary window is open.</w:t>
      </w:r>
    </w:p>
    <w:p>
      <w:pPr>
        <w:pStyle w:val="ListBullet"/>
        <w:spacing w:after="60"/>
      </w:pPr>
      <w:r>
        <w:rPr>
          <w:b/>
          <w:sz w:val="21"/>
        </w:rPr>
        <w:t>Keep the fast path valid</w:t>
      </w:r>
      <w:r>
        <w:rPr>
          <w:sz w:val="21"/>
        </w:rPr>
        <w:t xml:space="preserve"> — personalise via </w:t>
      </w:r>
      <w:r>
        <w:rPr>
          <w:b/>
          <w:sz w:val="21"/>
        </w:rPr>
        <w:t>device parameters</w:t>
      </w:r>
      <w:r>
        <w:rPr>
          <w:sz w:val="21"/>
        </w:rPr>
        <w:t xml:space="preserve"> (delivery, depth, concentration within an approved range, pre-cleared option menu), </w:t>
      </w:r>
      <w:r>
        <w:rPr>
          <w:b/>
          <w:sz w:val="21"/>
        </w:rPr>
        <w:t>not</w:t>
      </w:r>
      <w:r>
        <w:rPr>
          <w:sz w:val="21"/>
        </w:rPr>
        <w:t xml:space="preserve"> by changing the active molecule.</w:t>
      </w:r>
    </w:p>
    <w:p>
      <w:pPr>
        <w:pStyle w:val="ListBullet"/>
        <w:spacing w:after="60"/>
      </w:pPr>
      <w:r>
        <w:rPr>
          <w:b/>
          <w:sz w:val="21"/>
        </w:rPr>
        <w:t>Two tracks</w:t>
      </w:r>
      <w:r>
        <w:rPr>
          <w:sz w:val="21"/>
        </w:rPr>
        <w:t xml:space="preserve"> — microneedling/topical carries the device fast-path; the </w:t>
      </w:r>
      <w:r>
        <w:rPr>
          <w:b/>
          <w:sz w:val="21"/>
        </w:rPr>
        <w:t>IM injectable</w:t>
      </w:r>
      <w:r>
        <w:rPr>
          <w:sz w:val="21"/>
        </w:rPr>
        <w:t xml:space="preserve"> line runs on a separate drug/cosmetic pathway (see Risks).</w:t>
      </w:r>
    </w:p>
    <w:p>
      <w:pPr>
        <w:pStyle w:val="Heading2"/>
      </w:pPr>
      <w:r>
        <w:t>5. Go-to-market</w:t>
      </w:r>
    </w:p>
    <w:p>
      <w:pPr>
        <w:pStyle w:val="ListBullet"/>
        <w:spacing w:after="60"/>
      </w:pPr>
      <w:r>
        <w:rPr>
          <w:b/>
          <w:sz w:val="21"/>
        </w:rPr>
        <w:t>Customers:</w:t>
      </w:r>
      <w:r>
        <w:rPr>
          <w:sz w:val="21"/>
        </w:rPr>
        <w:t xml:space="preserve"> aesthetic/derm physicians &amp; clinics — Korea first, then Hong Kong.</w:t>
      </w:r>
    </w:p>
    <w:p>
      <w:pPr>
        <w:pStyle w:val="ListBullet"/>
        <w:spacing w:after="60"/>
      </w:pPr>
      <w:r>
        <w:rPr>
          <w:b/>
          <w:sz w:val="21"/>
        </w:rPr>
        <w:t>Model:</w:t>
      </w:r>
      <w:r>
        <w:rPr>
          <w:sz w:val="21"/>
        </w:rPr>
        <w:t xml:space="preserve"> place/sell the applicator device, then earn recurring kit revenue; CodeLife + outcome data make the relationship sticky.</w:t>
      </w:r>
    </w:p>
    <w:p>
      <w:pPr>
        <w:pStyle w:val="ListBullet"/>
        <w:spacing w:after="60"/>
      </w:pPr>
      <w:r>
        <w:rPr>
          <w:b/>
          <w:sz w:val="21"/>
        </w:rPr>
        <w:t>Build:</w:t>
      </w:r>
      <w:r>
        <w:rPr>
          <w:sz w:val="21"/>
        </w:rPr>
        <w:t xml:space="preserve"> focused clinical/KOL salesforce in two concentrated markets; physician advocates and head-to-head efficacy data drive adoption.</w:t>
      </w:r>
    </w:p>
    <w:p>
      <w:pPr>
        <w:pStyle w:val="Heading2"/>
      </w:pPr>
      <w:r>
        <w:t>6. Operations &amp; timeline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Window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Milestones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Preparation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Jul 2026 – Jan 2027 (6–9 mo)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Device-family registration (Korea), CodeLife + AI-QA tooling, −80 °C cold-chain &amp; fill-finish qualification, hire core + AI team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Launch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Feb 2027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First clinics live in Korea (device + kits)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Ramp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2027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Scale Korea clinics; begin Hong Kong MDACS listing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Scale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2028–2030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150 → 1,000 clinics; build the dataset/own-model; Series A (AI round) in 2028</w:t>
            </w:r>
          </w:p>
        </w:tc>
      </w:tr>
    </w:tbl>
    <w:p>
      <w:pPr>
        <w:spacing w:after="40"/>
      </w:pPr>
    </w:p>
    <w:p>
      <w:pPr>
        <w:pStyle w:val="Heading2"/>
      </w:pPr>
      <w:r>
        <w:t>7. AI &amp; data-science build plan &amp; costs</w:t>
      </w:r>
    </w:p>
    <w:p>
      <w:pPr>
        <w:spacing w:after="120"/>
      </w:pPr>
      <w:r>
        <w:rPr>
          <w:sz w:val="21"/>
        </w:rPr>
        <w:t xml:space="preserve">How Pillar 1 (the moat) actually gets built — and what it costs. All AI/data spend below is a </w:t>
      </w:r>
      <w:r>
        <w:rPr>
          <w:b/>
          <w:sz w:val="21"/>
        </w:rPr>
        <w:t>subset of the OpEx "R&amp;D incl. AI" line</w:t>
      </w:r>
      <w:r>
        <w:rPr>
          <w:sz w:val="21"/>
        </w:rPr>
        <w:t xml:space="preserve"> in </w:t>
      </w:r>
      <w:r>
        <w:rPr>
          <w:rFonts w:ascii="Consolas" w:hAnsi="Consolas"/>
          <w:color w:val="803A00"/>
          <w:sz w:val="21"/>
        </w:rPr>
        <w:t>financial-model.md</w:t>
      </w:r>
      <w:r>
        <w:rPr>
          <w:sz w:val="21"/>
        </w:rPr>
        <w:t>, not additional.</w:t>
      </w:r>
    </w:p>
    <w:p>
      <w:pPr>
        <w:pStyle w:val="Heading3"/>
      </w:pPr>
      <w:r>
        <w:t>7.1 Roadmap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Window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Deliverables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9"/>
              </w:rPr>
              <w:t>1 — Foundation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2026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Data schema + device-side capture pipeline (consented inputs, settings, images); </w:t>
            </w:r>
            <w:r>
              <w:rPr>
                <w:b/>
                <w:sz w:val="19"/>
              </w:rPr>
              <w:t>CodeLife v1</w:t>
            </w:r>
            <w:r>
              <w:rPr>
                <w:sz w:val="19"/>
              </w:rPr>
              <w:t xml:space="preserve"> configuration engine within the approved envelope; </w:t>
            </w:r>
            <w:r>
              <w:rPr>
                <w:b/>
                <w:sz w:val="19"/>
              </w:rPr>
              <w:t>AI-QA tooling</w:t>
            </w:r>
            <w:r>
              <w:rPr>
                <w:sz w:val="19"/>
              </w:rPr>
              <w:t xml:space="preserve"> (batch/variant validation, anomaly detection).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9"/>
              </w:rPr>
              <w:t>2 — Data flywheel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2027–28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Live outcome capture from clinics; supervised models linking formulation/device parameters → outcomes; the </w:t>
            </w:r>
            <w:r>
              <w:rPr>
                <w:b/>
                <w:sz w:val="19"/>
              </w:rPr>
              <w:t>proprietary dataset</w:t>
            </w:r>
            <w:r>
              <w:rPr>
                <w:sz w:val="19"/>
              </w:rPr>
              <w:t xml:space="preserve"> begins compounding; physician dashboards (beta).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9"/>
              </w:rPr>
              <w:t>3 — Own large model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2029–30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 xml:space="preserve">Train a proprietary </w:t>
            </w:r>
            <w:r>
              <w:rPr>
                <w:b/>
                <w:sz w:val="19"/>
              </w:rPr>
              <w:t>aesthetic-medicine model</w:t>
            </w:r>
            <w:r>
              <w:rPr>
                <w:sz w:val="19"/>
              </w:rPr>
              <w:t xml:space="preserve"> on accumulated multimodal data (images + formulations + outcomes); ship physician </w:t>
            </w:r>
            <w:r>
              <w:rPr>
                <w:b/>
                <w:sz w:val="19"/>
              </w:rPr>
              <w:t>outcome-analytics products</w:t>
            </w:r>
            <w:r>
              <w:rPr>
                <w:sz w:val="19"/>
              </w:rPr>
              <w:t xml:space="preserve"> (Pillar 3 upside).</w:t>
            </w:r>
          </w:p>
        </w:tc>
      </w:tr>
    </w:tbl>
    <w:p>
      <w:pPr>
        <w:spacing w:after="40"/>
      </w:pPr>
    </w:p>
    <w:p>
      <w:pPr>
        <w:pStyle w:val="Heading3"/>
      </w:pPr>
      <w:r>
        <w:t>7.2 Team &amp; cost (AI/data subset of OpEx, $000s)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  <w:t>Year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AI/data FTE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Personnel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Compute &amp; data ops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Total AI spend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(Total OpEx)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2026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(700)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2027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700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(2,600)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2028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1,050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1,300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(6,000)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2029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1,600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2,000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(8,200)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2030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2,000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2,600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(10,000)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1"/>
        </w:rPr>
        <w:t xml:space="preserve">Core roles: </w:t>
      </w:r>
      <w:r>
        <w:rPr>
          <w:b/>
          <w:sz w:val="21"/>
        </w:rPr>
        <w:t>ML/AI lead</w:t>
      </w:r>
      <w:r>
        <w:rPr>
          <w:sz w:val="21"/>
        </w:rPr>
        <w:t xml:space="preserve"> (peptide design + model strategy), </w:t>
      </w:r>
      <w:r>
        <w:rPr>
          <w:b/>
          <w:sz w:val="21"/>
        </w:rPr>
        <w:t>data/ML engineers</w:t>
      </w:r>
      <w:r>
        <w:rPr>
          <w:sz w:val="21"/>
        </w:rPr>
        <w:t xml:space="preserve">, </w:t>
      </w:r>
      <w:r>
        <w:rPr>
          <w:b/>
          <w:sz w:val="21"/>
        </w:rPr>
        <w:t>data platform/MLOps</w:t>
      </w:r>
      <w:r>
        <w:rPr>
          <w:sz w:val="21"/>
        </w:rPr>
        <w:t xml:space="preserve">, </w:t>
      </w:r>
      <w:r>
        <w:rPr>
          <w:b/>
          <w:sz w:val="21"/>
        </w:rPr>
        <w:t>clinical-data/annotation</w:t>
      </w:r>
      <w:r>
        <w:rPr>
          <w:sz w:val="21"/>
        </w:rPr>
        <w:t xml:space="preserve">, </w:t>
      </w:r>
      <w:r>
        <w:rPr>
          <w:b/>
          <w:sz w:val="21"/>
        </w:rPr>
        <w:t>regulatory-aware ML</w:t>
      </w:r>
      <w:r>
        <w:rPr>
          <w:sz w:val="21"/>
        </w:rPr>
        <w:t xml:space="preserve"> (SaMD). Recruit the ML/AI lead and a data engineer first (2026); scale annotation and MLOps as clinic data arrives.</w:t>
      </w:r>
    </w:p>
    <w:p>
      <w:pPr>
        <w:pStyle w:val="Heading3"/>
      </w:pPr>
      <w:r>
        <w:t>7.3 Data strategy &amp; moat</w:t>
      </w:r>
    </w:p>
    <w:p>
      <w:pPr>
        <w:pStyle w:val="ListBullet"/>
        <w:spacing w:after="60"/>
      </w:pPr>
      <w:r>
        <w:rPr>
          <w:b/>
          <w:sz w:val="21"/>
        </w:rPr>
        <w:t>Source:</w:t>
      </w:r>
      <w:r>
        <w:rPr>
          <w:sz w:val="21"/>
        </w:rPr>
        <w:t xml:space="preserve"> every CodeLife-configured treatment generates consented inputs, device parameters, and (where permitted) outcome data — captured via the applicator device (the data endpoint).</w:t>
      </w:r>
    </w:p>
    <w:p>
      <w:pPr>
        <w:pStyle w:val="ListBullet"/>
        <w:spacing w:after="60"/>
      </w:pPr>
      <w:r>
        <w:rPr>
          <w:b/>
          <w:sz w:val="21"/>
        </w:rPr>
        <w:t>Compounding:</w:t>
      </w:r>
      <w:r>
        <w:rPr>
          <w:sz w:val="21"/>
        </w:rPr>
        <w:t xml:space="preserve"> more treatments → better models → peptides that outperform generalised products → more clinics → more data. The dataset, not the code, is the durable moat.</w:t>
      </w:r>
    </w:p>
    <w:p>
      <w:pPr>
        <w:pStyle w:val="ListBullet"/>
        <w:spacing w:after="60"/>
      </w:pPr>
      <w:r>
        <w:rPr>
          <w:b/>
          <w:sz w:val="21"/>
        </w:rPr>
        <w:t>Governance:</w:t>
      </w:r>
      <w:r>
        <w:rPr>
          <w:sz w:val="21"/>
        </w:rPr>
        <w:t xml:space="preserve"> consent, de-identification, and Korea/HK data-protection compliance; SaMD-aware model controls with the physician in the loop.</w:t>
      </w:r>
    </w:p>
    <w:p>
      <w:pPr>
        <w:pStyle w:val="ListBullet"/>
        <w:spacing w:after="60"/>
      </w:pPr>
      <w:r>
        <w:rPr>
          <w:b/>
          <w:sz w:val="21"/>
        </w:rPr>
        <w:t>Investor read:</w:t>
      </w:r>
      <w:r>
        <w:rPr>
          <w:sz w:val="21"/>
        </w:rPr>
        <w:t xml:space="preserve"> this is the line item that converts Synapep from a medtech story (Lens A) into an AI/data-company story (Lens B) and justifies institutional-AI capital.</w:t>
      </w:r>
    </w:p>
    <w:p>
      <w:pPr>
        <w:pStyle w:val="Heading2"/>
      </w:pPr>
      <w:r>
        <w:t>8. Corporate structure &amp; funding</w:t>
      </w:r>
    </w:p>
    <w:p>
      <w:pPr>
        <w:spacing w:after="120"/>
      </w:pPr>
      <w:r>
        <w:rPr>
          <w:sz w:val="21"/>
        </w:rPr>
        <w:t xml:space="preserve">JV — </w:t>
      </w:r>
      <w:r>
        <w:rPr>
          <w:b/>
          <w:sz w:val="21"/>
        </w:rPr>
        <w:t>WBI 70%</w:t>
      </w:r>
      <w:r>
        <w:rPr>
          <w:sz w:val="21"/>
        </w:rPr>
        <w:t xml:space="preserve"> (contributes CodeLife.AI / IT-EXO / SynExo IP + R&amp;D) / </w:t>
      </w:r>
      <w:r>
        <w:rPr>
          <w:b/>
          <w:sz w:val="21"/>
        </w:rPr>
        <w:t>Eyesel 30%</w:t>
      </w:r>
      <w:r>
        <w:rPr>
          <w:sz w:val="21"/>
        </w:rPr>
        <w:t xml:space="preserve"> (the manufacturing entity). Synapep owns/co-owns the platform and controls production. Distributors (e.g. NeuNova USA) are separate, non-consolidated, arm's-length customers.</w:t>
      </w:r>
    </w:p>
    <w:p>
      <w:pPr>
        <w:spacing w:after="120"/>
      </w:pPr>
      <w:r>
        <w:rPr>
          <w:b/>
          <w:sz w:val="21"/>
        </w:rPr>
        <w:t>Use of $1.0M kickoff:</w:t>
      </w:r>
      <w:r>
        <w:rPr>
          <w:sz w:val="21"/>
        </w:rPr>
        <w:t xml:space="preserve"> $500K Synapep Lab/registration + $600K running capital through launch. Likely </w:t>
      </w:r>
      <w:r>
        <w:rPr>
          <w:b/>
          <w:sz w:val="21"/>
        </w:rPr>
        <w:t>Series A in 2028</w:t>
      </w:r>
      <w:r>
        <w:rPr>
          <w:sz w:val="21"/>
        </w:rPr>
        <w:t xml:space="preserve"> to fund multi-market registration, clinical salesforce, and the AI/data team. See </w:t>
      </w:r>
      <w:r>
        <w:rPr>
          <w:rFonts w:ascii="Consolas" w:hAnsi="Consolas"/>
          <w:color w:val="803A00"/>
          <w:sz w:val="21"/>
        </w:rPr>
        <w:t>valuation.md</w:t>
      </w:r>
      <w:r>
        <w:rPr>
          <w:sz w:val="21"/>
        </w:rPr>
        <w:t xml:space="preserve"> (two lenses; $5–7M pre, $6M midpoint).</w:t>
      </w:r>
    </w:p>
    <w:p>
      <w:pPr>
        <w:pStyle w:val="Heading2"/>
      </w:pPr>
      <w:r>
        <w:t>9. Team (template — to complete)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Background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Founder / CEO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Regulatory / QA (devices, Korea/HK)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AI / data-science lead (CodeLife, own model)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Peptide / exosome science (IT-EXO/SynExo)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Clinical / commercial (physician channel)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____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Advisors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_e.g. Prof. Cho Hangrae (Pres., Korean Dermatological Society); Dr. Sidney Tam_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derm/clinical &amp; exosome science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advisor</w:t>
            </w:r>
          </w:p>
        </w:tc>
      </w:tr>
    </w:tbl>
    <w:p>
      <w:pPr>
        <w:spacing w:after="40"/>
      </w:pPr>
    </w:p>
    <w:p>
      <w:pPr>
        <w:pStyle w:val="Heading2"/>
      </w:pPr>
      <w:r>
        <w:t>10. Key risks</w:t>
      </w:r>
    </w:p>
    <w:p>
      <w:pPr>
        <w:pStyle w:val="ListNumber"/>
        <w:spacing w:after="60"/>
      </w:pPr>
      <w:r>
        <w:rPr>
          <w:b/>
          <w:sz w:val="21"/>
        </w:rPr>
        <w:t>Device-vs-drug classification (#1).</w:t>
      </w:r>
      <w:r>
        <w:rPr>
          <w:sz w:val="21"/>
        </w:rPr>
        <w:t xml:space="preserve"> An </w:t>
      </w:r>
      <w:r>
        <w:rPr>
          <w:b/>
          <w:sz w:val="21"/>
        </w:rPr>
        <w:t>IM injectable</w:t>
      </w:r>
      <w:r>
        <w:rPr>
          <w:sz w:val="21"/>
        </w:rPr>
        <w:t xml:space="preserve"> peptide is very likely a </w:t>
      </w:r>
      <w:r>
        <w:rPr>
          <w:b/>
          <w:sz w:val="21"/>
        </w:rPr>
        <w:t>drug/biologic</w:t>
      </w:r>
      <w:r>
        <w:rPr>
          <w:sz w:val="21"/>
        </w:rPr>
        <w:t>, not a device. Lead the device fast-path with the microneedling/topical line + applicator system; run the IM/injectable line on a separate drug/cosmetic track.</w:t>
      </w:r>
    </w:p>
    <w:p>
      <w:pPr>
        <w:pStyle w:val="ListNumber"/>
        <w:spacing w:after="60"/>
      </w:pPr>
      <w:r>
        <w:rPr>
          <w:b/>
          <w:sz w:val="21"/>
        </w:rPr>
        <w:t>"Same raw materials" constraint.</w:t>
      </w:r>
      <w:r>
        <w:rPr>
          <w:sz w:val="21"/>
        </w:rPr>
        <w:t xml:space="preserve"> Personalise via device parameters within an approved envelope; changing the active molecule can break the fast path.</w:t>
      </w:r>
    </w:p>
    <w:p>
      <w:pPr>
        <w:pStyle w:val="ListNumber"/>
        <w:spacing w:after="60"/>
      </w:pPr>
      <w:r>
        <w:rPr>
          <w:b/>
          <w:sz w:val="21"/>
        </w:rPr>
        <w:t>AI substantiation.</w:t>
      </w:r>
      <w:r>
        <w:rPr>
          <w:sz w:val="21"/>
        </w:rPr>
        <w:t xml:space="preserve"> "Outperforms generalised products" and the data-moat need </w:t>
      </w:r>
      <w:r>
        <w:rPr>
          <w:b/>
          <w:sz w:val="21"/>
        </w:rPr>
        <w:t>head-to-head efficacy evidence</w:t>
      </w:r>
      <w:r>
        <w:rPr>
          <w:sz w:val="21"/>
        </w:rPr>
        <w:t xml:space="preserve"> and a real ML capability/dataset behind the "own large model."</w:t>
      </w:r>
    </w:p>
    <w:p>
      <w:pPr>
        <w:pStyle w:val="ListNumber"/>
        <w:spacing w:after="60"/>
      </w:pPr>
      <w:r>
        <w:rPr>
          <w:b/>
          <w:sz w:val="21"/>
        </w:rPr>
        <w:t>SaMD exposure.</w:t>
      </w:r>
      <w:r>
        <w:rPr>
          <w:sz w:val="21"/>
        </w:rPr>
        <w:t xml:space="preserve"> CodeLife may be regulated as Software as a Medical Device; keep the physician in the loop within a cleared envelope.</w:t>
      </w:r>
    </w:p>
    <w:p>
      <w:pPr>
        <w:pStyle w:val="ListNumber"/>
        <w:spacing w:after="60"/>
      </w:pPr>
      <w:r>
        <w:rPr>
          <w:b/>
          <w:sz w:val="21"/>
        </w:rPr>
        <w:t>Incumbents.</w:t>
      </w:r>
      <w:r>
        <w:rPr>
          <w:sz w:val="21"/>
        </w:rPr>
        <w:t xml:space="preserve"> HA/botox are not displaced — position as a new adjacent category.</w:t>
      </w:r>
    </w:p>
    <w:p>
      <w:pPr>
        <w:pStyle w:val="ListNumber"/>
        <w:spacing w:after="60"/>
      </w:pPr>
      <w:r>
        <w:rPr>
          <w:b/>
          <w:sz w:val="21"/>
        </w:rPr>
        <w:t>Capital adequacy.</w:t>
      </w:r>
      <w:r>
        <w:rPr>
          <w:sz w:val="21"/>
        </w:rPr>
        <w:t xml:space="preserve"> $1M kicks off; scaling likely needs a 2028 Series A.</w:t>
      </w:r>
    </w:p>
    <w:p>
      <w:pPr>
        <w:pStyle w:val="Heading2"/>
      </w:pPr>
      <w:r>
        <w:t>11. What would make this investment-grade</w:t>
      </w:r>
    </w:p>
    <w:p>
      <w:pPr>
        <w:pStyle w:val="ListNumber"/>
        <w:spacing w:after="60"/>
      </w:pPr>
      <w:r>
        <w:rPr>
          <w:sz w:val="21"/>
        </w:rPr>
        <w:t>Confirm the regulatory split (microneedling/topical device fast-path vs IM injectable drug).</w:t>
      </w:r>
    </w:p>
    <w:p>
      <w:pPr>
        <w:pStyle w:val="ListNumber"/>
        <w:spacing w:after="60"/>
      </w:pPr>
      <w:r>
        <w:rPr>
          <w:sz w:val="21"/>
        </w:rPr>
        <w:t>Produce head-to-head efficacy data and define the AI/data team + dataset plan behind the "own large model."</w:t>
      </w:r>
    </w:p>
    <w:p>
      <w:pPr>
        <w:pStyle w:val="ListNumber"/>
        <w:spacing w:after="60"/>
      </w:pPr>
      <w:r>
        <w:rPr>
          <w:sz w:val="21"/>
        </w:rPr>
        <w:t>Document the IP-contribution scope WBI assigns into the JV.</w:t>
      </w:r>
    </w:p>
    <w:p>
      <w:pPr>
        <w:pStyle w:val="ListNumber"/>
        <w:spacing w:after="60"/>
      </w:pPr>
      <w:r>
        <w:rPr>
          <w:sz w:val="21"/>
        </w:rPr>
        <w:t>Confirm device ASP/GM, clinic ramp, kits/clinic/month; name the core team and an anchor-clinic pipeline in Korea/HK.</w:t>
      </w:r>
    </w:p>
    <w:p>
      <w:pPr>
        <w:pStyle w:val="Heading2"/>
      </w:pPr>
      <w:r>
        <w:t>12. What a technical investor will challenge (and our answer)</w:t>
      </w:r>
    </w:p>
    <w:p>
      <w:pPr>
        <w:spacing w:after="120"/>
      </w:pPr>
      <w:r>
        <w:rPr>
          <w:sz w:val="21"/>
        </w:rPr>
        <w:t>A chemical-engineer investor entering aesthetics will press these. Pre-empting them: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Challenge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Our answer / action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Cold chain &amp; COGS are asserted, not built.</w:t>
            </w:r>
            <w:r>
              <w:rPr>
                <w:sz w:val="19"/>
              </w:rPr>
              <w:t xml:space="preserve"> −80 °C / 12-mo stability is unshippable to typical clinics; COGS is top-down (20%×EXW + $4.50) with no BOM and no cold-chain line.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Resolve stability to 2–8 °C / ambient</w:t>
            </w:r>
            <w:r>
              <w:rPr>
                <w:sz w:val="19"/>
              </w:rPr>
              <w:t xml:space="preserve"> (or cost the cold chain explicitly) and publish a </w:t>
            </w:r>
            <w:r>
              <w:rPr>
                <w:b/>
                <w:sz w:val="19"/>
              </w:rPr>
              <w:t>bottom-up BOM</w:t>
            </w:r>
            <w:r>
              <w:rPr>
                <w:sz w:val="19"/>
              </w:rPr>
              <w:t xml:space="preserve"> incl. per-batch QC-release cost. Treat early-year margins as lower until scale.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Personalisation vs "same raw materials" is a contradiction.</w:t>
            </w:r>
            <w:r>
              <w:rPr>
                <w:sz w:val="19"/>
              </w:rPr>
              <w:t xml:space="preserve"> Meaningful AI personalisation that changes the active breaks the device fast-path and the batch-economics.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 xml:space="preserve">Personalisation lives in a </w:t>
            </w:r>
            <w:r>
              <w:rPr>
                <w:b/>
                <w:sz w:val="19"/>
              </w:rPr>
              <w:t>pre-cleared configuration envelope</w:t>
            </w:r>
            <w:r>
              <w:rPr>
                <w:sz w:val="19"/>
              </w:rPr>
              <w:t xml:space="preserve"> (delivery, depth, concentration within range, option menu) — documented and defended as *both* regulatorily clean *and* clinically differentiating.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Exosomes are a regulatory/characterisation minefield.</w:t>
            </w:r>
            <w:r>
              <w:rPr>
                <w:sz w:val="19"/>
              </w:rPr>
              <w:t xml:space="preserve"> Claims are restricted (Korea ad ban; EU human-exosome ban; US FDA warnings).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 xml:space="preserve">Lead with </w:t>
            </w:r>
            <w:r>
              <w:rPr>
                <w:b/>
                <w:sz w:val="19"/>
              </w:rPr>
              <w:t>non-human (salmon/synthetic) origin</w:t>
            </w:r>
            <w:r>
              <w:rPr>
                <w:sz w:val="19"/>
              </w:rPr>
              <w:t xml:space="preserve">; provide </w:t>
            </w:r>
            <w:r>
              <w:rPr>
                <w:b/>
                <w:sz w:val="19"/>
              </w:rPr>
              <w:t>COA, particle/potency/purity/stability/batch-repeatability</w:t>
            </w:r>
            <w:r>
              <w:rPr>
                <w:sz w:val="19"/>
              </w:rPr>
              <w:t>; market on function, not unsubstantiated medical claims.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"$25M exposure" is weasel-phrased.</w:t>
            </w:r>
            <w:r>
              <w:rPr>
                <w:sz w:val="19"/>
              </w:rPr>
              <w:t xml:space="preserve"> It aggregates affiliated entities and may not be *this* product's demand.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 xml:space="preserve">Re-present at </w:t>
            </w:r>
            <w:r>
              <w:rPr>
                <w:b/>
                <w:sz w:val="19"/>
              </w:rPr>
              <w:t>entity/product/channel level</w:t>
            </w:r>
            <w:r>
              <w:rPr>
                <w:sz w:val="19"/>
              </w:rPr>
              <w:t xml:space="preserve"> with reorder data in the validation pack; weight it as market signal, not Synapep revenue.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"Own large model" overreaches.</w:t>
            </w:r>
            <w:r>
              <w:rPr>
                <w:sz w:val="19"/>
              </w:rPr>
              <w:t xml:space="preserve"> A 2→12 FTE team can't build a foundation model; aesthetic outcomes are noisy.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 xml:space="preserve">Reframe as a </w:t>
            </w:r>
            <w:r>
              <w:rPr>
                <w:b/>
                <w:sz w:val="19"/>
              </w:rPr>
              <w:t>structured, consented outcomes dataset + decision-support analytics</w:t>
            </w:r>
            <w:r>
              <w:rPr>
                <w:sz w:val="19"/>
              </w:rPr>
              <w:t xml:space="preserve">; the moat is the data + </w:t>
            </w:r>
            <w:r>
              <w:rPr>
                <w:b/>
                <w:sz w:val="19"/>
              </w:rPr>
              <w:t>clinic data-rights clauses</w:t>
            </w:r>
            <w:r>
              <w:rPr>
                <w:sz w:val="19"/>
              </w:rPr>
              <w:t>, not a "large model."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Clinic ramp is aggressive.</w:t>
            </w:r>
            <w:r>
              <w:rPr>
                <w:sz w:val="19"/>
              </w:rPr>
              <w:t xml:space="preserve"> 0→150 clinics in year one; the plan itself calls 150 "upside."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 xml:space="preserve">Rebuild the base case off </w:t>
            </w:r>
            <w:r>
              <w:rPr>
                <w:b/>
                <w:sz w:val="19"/>
              </w:rPr>
              <w:t>anchor-clinic actuals</w:t>
            </w:r>
            <w:r>
              <w:rPr>
                <w:sz w:val="19"/>
              </w:rPr>
              <w:t xml:space="preserve"> (real kits/clinic/month + reorder cohorts) before scaling capital.</w:t>
            </w:r>
          </w:p>
        </w:tc>
      </w:tr>
    </w:tbl>
    <w:p>
      <w:pPr>
        <w:spacing w:after="40"/>
      </w:pPr>
    </w:p>
    <w:p>
      <w:pPr>
        <w:pStyle w:val="Heading2"/>
      </w:pPr>
      <w:r>
        <w:t>13. International expansion (KFDA as an export springboard)</w:t>
      </w:r>
    </w:p>
    <w:p>
      <w:pPr>
        <w:spacing w:after="120"/>
      </w:pPr>
      <w:r>
        <w:rPr>
          <w:sz w:val="21"/>
        </w:rPr>
        <w:t xml:space="preserve">Synapep is </w:t>
      </w:r>
      <w:r>
        <w:rPr>
          <w:b/>
          <w:sz w:val="21"/>
        </w:rPr>
        <w:t>not a Korea-only play</w:t>
      </w:r>
      <w:r>
        <w:rPr>
          <w:sz w:val="21"/>
        </w:rPr>
        <w:t xml:space="preserve">: a Korean MFDS registration anchors a </w:t>
      </w:r>
      <w:r>
        <w:rPr>
          <w:b/>
          <w:sz w:val="21"/>
        </w:rPr>
        <w:t>reliance-led export</w:t>
      </w:r>
      <w:r>
        <w:rPr>
          <w:sz w:val="21"/>
        </w:rPr>
        <w:t xml:space="preserve"> strategy. Full detail in </w:t>
      </w:r>
      <w:r>
        <w:rPr>
          <w:rFonts w:ascii="Consolas" w:hAnsi="Consolas"/>
          <w:color w:val="803A00"/>
          <w:sz w:val="21"/>
        </w:rPr>
        <w:t>export-strategy.md</w:t>
      </w:r>
      <w:r>
        <w:rPr>
          <w:sz w:val="21"/>
        </w:rPr>
        <w:t xml:space="preserve">. Two-speed thesis — the </w:t>
      </w:r>
      <w:r>
        <w:rPr>
          <w:b/>
          <w:sz w:val="21"/>
        </w:rPr>
        <w:t>applicator device</w:t>
      </w:r>
      <w:r>
        <w:rPr>
          <w:sz w:val="21"/>
        </w:rPr>
        <w:t xml:space="preserve"> travels widely on the Korean technical file; the </w:t>
      </w:r>
      <w:r>
        <w:rPr>
          <w:b/>
          <w:sz w:val="21"/>
        </w:rPr>
        <w:t>peptide/exosome kit</w:t>
      </w:r>
      <w:r>
        <w:rPr>
          <w:sz w:val="21"/>
        </w:rPr>
        <w:t xml:space="preserve"> is wrapped </w:t>
      </w:r>
      <w:r>
        <w:rPr>
          <w:b/>
          <w:sz w:val="21"/>
        </w:rPr>
        <w:t>per market</w:t>
      </w:r>
      <w:r>
        <w:rPr>
          <w:sz w:val="21"/>
        </w:rPr>
        <w:t xml:space="preserve"> (cosmetic vs device vs drug), leaning on </w:t>
      </w:r>
      <w:r>
        <w:rPr>
          <w:b/>
          <w:sz w:val="21"/>
        </w:rPr>
        <w:t>salmon/synthetic origin</w:t>
      </w:r>
      <w:r>
        <w:rPr>
          <w:sz w:val="21"/>
        </w:rPr>
        <w:t xml:space="preserve"> and strict claim discipline.</w:t>
      </w:r>
    </w:p>
    <w:p>
      <w:pPr>
        <w:pStyle w:val="ListBullet"/>
        <w:spacing w:after="60"/>
      </w:pPr>
      <w:r>
        <w:rPr>
          <w:b/>
          <w:sz w:val="21"/>
        </w:rPr>
        <w:t>Tier 1 — ASEAN + Hong Kong (fastest):</w:t>
      </w:r>
      <w:r>
        <w:rPr>
          <w:sz w:val="21"/>
        </w:rPr>
        <w:t xml:space="preserve"> Hong Kong MDACS </w:t>
      </w:r>
      <w:r>
        <w:rPr>
          <w:b/>
          <w:sz w:val="21"/>
        </w:rPr>
        <w:t>recognises Korea MFDS as a reference regulator</w:t>
      </w:r>
      <w:r>
        <w:rPr>
          <w:sz w:val="21"/>
        </w:rPr>
        <w:t xml:space="preserve"> (pair Korea + Singapore for the ≥2-reference expedited route); </w:t>
      </w:r>
      <w:r>
        <w:rPr>
          <w:b/>
          <w:sz w:val="21"/>
        </w:rPr>
        <w:t>Vietnam</w:t>
      </w:r>
      <w:r>
        <w:rPr>
          <w:sz w:val="21"/>
        </w:rPr>
        <w:t xml:space="preserve"> accepts MFDS certifications; </w:t>
      </w:r>
      <w:r>
        <w:rPr>
          <w:b/>
          <w:sz w:val="21"/>
        </w:rPr>
        <w:t>Singapore HSA</w:t>
      </w:r>
      <w:r>
        <w:rPr>
          <w:sz w:val="21"/>
        </w:rPr>
        <w:t xml:space="preserve"> is the gateway; one </w:t>
      </w:r>
      <w:r>
        <w:rPr>
          <w:b/>
          <w:sz w:val="21"/>
        </w:rPr>
        <w:t>ASEAN AMDD/CSDT</w:t>
      </w:r>
      <w:r>
        <w:rPr>
          <w:sz w:val="21"/>
        </w:rPr>
        <w:t xml:space="preserve"> dossier cascades to Thailand, Malaysia, Indonesia, Philippines.</w:t>
      </w:r>
    </w:p>
    <w:p>
      <w:pPr>
        <w:pStyle w:val="ListBullet"/>
        <w:spacing w:after="60"/>
      </w:pPr>
      <w:r>
        <w:rPr>
          <w:b/>
          <w:sz w:val="21"/>
        </w:rPr>
        <w:t>Tier 2 — GCC + Greater China:</w:t>
      </w:r>
      <w:r>
        <w:rPr>
          <w:sz w:val="21"/>
        </w:rPr>
        <w:t xml:space="preserve"> </w:t>
      </w:r>
      <w:r>
        <w:rPr>
          <w:b/>
          <w:sz w:val="21"/>
        </w:rPr>
        <w:t>Saudi SFDA</w:t>
      </w:r>
      <w:r>
        <w:rPr>
          <w:sz w:val="21"/>
        </w:rPr>
        <w:t xml:space="preserve"> (GCC regional reference) + </w:t>
      </w:r>
      <w:r>
        <w:rPr>
          <w:b/>
          <w:sz w:val="21"/>
        </w:rPr>
        <w:t>UAE MOHAP</w:t>
      </w:r>
      <w:r>
        <w:rPr>
          <w:sz w:val="21"/>
        </w:rPr>
        <w:t xml:space="preserve">; </w:t>
      </w:r>
      <w:r>
        <w:rPr>
          <w:b/>
          <w:sz w:val="21"/>
        </w:rPr>
        <w:t>Taiwan TFDA</w:t>
      </w:r>
      <w:r>
        <w:rPr>
          <w:sz w:val="21"/>
        </w:rPr>
        <w:t xml:space="preserve"> (accepts Korean data); </w:t>
      </w:r>
      <w:r>
        <w:rPr>
          <w:b/>
          <w:sz w:val="21"/>
        </w:rPr>
        <w:t>China NMPA</w:t>
      </w:r>
      <w:r>
        <w:rPr>
          <w:sz w:val="21"/>
        </w:rPr>
        <w:t xml:space="preserve"> via </w:t>
      </w:r>
      <w:r>
        <w:rPr>
          <w:b/>
          <w:sz w:val="21"/>
        </w:rPr>
        <w:t>Hainan/cross-border</w:t>
      </w:r>
      <w:r>
        <w:rPr>
          <w:sz w:val="21"/>
        </w:rPr>
        <w:t xml:space="preserve"> first.</w:t>
      </w:r>
    </w:p>
    <w:p>
      <w:pPr>
        <w:pStyle w:val="ListBullet"/>
        <w:spacing w:after="60"/>
      </w:pPr>
      <w:r>
        <w:rPr>
          <w:b/>
          <w:sz w:val="21"/>
        </w:rPr>
        <w:t>Precedent:</w:t>
      </w:r>
      <w:r>
        <w:rPr>
          <w:sz w:val="21"/>
        </w:rPr>
        <w:t xml:space="preserve"> Korean salmon-PDRN boosters (e.g., Rejuran) exported across SEA/Middle East/Europe off a Korean approval — a near-exact analog.</w:t>
      </w:r>
    </w:p>
    <w:p>
      <w:pPr>
        <w:pStyle w:val="ListBullet"/>
        <w:spacing w:after="60"/>
      </w:pPr>
      <w:r>
        <w:rPr>
          <w:b/>
          <w:sz w:val="21"/>
        </w:rPr>
        <w:t>Sequence:</w:t>
      </w:r>
      <w:r>
        <w:rPr>
          <w:sz w:val="21"/>
        </w:rPr>
        <w:t xml:space="preserve"> Korea anchor → HK/Vietnam/Singapore (2027–28) → ASEAN + GCC (2028–29) → Taiwan/China (2029–30). Each market needs a </w:t>
      </w:r>
      <w:r>
        <w:rPr>
          <w:b/>
          <w:sz w:val="21"/>
        </w:rPr>
        <w:t>local responsible person/distributor</w:t>
      </w:r>
      <w:r>
        <w:rPr>
          <w:sz w:val="21"/>
        </w:rPr>
        <w:t xml:space="preserve">. </w:t>
      </w:r>
      <w:r>
        <w:rPr>
          <w:b/>
          <w:sz w:val="21"/>
        </w:rPr>
        <w:t>Cold-chain caveat:</w:t>
      </w:r>
      <w:r>
        <w:rPr>
          <w:sz w:val="21"/>
        </w:rPr>
        <w:t xml:space="preserve"> −80 °C cross-border logistics is even harder than domestic — solve stability (see §12) before Wave 1. Effect: the clinic ramp is a </w:t>
      </w:r>
      <w:r>
        <w:rPr>
          <w:b/>
          <w:sz w:val="21"/>
        </w:rPr>
        <w:t>multi-market TAM</w:t>
      </w:r>
      <w:r>
        <w:rPr>
          <w:sz w:val="21"/>
        </w:rPr>
        <w:t>, strengthening Lens A and the Series A.</w:t>
      </w:r>
    </w:p>
    <w:p>
      <w:r>
        <w:br w:type="page"/>
      </w:r>
    </w:p>
    <w:p>
      <w:pPr>
        <w:spacing w:after="40"/>
        <w:jc w:val="center"/>
      </w:pPr>
      <w:r>
        <w:rPr>
          <w:b/>
          <w:color w:val="2E86C1"/>
          <w:sz w:val="24"/>
        </w:rPr>
        <w:t>PART 2</w:t>
      </w:r>
    </w:p>
    <w:p>
      <w:pPr>
        <w:spacing w:after="200"/>
        <w:jc w:val="center"/>
      </w:pPr>
      <w:r>
        <w:rPr>
          <w:b/>
          <w:color w:val="1F3A5F"/>
          <w:sz w:val="44"/>
        </w:rPr>
        <w:t>Financial Model</w:t>
      </w:r>
    </w:p>
    <w:p>
      <w:pPr>
        <w:spacing w:after="160"/>
        <w:ind w:left="360"/>
      </w:pPr>
      <w:r>
        <w:rPr>
          <w:i/>
          <w:color w:val="555555"/>
          <w:sz w:val="20"/>
        </w:rPr>
        <w:t xml:space="preserve">Currency: USD. Model for the </w:t>
      </w:r>
      <w:r>
        <w:rPr>
          <w:b/>
          <w:i/>
          <w:color w:val="555555"/>
          <w:sz w:val="20"/>
        </w:rPr>
        <w:t>AI-personalised aesthetic medical device</w:t>
      </w:r>
      <w:r>
        <w:rPr>
          <w:i/>
          <w:color w:val="555555"/>
          <w:sz w:val="20"/>
        </w:rPr>
        <w:t xml:space="preserve"> business: an applicator </w:t>
      </w:r>
      <w:r>
        <w:rPr>
          <w:b/>
          <w:i/>
          <w:color w:val="555555"/>
          <w:sz w:val="20"/>
        </w:rPr>
        <w:t>device</w:t>
      </w:r>
      <w:r>
        <w:rPr>
          <w:i/>
          <w:color w:val="555555"/>
          <w:sz w:val="20"/>
        </w:rPr>
        <w:t xml:space="preserve"> placed in clinics + recurring </w:t>
      </w:r>
      <w:r>
        <w:rPr>
          <w:b/>
          <w:i/>
          <w:color w:val="555555"/>
          <w:sz w:val="20"/>
        </w:rPr>
        <w:t>personalised treatment kits</w:t>
      </w:r>
      <w:r>
        <w:rPr>
          <w:i/>
          <w:color w:val="555555"/>
          <w:sz w:val="20"/>
        </w:rPr>
        <w:t xml:space="preserve"> (razor-and-blades). Illustrative projections, not guarantees.</w:t>
      </w:r>
    </w:p>
    <w:p>
      <w:pPr>
        <w:pStyle w:val="Heading2"/>
      </w:pPr>
      <w:r>
        <w:t>1. Unit economics</w:t>
      </w:r>
    </w:p>
    <w:p>
      <w:pPr>
        <w:pStyle w:val="Heading3"/>
      </w:pPr>
      <w:r>
        <w:t>1.1 Treatment kit (the recurring "blade")</w:t>
      </w:r>
    </w:p>
    <w:p>
      <w:pPr>
        <w:spacing w:after="120"/>
      </w:pPr>
      <w:r>
        <w:rPr>
          <w:sz w:val="21"/>
        </w:rPr>
        <w:t xml:space="preserve">Kit price ≈ </w:t>
      </w:r>
      <w:r>
        <w:rPr>
          <w:b/>
          <w:sz w:val="21"/>
        </w:rPr>
        <w:t>$30–35 ex-factory</w:t>
      </w:r>
      <w:r>
        <w:rPr>
          <w:sz w:val="21"/>
        </w:rPr>
        <w:t xml:space="preserve"> (base $32.50). Cost formula unchanged from prior model:</w:t>
      </w:r>
    </w:p>
    <w:p>
      <w:pPr>
        <w:spacing w:after="120"/>
      </w:pPr>
      <w:r>
        <w:rPr>
          <w:rFonts w:ascii="Consolas" w:hAnsi="Consolas"/>
          <w:color w:val="803A00"/>
          <w:sz w:val="21"/>
        </w:rPr>
      </w:r>
      <w:r>
        <w:rPr>
          <w:rFonts w:ascii="Consolas" w:hAnsi="Consolas"/>
          <w:color w:val="803A00"/>
          <w:sz w:val="21"/>
        </w:rPr>
        <w:t xml:space="preserve"> COGS / kit = (10% × EXW) + material cost + (10% × EXW) = 20% × EXW + material = $6.50 + $4.50 = $11.00   →   GP $21.50/kit, 66.2% margin </w:t>
      </w:r>
      <w:r>
        <w:rPr>
          <w:rFonts w:ascii="Consolas" w:hAnsi="Consolas"/>
          <w:color w:val="803A00"/>
          <w:sz w:val="21"/>
        </w:rPr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EXW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COGS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GP/kit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GM%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$30.00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10.50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19.50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65.0%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$32.50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11.00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21.50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66.2%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$35.00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11.50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23.50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67.1%</w:t>
            </w:r>
          </w:p>
        </w:tc>
      </w:tr>
    </w:tbl>
    <w:p>
      <w:pPr>
        <w:spacing w:after="40"/>
      </w:pPr>
    </w:p>
    <w:p>
      <w:pPr>
        <w:pStyle w:val="Heading3"/>
      </w:pPr>
      <w:r>
        <w:t>1.2 Applicator device (the "razor")</w:t>
      </w:r>
    </w:p>
    <w:p>
      <w:pPr>
        <w:spacing w:after="120"/>
      </w:pPr>
      <w:r>
        <w:rPr>
          <w:sz w:val="21"/>
        </w:rPr>
        <w:t xml:space="preserve">ASP </w:t>
      </w:r>
      <w:r>
        <w:rPr>
          <w:b/>
          <w:sz w:val="21"/>
        </w:rPr>
        <w:t>$3,000</w:t>
      </w:r>
      <w:r>
        <w:rPr>
          <w:sz w:val="21"/>
        </w:rPr>
        <w:t xml:space="preserve"> per clinic, </w:t>
      </w:r>
      <w:r>
        <w:rPr>
          <w:b/>
          <w:sz w:val="21"/>
        </w:rPr>
        <w:t>40% gross margin</w:t>
      </w:r>
      <w:r>
        <w:rPr>
          <w:sz w:val="21"/>
        </w:rPr>
        <w:t xml:space="preserve"> (GP $1,200/device). Sold/placed once per clinic; low-margin hardware that pulls high-margin recurring kits.</w:t>
      </w:r>
    </w:p>
    <w:p>
      <w:pPr>
        <w:pStyle w:val="Heading2"/>
      </w:pPr>
      <w:r>
        <w:t>2. Volume build (bottom-up by clinics)</w:t>
      </w:r>
    </w:p>
    <w:p>
      <w:pPr>
        <w:spacing w:after="120"/>
      </w:pPr>
      <w:r>
        <w:rPr>
          <w:sz w:val="21"/>
        </w:rPr>
        <w:t>Driver = clinics onboarded (Korea first, then Hong Kong) × ~</w:t>
      </w:r>
      <w:r>
        <w:rPr>
          <w:b/>
          <w:sz w:val="21"/>
        </w:rPr>
        <w:t>100–125 kits/clinic/month</w:t>
      </w:r>
      <w:r>
        <w:rPr>
          <w:sz w:val="21"/>
        </w:rPr>
        <w:t xml:space="preserve"> at maturity. This reconciles to the ~50–100K kits/month capacity.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  <w:t>Driver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2026 prep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Clinics (cumulative)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1,000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New clinics (devices sold)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300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Treatment kits (000s)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148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900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1,200</w:t>
            </w:r>
          </w:p>
        </w:tc>
      </w:tr>
    </w:tbl>
    <w:p>
      <w:pPr>
        <w:spacing w:after="40"/>
      </w:pPr>
    </w:p>
    <w:p>
      <w:pPr>
        <w:pStyle w:val="Heading2"/>
      </w:pPr>
      <w:r>
        <w:t>3. P&amp;L ($ thousands)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  <w:t>Line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2026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Kit revenue ($32.50)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4,810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19,500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29,250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39,000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Device revenue ($3k ASP)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900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900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9"/>
              </w:rPr>
              <w:t>Total revenue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5,260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20,250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30,150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39,900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Kit gross profit (66.2%)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3,182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12,900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19,350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25,800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Device gross profit (40%)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180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360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360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9"/>
              </w:rPr>
              <w:t>Total gross profit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3,362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13,200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19,710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26,160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Blended gross margin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63.9%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65.2%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65.4%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65.6%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 xml:space="preserve">OpEx (clinical sales, reg, R&amp;D incl. AI, G&amp;A) </w:t>
            </w:r>
            <w:r>
              <w:rPr>
                <w:rFonts w:ascii="Consolas" w:hAnsi="Consolas"/>
                <w:color w:val="803A00"/>
                <w:sz w:val="19"/>
              </w:rPr>
              <w:t>[ASSUMPTION]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2,600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6,000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8,200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10,000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9"/>
              </w:rPr>
              <w:t>EBITDA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(700)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762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7,200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11,510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16,160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EBITDA margin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14.5%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35.6%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38.2%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40.5%</w:t>
            </w:r>
          </w:p>
        </w:tc>
      </w:tr>
    </w:tbl>
    <w:p>
      <w:pPr>
        <w:spacing w:after="40"/>
      </w:pPr>
    </w:p>
    <w:p>
      <w:pPr>
        <w:pStyle w:val="Heading2"/>
      </w:pPr>
      <w:r>
        <w:t>4. Scenarios (full-year 2029)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Clinics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EXW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Device GM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Revenue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Gross profit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~500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$30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35%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~$22M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~$14M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9"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$32.50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40%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$30.2M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$19.7M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~850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$35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45%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~$38M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~$25M</w:t>
            </w:r>
          </w:p>
        </w:tc>
      </w:tr>
    </w:tbl>
    <w:p>
      <w:pPr>
        <w:spacing w:after="40"/>
      </w:pPr>
    </w:p>
    <w:p>
      <w:pPr>
        <w:pStyle w:val="Heading2"/>
      </w:pPr>
      <w:r>
        <w:t>5. Upside not in the base case (Pillar 3)</w:t>
      </w:r>
    </w:p>
    <w:p>
      <w:pPr>
        <w:spacing w:after="120"/>
      </w:pPr>
      <w:r>
        <w:rPr>
          <w:sz w:val="21"/>
        </w:rPr>
        <w:t xml:space="preserve">Data monetisation — licensing the CodeLife model/insights, physician outcome analytics, R&amp;D partnerships — is deliberately </w:t>
      </w:r>
      <w:r>
        <w:rPr>
          <w:b/>
          <w:sz w:val="21"/>
        </w:rPr>
        <w:t>excluded</w:t>
      </w:r>
      <w:r>
        <w:rPr>
          <w:sz w:val="21"/>
        </w:rPr>
        <w:t xml:space="preserve"> from the base P&amp;L and treated as valuation upside (see </w:t>
      </w:r>
      <w:r>
        <w:rPr>
          <w:rFonts w:ascii="Consolas" w:hAnsi="Consolas"/>
          <w:color w:val="803A00"/>
          <w:sz w:val="21"/>
        </w:rPr>
        <w:t>valuation.md</w:t>
      </w:r>
      <w:r>
        <w:rPr>
          <w:sz w:val="21"/>
        </w:rPr>
        <w:t>, Lens B).</w:t>
      </w:r>
    </w:p>
    <w:p>
      <w:pPr>
        <w:pStyle w:val="Heading2"/>
      </w:pPr>
      <w:r>
        <w:t>5b. Multi-market view (same product, more markets)</w:t>
      </w:r>
    </w:p>
    <w:p>
      <w:pPr>
        <w:spacing w:after="120"/>
      </w:pPr>
      <w:r>
        <w:rPr>
          <w:sz w:val="21"/>
        </w:rPr>
        <w:t xml:space="preserve">The base P&amp;L above is the </w:t>
      </w:r>
      <w:r>
        <w:rPr>
          <w:b/>
          <w:sz w:val="21"/>
        </w:rPr>
        <w:t>Korea-anchored</w:t>
      </w:r>
      <w:r>
        <w:rPr>
          <w:sz w:val="21"/>
        </w:rPr>
        <w:t xml:space="preserve"> single-line view. A bottom-up </w:t>
      </w:r>
      <w:r>
        <w:rPr>
          <w:b/>
          <w:sz w:val="21"/>
        </w:rPr>
        <w:t>multi-market</w:t>
      </w:r>
      <w:r>
        <w:rPr>
          <w:sz w:val="21"/>
        </w:rPr>
        <w:t xml:space="preserve"> model — the </w:t>
      </w:r>
      <w:r>
        <w:rPr>
          <w:b/>
          <w:sz w:val="21"/>
        </w:rPr>
        <w:t>same</w:t>
      </w:r>
      <w:r>
        <w:rPr>
          <w:sz w:val="21"/>
        </w:rPr>
        <w:t xml:space="preserve"> Korean-developed device + CodeLife kit exported across 12 markets (no per-market product development) — is in </w:t>
      </w:r>
      <w:r>
        <w:rPr>
          <w:i/>
          <w:sz w:val="21"/>
        </w:rPr>
        <w:t>`multimarket-model.md`</w:t>
      </w:r>
      <w:r>
        <w:rPr>
          <w:sz w:val="21"/>
        </w:rPr>
        <w:t xml:space="preserve"> / </w:t>
      </w:r>
      <w:r>
        <w:rPr>
          <w:rFonts w:ascii="Consolas" w:hAnsi="Consolas"/>
          <w:color w:val="803A00"/>
          <w:sz w:val="21"/>
        </w:rPr>
        <w:t>Synapep_MultiMarket_Model.docx</w:t>
      </w:r>
      <w:r>
        <w:rPr>
          <w:sz w:val="21"/>
        </w:rPr>
        <w:t xml:space="preserve">. Because the product (and therefore unit economics) is identical everywhere, the uplift comes purely from </w:t>
      </w:r>
      <w:r>
        <w:rPr>
          <w:b/>
          <w:sz w:val="21"/>
        </w:rPr>
        <w:t>distribution reach</w:t>
      </w:r>
      <w:r>
        <w:rPr>
          <w:sz w:val="21"/>
        </w:rPr>
        <w:t>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  <w:t>2030 metric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Korea-only base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Multi-market: Conservative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Base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Upside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Markets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11 (China excl.)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12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Clinics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~1,000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~1,167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~2,020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~2,626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Revenue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$39.9M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~$35.0M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~$75.1M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~$112.2M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EBITDA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$16.2M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~$10.3M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~$33.0M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~$55.5M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Blended GM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~65.6%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~63.8%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~65.3%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~66.4%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1"/>
        </w:rPr>
        <w:t xml:space="preserve">Scenarios flex only the </w:t>
      </w:r>
      <w:r>
        <w:rPr>
          <w:b/>
          <w:sz w:val="21"/>
        </w:rPr>
        <w:t>clinic ramp, price and utilisation</w:t>
      </w:r>
      <w:r>
        <w:rPr>
          <w:sz w:val="21"/>
        </w:rPr>
        <w:t xml:space="preserve"> — never the product — so margins are stable and R&amp;D is not duplicated. The Conservative case lands near the Korea-only base but across 11 markets (less single-country risk). Per-market clinic ramps are assumptions pending anchor-clinic evidence; kit regulatory class varies by market (see </w:t>
      </w:r>
      <w:r>
        <w:rPr>
          <w:rFonts w:ascii="Consolas" w:hAnsi="Consolas"/>
          <w:color w:val="803A00"/>
          <w:sz w:val="21"/>
        </w:rPr>
        <w:t>export-strategy.md</w:t>
      </w:r>
      <w:r>
        <w:rPr>
          <w:sz w:val="21"/>
        </w:rPr>
        <w:t>).</w:t>
      </w:r>
    </w:p>
    <w:p>
      <w:pPr>
        <w:pStyle w:val="Heading2"/>
      </w:pPr>
      <w:r>
        <w:t>6. Open assumptions to confirm</w:t>
      </w:r>
    </w:p>
    <w:p>
      <w:pPr>
        <w:pStyle w:val="ListBullet"/>
        <w:spacing w:after="60"/>
      </w:pPr>
      <w:r>
        <w:rPr>
          <w:b/>
          <w:sz w:val="21"/>
        </w:rPr>
        <w:t>Device ASP / GM</w:t>
      </w:r>
      <w:r>
        <w:rPr>
          <w:sz w:val="21"/>
        </w:rPr>
        <w:t xml:space="preserve"> ($3,000 / 40%) — confirm vs the chosen applicator.</w:t>
      </w:r>
    </w:p>
    <w:p>
      <w:pPr>
        <w:pStyle w:val="ListBullet"/>
        <w:spacing w:after="60"/>
      </w:pPr>
      <w:r>
        <w:rPr>
          <w:b/>
          <w:sz w:val="21"/>
        </w:rPr>
        <w:t>Clinic ramp</w:t>
      </w:r>
      <w:r>
        <w:rPr>
          <w:sz w:val="21"/>
        </w:rPr>
        <w:t xml:space="preserve"> (150 → 1,000) and </w:t>
      </w:r>
      <w:r>
        <w:rPr>
          <w:b/>
          <w:sz w:val="21"/>
        </w:rPr>
        <w:t>kits/clinic/month</w:t>
      </w:r>
      <w:r>
        <w:rPr>
          <w:sz w:val="21"/>
        </w:rPr>
        <w:t xml:space="preserve"> (~100–125) vs Korea/HK clinic counts.</w:t>
      </w:r>
    </w:p>
    <w:p>
      <w:pPr>
        <w:pStyle w:val="ListBullet"/>
        <w:spacing w:after="60"/>
      </w:pPr>
      <w:r>
        <w:rPr>
          <w:b/>
          <w:sz w:val="21"/>
        </w:rPr>
        <w:t>OpEx</w:t>
      </w:r>
      <w:r>
        <w:rPr>
          <w:sz w:val="21"/>
        </w:rPr>
        <w:t xml:space="preserve"> — needs a real headcount/spend plan, including an </w:t>
      </w:r>
      <w:r>
        <w:rPr>
          <w:b/>
          <w:sz w:val="21"/>
        </w:rPr>
        <w:t>AI/data-science team</w:t>
      </w:r>
      <w:r>
        <w:rPr>
          <w:sz w:val="21"/>
        </w:rPr>
        <w:t xml:space="preserve"> line.</w:t>
      </w:r>
    </w:p>
    <w:p>
      <w:pPr>
        <w:pStyle w:val="ListBullet"/>
        <w:spacing w:after="60"/>
      </w:pPr>
      <w:r>
        <w:rPr>
          <w:b/>
          <w:sz w:val="21"/>
        </w:rPr>
        <w:t>Material cost</w:t>
      </w:r>
      <w:r>
        <w:rPr>
          <w:sz w:val="21"/>
        </w:rPr>
        <w:t xml:space="preserve"> ($4.50/kit) and that cold-chain/fill-finish sit inside the COGS formula.</w:t>
      </w:r>
    </w:p>
    <w:p>
      <w:r>
        <w:br w:type="page"/>
      </w:r>
    </w:p>
    <w:p>
      <w:pPr>
        <w:spacing w:after="40"/>
        <w:jc w:val="center"/>
      </w:pPr>
      <w:r>
        <w:rPr>
          <w:b/>
          <w:color w:val="2E86C1"/>
          <w:sz w:val="24"/>
        </w:rPr>
        <w:t>PART 3</w:t>
      </w:r>
    </w:p>
    <w:p>
      <w:pPr>
        <w:spacing w:after="200"/>
        <w:jc w:val="center"/>
      </w:pPr>
      <w:r>
        <w:rPr>
          <w:b/>
          <w:color w:val="1F3A5F"/>
          <w:sz w:val="44"/>
        </w:rPr>
        <w:t>Multi-Market Revenue Model</w:t>
      </w:r>
    </w:p>
    <w:p>
      <w:pPr>
        <w:spacing w:after="160"/>
        <w:ind w:left="360"/>
      </w:pPr>
      <w:r>
        <w:rPr>
          <w:b/>
          <w:i/>
          <w:color w:val="555555"/>
          <w:sz w:val="20"/>
        </w:rPr>
        <w:t>Same product, more markets.</w:t>
      </w:r>
      <w:r>
        <w:rPr>
          <w:i/>
          <w:color w:val="555555"/>
          <w:sz w:val="20"/>
        </w:rPr>
        <w:t xml:space="preserve"> One product family — the applicator </w:t>
      </w:r>
      <w:r>
        <w:rPr>
          <w:b/>
          <w:i/>
          <w:color w:val="555555"/>
          <w:sz w:val="20"/>
        </w:rPr>
        <w:t>device</w:t>
      </w:r>
      <w:r>
        <w:rPr>
          <w:i/>
          <w:color w:val="555555"/>
          <w:sz w:val="20"/>
        </w:rPr>
        <w:t xml:space="preserve"> + </w:t>
      </w:r>
      <w:r>
        <w:rPr>
          <w:b/>
          <w:i/>
          <w:color w:val="555555"/>
          <w:sz w:val="20"/>
        </w:rPr>
        <w:t>CodeLife-configured peptide/exosome kit</w:t>
      </w:r>
      <w:r>
        <w:rPr>
          <w:i/>
          <w:color w:val="555555"/>
          <w:sz w:val="20"/>
        </w:rPr>
        <w:t xml:space="preserve"> developed for </w:t>
      </w:r>
      <w:r>
        <w:rPr>
          <w:b/>
          <w:i/>
          <w:color w:val="555555"/>
          <w:sz w:val="20"/>
        </w:rPr>
        <w:t>Korean physicians</w:t>
      </w:r>
      <w:r>
        <w:rPr>
          <w:i/>
          <w:color w:val="555555"/>
          <w:sz w:val="20"/>
        </w:rPr>
        <w:t xml:space="preserve"> — is exported </w:t>
      </w:r>
      <w:r>
        <w:rPr>
          <w:b/>
          <w:i/>
          <w:color w:val="555555"/>
          <w:sz w:val="20"/>
        </w:rPr>
        <w:t>as-is</w:t>
      </w:r>
      <w:r>
        <w:rPr>
          <w:i/>
          <w:color w:val="555555"/>
          <w:sz w:val="20"/>
        </w:rPr>
        <w:t xml:space="preserve">. Personalisation is by *physician purpose within the same approved envelope*; there is </w:t>
      </w:r>
      <w:r>
        <w:rPr>
          <w:b/>
          <w:i/>
          <w:color w:val="555555"/>
          <w:sz w:val="20"/>
        </w:rPr>
        <w:t>no per-market product development</w:t>
      </w:r>
      <w:r>
        <w:rPr>
          <w:i/>
          <w:color w:val="555555"/>
          <w:sz w:val="20"/>
        </w:rPr>
        <w:t xml:space="preserve">, so unit economics are </w:t>
      </w:r>
      <w:r>
        <w:rPr>
          <w:b/>
          <w:i/>
          <w:color w:val="555555"/>
          <w:sz w:val="20"/>
        </w:rPr>
        <w:t>identical in every market</w:t>
      </w:r>
      <w:r>
        <w:rPr>
          <w:i/>
          <w:color w:val="555555"/>
          <w:sz w:val="20"/>
        </w:rPr>
        <w:t xml:space="preserve">. Scenarios flex only the </w:t>
      </w:r>
      <w:r>
        <w:rPr>
          <w:b/>
          <w:i/>
          <w:color w:val="555555"/>
          <w:sz w:val="20"/>
        </w:rPr>
        <w:t>clinic ramp, price and utilisation</w:t>
      </w:r>
      <w:r>
        <w:rPr>
          <w:i/>
          <w:color w:val="555555"/>
          <w:sz w:val="20"/>
        </w:rPr>
        <w:t xml:space="preserve"> — not the product. Illustrative; USD.</w:t>
      </w:r>
    </w:p>
    <w:p>
      <w:pPr>
        <w:pStyle w:val="Heading2"/>
      </w:pPr>
      <w:r>
        <w:t>Scenario assumptions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Lever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Conservative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Upside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Markets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11 (China excluded)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Clinic ramp vs base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0.62×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1.00×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1.30×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Kit EXW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$30.00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$32.50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$35.00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Kit gross margin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65.0%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66.2%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67.1%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Device GM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35%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40%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42%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Kits/clinic/yr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1,200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1,400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1,500</w:t>
            </w:r>
          </w:p>
        </w:tc>
      </w:tr>
    </w:tbl>
    <w:p>
      <w:pPr>
        <w:spacing w:after="40"/>
      </w:pPr>
    </w:p>
    <w:p>
      <w:pPr>
        <w:pStyle w:val="Heading2"/>
      </w:pPr>
      <w:r>
        <w:t>Scenario comparison — Total revenue ($000s)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2,058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8,148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19,449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34,992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Base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4,120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16,421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40,299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75,122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6,084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24,463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60,090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112,174</w:t>
            </w:r>
          </w:p>
        </w:tc>
      </w:tr>
    </w:tbl>
    <w:p>
      <w:pPr>
        <w:spacing w:after="40"/>
      </w:pPr>
    </w:p>
    <w:p>
      <w:pPr>
        <w:pStyle w:val="Heading2"/>
      </w:pPr>
      <w:r>
        <w:t>Scenario comparison — EBITDA ($000s)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-1,550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-902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3,299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10,324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Base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-400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3,585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15,145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33,030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428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7,576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26,205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55,483</w:t>
            </w:r>
          </w:p>
        </w:tc>
      </w:tr>
    </w:tbl>
    <w:p>
      <w:pPr>
        <w:spacing w:after="40"/>
      </w:pPr>
    </w:p>
    <w:p>
      <w:pPr>
        <w:pStyle w:val="Heading2"/>
      </w:pPr>
      <w:r>
        <w:t>2030 snapshot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Clinics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Revenue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Blended GM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Gross profit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EBITDA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1,167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$35.0M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63.8%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$22.3M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$10.3M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2,020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$75.1M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65.3%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$49.0M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$33.0M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2,626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$112.2M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66.4%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$74.5M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$55.5M</w:t>
            </w:r>
          </w:p>
        </w:tc>
      </w:tr>
    </w:tbl>
    <w:p>
      <w:pPr>
        <w:spacing w:after="40"/>
      </w:pPr>
    </w:p>
    <w:p>
      <w:pPr>
        <w:pStyle w:val="Heading2"/>
      </w:pPr>
      <w:r>
        <w:t>Base case — cumulative clinics by market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  <w:t>Market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Korea (anchor)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550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Hong Kong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140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Vietnam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110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180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Singapore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85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Thailand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220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Malaysia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130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Indonesia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150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Philippines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Saudi Arabia (SFDA)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140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UAE (MOHAP)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95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Taiwan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90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China (Hainan-&gt;NMPA)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140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9"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160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515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1170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2020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1"/>
        </w:rPr>
        <w:t>*Kits = average active clinics in year × kits/clinic/yr (first-year clinics ramp, approximated by averaging opening/closing counts). Devices = new clinics × $3,000. Distributors are arm's-length and non-consolidated; revenue is booked at ex-factory.*</w:t>
      </w:r>
    </w:p>
    <w:p>
      <w:pPr>
        <w:spacing w:after="120"/>
      </w:pPr>
      <w:r>
        <w:rPr>
          <w:b/>
          <w:sz w:val="21"/>
        </w:rPr>
        <w:t>Read-through:</w:t>
      </w:r>
      <w:r>
        <w:rPr>
          <w:sz w:val="21"/>
        </w:rPr>
        <w:t xml:space="preserve"> the </w:t>
      </w:r>
      <w:r>
        <w:rPr>
          <w:b/>
          <w:sz w:val="21"/>
        </w:rPr>
        <w:t>Conservative</w:t>
      </w:r>
      <w:r>
        <w:rPr>
          <w:sz w:val="21"/>
        </w:rPr>
        <w:t xml:space="preserve"> case (China excluded, slower ramp, lower price) lands near the Korea-only base (~$35M vs $39.9M/2030) but spread across 11 markets (less single-country risk); </w:t>
      </w:r>
      <w:r>
        <w:rPr>
          <w:b/>
          <w:sz w:val="21"/>
        </w:rPr>
        <w:t>Base</w:t>
      </w:r>
      <w:r>
        <w:rPr>
          <w:sz w:val="21"/>
        </w:rPr>
        <w:t xml:space="preserve"> ~doubles the Korea-only base; </w:t>
      </w:r>
      <w:r>
        <w:rPr>
          <w:b/>
          <w:sz w:val="21"/>
        </w:rPr>
        <w:t>Upside</w:t>
      </w:r>
      <w:r>
        <w:rPr>
          <w:sz w:val="21"/>
        </w:rPr>
        <w:t xml:space="preserve"> roughly triples it — all on the </w:t>
      </w:r>
      <w:r>
        <w:rPr>
          <w:b/>
          <w:sz w:val="21"/>
        </w:rPr>
        <w:t>same product</w:t>
      </w:r>
      <w:r>
        <w:rPr>
          <w:sz w:val="21"/>
        </w:rPr>
        <w:t>, so the swing is distribution reach, not R&amp;D.</w:t>
      </w:r>
    </w:p>
    <w:p>
      <w:pPr>
        <w:spacing w:after="120"/>
      </w:pPr>
      <w:r>
        <w:rPr>
          <w:b/>
          <w:sz w:val="21"/>
        </w:rPr>
        <w:t>Caveats:</w:t>
      </w:r>
      <w:r>
        <w:rPr>
          <w:sz w:val="21"/>
        </w:rPr>
        <w:t xml:space="preserve"> per-market ramps are assumptions pending anchor-clinic evidence; the kit's regulatory class varies by market and exosome claims are restricted (see </w:t>
      </w:r>
      <w:r>
        <w:rPr>
          <w:rFonts w:ascii="Consolas" w:hAnsi="Consolas"/>
          <w:color w:val="803A00"/>
          <w:sz w:val="21"/>
        </w:rPr>
        <w:t>export-strategy.md</w:t>
      </w:r>
      <w:r>
        <w:rPr>
          <w:sz w:val="21"/>
        </w:rPr>
        <w:t>, business-plan §9); cold-chain/stability must be solved on the single product spec before Wave 1.</w:t>
      </w:r>
    </w:p>
    <w:p>
      <w:r>
        <w:br w:type="page"/>
      </w:r>
    </w:p>
    <w:p>
      <w:pPr>
        <w:spacing w:after="40"/>
        <w:jc w:val="center"/>
      </w:pPr>
      <w:r>
        <w:rPr>
          <w:b/>
          <w:color w:val="2E86C1"/>
          <w:sz w:val="24"/>
        </w:rPr>
        <w:t>PART 4</w:t>
      </w:r>
    </w:p>
    <w:p>
      <w:pPr>
        <w:spacing w:after="200"/>
        <w:jc w:val="center"/>
      </w:pPr>
      <w:r>
        <w:rPr>
          <w:b/>
          <w:color w:val="1F3A5F"/>
          <w:sz w:val="44"/>
        </w:rPr>
        <w:t>Valuation</w:t>
      </w:r>
    </w:p>
    <w:p>
      <w:pPr>
        <w:spacing w:after="160"/>
        <w:ind w:left="360"/>
      </w:pPr>
      <w:r>
        <w:rPr>
          <w:i/>
          <w:color w:val="555555"/>
          <w:sz w:val="20"/>
        </w:rPr>
        <w:t xml:space="preserve">USD, illustrative. Base case from </w:t>
      </w:r>
      <w:r>
        <w:rPr>
          <w:rFonts w:ascii="Consolas" w:hAnsi="Consolas"/>
          <w:i/>
          <w:color w:val="555555"/>
          <w:sz w:val="20"/>
        </w:rPr>
        <w:t>financial-model.md</w:t>
      </w:r>
      <w:r>
        <w:rPr>
          <w:i/>
          <w:color w:val="555555"/>
          <w:sz w:val="20"/>
        </w:rPr>
        <w:t xml:space="preserve"> (device + recurring kits; ~65% blended GM; revenue $5.3M→$39.9M 2027–2030). Valuation date mid-2026 (pre-revenue). Synapep valued </w:t>
      </w:r>
      <w:r>
        <w:rPr>
          <w:b/>
          <w:i/>
          <w:color w:val="555555"/>
          <w:sz w:val="20"/>
        </w:rPr>
        <w:t>standalone at the ex-factory line</w:t>
      </w:r>
      <w:r>
        <w:rPr>
          <w:i/>
          <w:color w:val="555555"/>
          <w:sz w:val="20"/>
        </w:rPr>
        <w:t>; distributors (e.g. NeuNova) are non-consolidated.</w:t>
      </w:r>
    </w:p>
    <w:p>
      <w:pPr>
        <w:pStyle w:val="Heading2"/>
      </w:pPr>
      <w:r>
        <w:t>Two lenses</w:t>
      </w:r>
    </w:p>
    <w:p>
      <w:pPr>
        <w:spacing w:after="120"/>
      </w:pPr>
      <w:r>
        <w:rPr>
          <w:sz w:val="21"/>
        </w:rPr>
        <w:t xml:space="preserve">The kickoff is priced on </w:t>
      </w:r>
      <w:r>
        <w:rPr>
          <w:b/>
          <w:sz w:val="21"/>
        </w:rPr>
        <w:t>Lens A</w:t>
      </w:r>
      <w:r>
        <w:rPr>
          <w:sz w:val="21"/>
        </w:rPr>
        <w:t xml:space="preserve"> (the device/consumables business). </w:t>
      </w:r>
      <w:r>
        <w:rPr>
          <w:b/>
          <w:sz w:val="21"/>
        </w:rPr>
        <w:t>Lens B</w:t>
      </w:r>
      <w:r>
        <w:rPr>
          <w:sz w:val="21"/>
        </w:rPr>
        <w:t xml:space="preserve"> (the AI / data-science company) is the prize that lifts the ceiling and the Series A.</w:t>
      </w:r>
    </w:p>
    <w:p>
      <w:pPr>
        <w:pStyle w:val="Heading3"/>
      </w:pPr>
      <w:r>
        <w:t>Lens A — device + consumables business (sets the kickoff price)</w:t>
      </w:r>
    </w:p>
    <w:p>
      <w:pPr>
        <w:spacing w:after="120"/>
      </w:pPr>
      <w:r>
        <w:rPr>
          <w:sz w:val="21"/>
        </w:rPr>
        <w:t xml:space="preserve">Recommend </w:t>
      </w:r>
      <w:r>
        <w:rPr>
          <w:b/>
          <w:sz w:val="21"/>
        </w:rPr>
        <w:t>$5–7M pre-money / $6–8M post-money</w:t>
      </w:r>
      <w:r>
        <w:rPr>
          <w:sz w:val="21"/>
        </w:rPr>
        <w:t xml:space="preserve">, </w:t>
      </w:r>
      <w:r>
        <w:rPr>
          <w:b/>
          <w:sz w:val="21"/>
        </w:rPr>
        <w:t>$6M midpoint → $1.0M = 14.3%</w:t>
      </w:r>
      <w:r>
        <w:rPr>
          <w:sz w:val="21"/>
        </w:rPr>
        <w:t>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Pre-money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Raise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Post-money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Investor 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$5.0M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$1.0M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$6.0M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16.7%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$6.0M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$1.0M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$7.0M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14.3%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$7.0M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$1.0M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$8.0M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12.5%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1"/>
        </w:rPr>
        <w:t>Three methods reconcile: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Un-risk-adjusted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Risk-adjusted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Round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Seed convention (IP-owning JV)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$5–7M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direct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DCF (40% discount, 8× EBITDA exit)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~$35M EV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~$5–7M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matches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Forward multiple (3–6× recurring med-consumables)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$25–37M PV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$5–8M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matches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1"/>
        </w:rPr>
        <w:t xml:space="preserve">Recurring medical consumables + device + regulatory moat support the </w:t>
      </w:r>
      <w:r>
        <w:rPr>
          <w:b/>
          <w:sz w:val="21"/>
        </w:rPr>
        <w:t>upper half ($6–7M)</w:t>
      </w:r>
      <w:r>
        <w:rPr>
          <w:sz w:val="21"/>
        </w:rPr>
        <w:t xml:space="preserve"> and a higher revenue multiple than commodity cosmetics.</w:t>
      </w:r>
    </w:p>
    <w:p>
      <w:pPr>
        <w:pStyle w:val="Heading3"/>
      </w:pPr>
      <w:r>
        <w:t>Lens B — AI / data-science company (the prize; institutional AI capital)</w:t>
      </w:r>
    </w:p>
    <w:p>
      <w:pPr>
        <w:spacing w:after="120"/>
      </w:pPr>
      <w:r>
        <w:rPr>
          <w:sz w:val="21"/>
        </w:rPr>
        <w:t xml:space="preserve">With a proprietary aesthetic-medicine model, an AI-QA/analytics suite, and a compounding </w:t>
      </w:r>
      <w:r>
        <w:rPr>
          <w:b/>
          <w:sz w:val="21"/>
        </w:rPr>
        <w:t>data flywheel</w:t>
      </w:r>
      <w:r>
        <w:rPr>
          <w:sz w:val="21"/>
        </w:rPr>
        <w:t xml:space="preserve">, the comparable set shifts from medtech to </w:t>
      </w:r>
      <w:r>
        <w:rPr>
          <w:b/>
          <w:sz w:val="21"/>
        </w:rPr>
        <w:t>AI/data platforms</w:t>
      </w:r>
      <w:r>
        <w:rPr>
          <w:sz w:val="21"/>
        </w:rPr>
        <w:t xml:space="preserve">, which command much higher revenue multiples and attract </w:t>
      </w:r>
      <w:r>
        <w:rPr>
          <w:b/>
          <w:sz w:val="21"/>
        </w:rPr>
        <w:t>institutional AI investors</w:t>
      </w:r>
      <w:r>
        <w:rPr>
          <w:sz w:val="21"/>
        </w:rPr>
        <w:t xml:space="preserve">. Lens B does </w:t>
      </w:r>
      <w:r>
        <w:rPr>
          <w:b/>
          <w:sz w:val="21"/>
        </w:rPr>
        <w:t>not</w:t>
      </w:r>
      <w:r>
        <w:rPr>
          <w:sz w:val="21"/>
        </w:rPr>
        <w:t xml:space="preserve"> change the $1M kickoff price (still pre-revenue, priced on Lens A), but it:</w:t>
      </w:r>
    </w:p>
    <w:p>
      <w:pPr>
        <w:pStyle w:val="ListNumber"/>
        <w:spacing w:after="60"/>
      </w:pPr>
      <w:r>
        <w:rPr>
          <w:sz w:val="21"/>
        </w:rPr>
        <w:t xml:space="preserve">raises the </w:t>
      </w:r>
      <w:r>
        <w:rPr>
          <w:b/>
          <w:sz w:val="21"/>
        </w:rPr>
        <w:t>valuation ceiling / exit multiple</w:t>
      </w:r>
      <w:r>
        <w:rPr>
          <w:sz w:val="21"/>
        </w:rPr>
        <w:t xml:space="preserve"> in the DCF terminal and forward-multiple;</w:t>
      </w:r>
    </w:p>
    <w:p>
      <w:pPr>
        <w:pStyle w:val="ListNumber"/>
        <w:spacing w:after="60"/>
      </w:pPr>
      <w:r>
        <w:rPr>
          <w:sz w:val="21"/>
        </w:rPr>
        <w:t xml:space="preserve">reframes the </w:t>
      </w:r>
      <w:r>
        <w:rPr>
          <w:b/>
          <w:sz w:val="21"/>
        </w:rPr>
        <w:t>2028 Series A</w:t>
      </w:r>
      <w:r>
        <w:rPr>
          <w:sz w:val="21"/>
        </w:rPr>
        <w:t xml:space="preserve"> as a </w:t>
      </w:r>
      <w:r>
        <w:rPr>
          <w:b/>
          <w:sz w:val="21"/>
        </w:rPr>
        <w:t>premium, institutional AI round</w:t>
      </w:r>
      <w:r>
        <w:rPr>
          <w:sz w:val="21"/>
        </w:rPr>
        <w:t xml:space="preserve"> (not a medtech round);</w:t>
      </w:r>
    </w:p>
    <w:p>
      <w:pPr>
        <w:pStyle w:val="ListNumber"/>
        <w:spacing w:after="60"/>
      </w:pPr>
      <w:r>
        <w:rPr>
          <w:sz w:val="21"/>
        </w:rPr>
        <w:t>is the headline of the investor narrative.</w:t>
      </w:r>
    </w:p>
    <w:p>
      <w:pPr>
        <w:pStyle w:val="Heading2"/>
      </w:pPr>
      <w:r>
        <w:t>Cap table (post-raise, $6.0M pre-money)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Holder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Contribution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Founder %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% post-raise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WBI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IP (CodeLife.AI / IT-EXO / SynExo) + R&amp;D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70.0%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60.0%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Eyesel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Manufacturing (production, fill-finish, QA)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30.0%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25.7%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Kickoff investor(s)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$1.0M cash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14.3%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Total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  <w:sz w:val="19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100%</w:t>
            </w:r>
          </w:p>
        </w:tc>
      </w:tr>
    </w:tbl>
    <w:p>
      <w:pPr>
        <w:spacing w:after="40"/>
      </w:pPr>
    </w:p>
    <w:p>
      <w:pPr>
        <w:pStyle w:val="Heading2"/>
      </w:pPr>
      <w:r>
        <w:t>VC-method check</w:t>
      </w:r>
    </w:p>
    <w:p>
      <w:pPr>
        <w:spacing w:after="120"/>
      </w:pPr>
      <w:r>
        <w:rPr>
          <w:sz w:val="21"/>
        </w:rPr>
        <w:t xml:space="preserve">Seed investor seeking ~10× wants ~$10M back. If Synapep exits ~2031 at ~$95–130M (8× EBITDA, or materially higher on a Lens-B AI multiple) and the seed stake is diluted ~1.5–2× by the 2028 round, the investor needs ~11–17% today. $1M at $5–7M pre gives </w:t>
      </w:r>
      <w:r>
        <w:rPr>
          <w:b/>
          <w:sz w:val="21"/>
        </w:rPr>
        <w:t>13–17%</w:t>
      </w:r>
      <w:r>
        <w:rPr>
          <w:sz w:val="21"/>
        </w:rPr>
        <w:t xml:space="preserve"> → clears ~10× at the $6M midpoint, with meaningful upside if Lens B holds.</w:t>
      </w:r>
    </w:p>
    <w:p>
      <w:pPr>
        <w:pStyle w:val="Heading2"/>
      </w:pPr>
      <w:r>
        <w:t>Recommendation</w:t>
      </w:r>
    </w:p>
    <w:p>
      <w:pPr>
        <w:spacing w:after="120"/>
      </w:pPr>
      <w:r>
        <w:rPr>
          <w:sz w:val="21"/>
        </w:rPr>
        <w:t xml:space="preserve">Price the </w:t>
      </w:r>
      <w:r>
        <w:rPr>
          <w:b/>
          <w:sz w:val="21"/>
        </w:rPr>
        <w:t>$1.0M kickoff at $6M pre-money (Lens A)</w:t>
      </w:r>
      <w:r>
        <w:rPr>
          <w:sz w:val="21"/>
        </w:rPr>
        <w:t xml:space="preserve">; lead the pitch with </w:t>
      </w:r>
      <w:r>
        <w:rPr>
          <w:b/>
          <w:sz w:val="21"/>
        </w:rPr>
        <w:t>Lens B</w:t>
      </w:r>
      <w:r>
        <w:rPr>
          <w:sz w:val="21"/>
        </w:rPr>
        <w:t xml:space="preserve"> (AI moat + data flywheel + data-science-company vision) as the prize and the Series A thesis. Optionally test institutional-AI appetite for a larger round at a higher pre — a user decision.</w:t>
      </w:r>
    </w:p>
    <w:p>
      <w:r>
        <w:br w:type="page"/>
      </w:r>
    </w:p>
    <w:p>
      <w:pPr>
        <w:spacing w:after="40"/>
        <w:jc w:val="center"/>
      </w:pPr>
      <w:r>
        <w:rPr>
          <w:b/>
          <w:color w:val="2E86C1"/>
          <w:sz w:val="24"/>
        </w:rPr>
        <w:t>PART 5</w:t>
      </w:r>
    </w:p>
    <w:p>
      <w:pPr>
        <w:spacing w:after="200"/>
        <w:jc w:val="center"/>
      </w:pPr>
      <w:r>
        <w:rPr>
          <w:b/>
          <w:color w:val="1F3A5F"/>
          <w:sz w:val="44"/>
        </w:rPr>
        <w:t>International Expansion / Export Strategy</w:t>
      </w:r>
    </w:p>
    <w:p>
      <w:pPr>
        <w:spacing w:after="160"/>
        <w:ind w:left="360"/>
      </w:pPr>
      <w:r>
        <w:rPr>
          <w:i/>
          <w:color w:val="555555"/>
          <w:sz w:val="20"/>
        </w:rPr>
        <w:t xml:space="preserve">KFDA/MFDS registration as an </w:t>
      </w:r>
      <w:r>
        <w:rPr>
          <w:b/>
          <w:i/>
          <w:color w:val="555555"/>
          <w:sz w:val="20"/>
        </w:rPr>
        <w:t>export springboard</w:t>
      </w:r>
      <w:r>
        <w:rPr>
          <w:i/>
          <w:color w:val="555555"/>
          <w:sz w:val="20"/>
        </w:rPr>
        <w:t xml:space="preserve">, not a Korea-only play. Scope: </w:t>
      </w:r>
      <w:r>
        <w:rPr>
          <w:b/>
          <w:i/>
          <w:color w:val="555555"/>
          <w:sz w:val="20"/>
        </w:rPr>
        <w:t>Tier 1 (ASEAN + Hong Kong)</w:t>
      </w:r>
      <w:r>
        <w:rPr>
          <w:i/>
          <w:color w:val="555555"/>
          <w:sz w:val="20"/>
        </w:rPr>
        <w:t xml:space="preserve"> and </w:t>
      </w:r>
      <w:r>
        <w:rPr>
          <w:b/>
          <w:i/>
          <w:color w:val="555555"/>
          <w:sz w:val="20"/>
        </w:rPr>
        <w:t>Tier 2 (GCC + Greater China)</w:t>
      </w:r>
      <w:r>
        <w:rPr>
          <w:i/>
          <w:color w:val="555555"/>
          <w:sz w:val="20"/>
        </w:rPr>
        <w:t>. Tier 3 (EU/US/Japan) is long-term and heavily caveated. Illustrative planning document; verify each pathway with local counsel.</w:t>
      </w:r>
    </w:p>
    <w:p>
      <w:pPr>
        <w:pStyle w:val="Heading2"/>
      </w:pPr>
      <w:r>
        <w:t>1. Thesis — two-speed export</w:t>
      </w:r>
    </w:p>
    <w:p>
      <w:pPr>
        <w:spacing w:after="120"/>
      </w:pPr>
      <w:r>
        <w:rPr>
          <w:sz w:val="21"/>
        </w:rPr>
        <w:t xml:space="preserve">A single Korean approval does not auto-clear other markets, but it is a powerful </w:t>
      </w:r>
      <w:r>
        <w:rPr>
          <w:b/>
          <w:sz w:val="21"/>
        </w:rPr>
        <w:t>anchor</w:t>
      </w:r>
      <w:r>
        <w:rPr>
          <w:sz w:val="21"/>
        </w:rPr>
        <w:t>:</w:t>
      </w:r>
    </w:p>
    <w:p>
      <w:pPr>
        <w:pStyle w:val="ListBullet"/>
        <w:spacing w:after="60"/>
      </w:pPr>
      <w:r>
        <w:rPr>
          <w:b/>
          <w:sz w:val="21"/>
        </w:rPr>
        <w:t>The applicator device travels widely.</w:t>
      </w:r>
      <w:r>
        <w:rPr>
          <w:sz w:val="21"/>
        </w:rPr>
        <w:t xml:space="preserve"> Built on the Korean technical file, the microneedling/topical </w:t>
      </w:r>
      <w:r>
        <w:rPr>
          <w:b/>
          <w:sz w:val="21"/>
        </w:rPr>
        <w:t>device</w:t>
      </w:r>
      <w:r>
        <w:rPr>
          <w:sz w:val="21"/>
        </w:rPr>
        <w:t xml:space="preserve"> rides </w:t>
      </w:r>
      <w:r>
        <w:rPr>
          <w:b/>
          <w:sz w:val="21"/>
        </w:rPr>
        <w:t>reliance/recognition</w:t>
      </w:r>
      <w:r>
        <w:rPr>
          <w:sz w:val="21"/>
        </w:rPr>
        <w:t xml:space="preserve"> pathways into reference-friendly markets with modest incremental work.</w:t>
      </w:r>
    </w:p>
    <w:p>
      <w:pPr>
        <w:pStyle w:val="ListBullet"/>
        <w:spacing w:after="60"/>
      </w:pPr>
      <w:r>
        <w:rPr>
          <w:b/>
          <w:sz w:val="21"/>
        </w:rPr>
        <w:t>The consumable kit is wrapped per market.</w:t>
      </w:r>
      <w:r>
        <w:rPr>
          <w:sz w:val="21"/>
        </w:rPr>
        <w:t xml:space="preserve"> The peptide/exosome </w:t>
      </w:r>
      <w:r>
        <w:rPr>
          <w:b/>
          <w:sz w:val="21"/>
        </w:rPr>
        <w:t>kit's</w:t>
      </w:r>
      <w:r>
        <w:rPr>
          <w:sz w:val="21"/>
        </w:rPr>
        <w:t xml:space="preserve"> legal class (cosmetic vs medical device vs drug/biologic) </w:t>
      </w:r>
      <w:r>
        <w:rPr>
          <w:b/>
          <w:sz w:val="21"/>
        </w:rPr>
        <w:t>varies by country</w:t>
      </w:r>
      <w:r>
        <w:rPr>
          <w:sz w:val="21"/>
        </w:rPr>
        <w:t xml:space="preserve">, so each market gets the right wrapper and </w:t>
      </w:r>
      <w:r>
        <w:rPr>
          <w:b/>
          <w:sz w:val="21"/>
        </w:rPr>
        <w:t>claim discipline</w:t>
      </w:r>
      <w:r>
        <w:rPr>
          <w:sz w:val="21"/>
        </w:rPr>
        <w:t xml:space="preserve">. </w:t>
      </w:r>
      <w:r>
        <w:rPr>
          <w:b/>
          <w:sz w:val="21"/>
        </w:rPr>
        <w:t>Salmon/synthetic (non-human) origin is a strategic advantage</w:t>
      </w:r>
      <w:r>
        <w:rPr>
          <w:sz w:val="21"/>
        </w:rPr>
        <w:t xml:space="preserve"> — it sidesteps EU/UK bans on *human*-derived exosomes in cosmetics.</w:t>
      </w:r>
    </w:p>
    <w:p>
      <w:pPr>
        <w:pStyle w:val="ListBullet"/>
        <w:spacing w:after="60"/>
      </w:pPr>
      <w:r>
        <w:rPr>
          <w:b/>
          <w:sz w:val="21"/>
        </w:rPr>
        <w:t>Claims are the recurring risk.</w:t>
      </w:r>
      <w:r>
        <w:rPr>
          <w:sz w:val="21"/>
        </w:rPr>
        <w:t xml:space="preserve"> Korea banned the word "exosome" in cosmetic ads (Jan 2025); the US FDA has issued 12 warning letters and approved none. Market everywhere on function/observed benefit, not unsubstantiated medical claims.</w:t>
      </w:r>
    </w:p>
    <w:p>
      <w:pPr>
        <w:spacing w:after="120"/>
      </w:pPr>
      <w:r>
        <w:rPr>
          <w:b/>
          <w:sz w:val="21"/>
        </w:rPr>
        <w:t>Precedent that de-risks this:</w:t>
      </w:r>
      <w:r>
        <w:rPr>
          <w:sz w:val="21"/>
        </w:rPr>
        <w:t xml:space="preserve"> Korean salmon-</w:t>
      </w:r>
      <w:r>
        <w:rPr>
          <w:b/>
          <w:sz w:val="21"/>
        </w:rPr>
        <w:t>PDRN</w:t>
      </w:r>
      <w:r>
        <w:rPr>
          <w:sz w:val="21"/>
        </w:rPr>
        <w:t xml:space="preserve"> skin boosters (e.g., Rejuran, MFDS-approved 2014) used Korean approval to export across SEA, the Middle East and Europe — a near-exact analog to Synapep's model.</w:t>
      </w:r>
    </w:p>
    <w:p>
      <w:pPr>
        <w:pStyle w:val="Heading2"/>
      </w:pPr>
      <w:r>
        <w:t>2. Tier 1 — ASEAN + Hong Kong (reliance-led, fastest)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Market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How KFDA helps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Kit-classification approach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Hong Kong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 xml:space="preserve">MDACS </w:t>
            </w:r>
            <w:r>
              <w:rPr>
                <w:b/>
                <w:sz w:val="19"/>
              </w:rPr>
              <w:t>recognises Korea MFDS as a reference regulator</w:t>
            </w:r>
            <w:r>
              <w:rPr>
                <w:sz w:val="19"/>
              </w:rPr>
              <w:t>; Expedited scheme favours ≥2 reference approvals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Medical device listing (voluntary MDACS) / cosmetic for topical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 xml:space="preserve">Pair </w:t>
            </w:r>
            <w:r>
              <w:rPr>
                <w:b/>
                <w:sz w:val="19"/>
              </w:rPr>
              <w:t>Korea + Singapore</w:t>
            </w:r>
            <w:r>
              <w:rPr>
                <w:sz w:val="19"/>
              </w:rPr>
              <w:t xml:space="preserve"> to hit the ≥2-reference expedited route; light entry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Vietnam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Explicitly accepts MFDS certifications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Device registration via MFDS reliance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Among the most direct reliance routes off a Korean approval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Singapore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 xml:space="preserve">HSA approval is a </w:t>
            </w:r>
            <w:r>
              <w:rPr>
                <w:b/>
                <w:sz w:val="19"/>
              </w:rPr>
              <w:t>regional gateway</w:t>
            </w:r>
            <w:r>
              <w:rPr>
                <w:sz w:val="19"/>
              </w:rPr>
              <w:t xml:space="preserve"> (recognised onward in TH/PH/HK)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HSA medical device / cosmetic notification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Strategic 2nd reference approval to unlock the cascade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Thailand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Reliance route (via Singapore HSA); Korean data supports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 xml:space="preserve">Aesthetic devices </w:t>
            </w:r>
            <w:r>
              <w:rPr>
                <w:b/>
                <w:sz w:val="19"/>
              </w:rPr>
              <w:t>are</w:t>
            </w:r>
            <w:r>
              <w:rPr>
                <w:sz w:val="19"/>
              </w:rPr>
              <w:t xml:space="preserve"> medical devices (Thai FDA)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Large aesthetics market; K-beauty halo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Malaysia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ASEAN AMDD/CSDT dossier built on Korean file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 xml:space="preserve">Aesthetic devices </w:t>
            </w:r>
            <w:r>
              <w:rPr>
                <w:b/>
                <w:sz w:val="19"/>
              </w:rPr>
              <w:t>designated medical devices</w:t>
            </w:r>
            <w:r>
              <w:rPr>
                <w:sz w:val="19"/>
              </w:rPr>
              <w:t xml:space="preserve"> (Jun 2026)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MDA registration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Indonesia / Philippines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ASEAN AMDD/CSDT cascade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Device or cosmetic notification per claim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One CSDT dossier → multiple filings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sz w:val="21"/>
        </w:rPr>
        <w:t>Mechanism:</w:t>
      </w:r>
      <w:r>
        <w:rPr>
          <w:sz w:val="21"/>
        </w:rPr>
        <w:t xml:space="preserve"> build </w:t>
      </w:r>
      <w:r>
        <w:rPr>
          <w:b/>
          <w:sz w:val="21"/>
        </w:rPr>
        <w:t>one ASEAN CSDT dossier</w:t>
      </w:r>
      <w:r>
        <w:rPr>
          <w:sz w:val="21"/>
        </w:rPr>
        <w:t xml:space="preserve"> on the Korean technical file; use </w:t>
      </w:r>
      <w:r>
        <w:rPr>
          <w:b/>
          <w:sz w:val="21"/>
        </w:rPr>
        <w:t>Singapore</w:t>
      </w:r>
      <w:r>
        <w:rPr>
          <w:sz w:val="21"/>
        </w:rPr>
        <w:t xml:space="preserve"> as the gateway approval; let </w:t>
      </w:r>
      <w:r>
        <w:rPr>
          <w:b/>
          <w:sz w:val="21"/>
        </w:rPr>
        <w:t>Hong Kong/Vietnam</w:t>
      </w:r>
      <w:r>
        <w:rPr>
          <w:sz w:val="21"/>
        </w:rPr>
        <w:t xml:space="preserve"> lead on direct MFDS reliance.</w:t>
      </w:r>
    </w:p>
    <w:p>
      <w:pPr>
        <w:pStyle w:val="Heading2"/>
      </w:pPr>
      <w:r>
        <w:t>3. Tier 2 — GCC + Greater China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Market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How KFDA helps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Kit-classification approach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Saudi Arabia (SFDA)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 xml:space="preserve">SFDA is the </w:t>
            </w:r>
            <w:r>
              <w:rPr>
                <w:b/>
                <w:sz w:val="19"/>
              </w:rPr>
              <w:t>GCC regional reference</w:t>
            </w:r>
            <w:r>
              <w:rPr>
                <w:sz w:val="19"/>
              </w:rPr>
              <w:t>; KFDA + CE accelerate the TFA route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Medical device (SFDA MDMA)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Country-of-origin approval not mandatory, but reference approvals speed review; SFDA approval then references onward across GCC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UAE (MOHAP)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Reliance weights recognised approvals (CE strongest; KFDA supportive)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Medical device registration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High-spend aesthetics market; gateway to wider Gulf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Taiwan (TFDA)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 xml:space="preserve">Accepts </w:t>
            </w:r>
            <w:r>
              <w:rPr>
                <w:b/>
                <w:sz w:val="19"/>
              </w:rPr>
              <w:t>Korean clinical data</w:t>
            </w:r>
            <w:r>
              <w:rPr>
                <w:sz w:val="19"/>
              </w:rPr>
              <w:t xml:space="preserve"> to support submissions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Medical device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Mature aesthetics market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China (NMPA)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Large but slow; use faster on-ramps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Hainan cross-border</w:t>
            </w:r>
            <w:r>
              <w:rPr>
                <w:sz w:val="19"/>
              </w:rPr>
              <w:t xml:space="preserve"> / topical-cosmetic wrapper first, NMPA device later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Biggest prize, longest timeline; stage entry</w:t>
            </w:r>
          </w:p>
        </w:tc>
      </w:tr>
    </w:tbl>
    <w:p>
      <w:pPr>
        <w:spacing w:after="40"/>
      </w:pPr>
    </w:p>
    <w:p>
      <w:pPr>
        <w:pStyle w:val="Heading2"/>
      </w:pPr>
      <w:r>
        <w:t>4. Sequence &amp; operating requirements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Markets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Trigger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Anchor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Korea (MFDS)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Device-family + first kit registered; anchor clinics live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Wave 1 (2027–28)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Hong Kong, Vietnam, Singapore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Korean approval + Singapore reference secured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Wave 2 (2028–29)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Thailand, Malaysia, Indonesia, Philippines; Saudi, UAE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ASEAN CSDT dossier; SFDA TFA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Wave 3 (2029–30)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Taiwan, China (Hainan → NMPA)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Regional revenue base + capital from Series A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sz w:val="21"/>
        </w:rPr>
        <w:t>Each market needs:</w:t>
      </w:r>
      <w:r>
        <w:rPr>
          <w:sz w:val="21"/>
        </w:rPr>
        <w:t xml:space="preserve"> a </w:t>
      </w:r>
      <w:r>
        <w:rPr>
          <w:b/>
          <w:sz w:val="21"/>
        </w:rPr>
        <w:t>local responsible person / authorised distributor</w:t>
      </w:r>
      <w:r>
        <w:rPr>
          <w:sz w:val="21"/>
        </w:rPr>
        <w:t xml:space="preserve">, a per-market </w:t>
      </w:r>
      <w:r>
        <w:rPr>
          <w:b/>
          <w:sz w:val="21"/>
        </w:rPr>
        <w:t>claims map</w:t>
      </w:r>
      <w:r>
        <w:rPr>
          <w:sz w:val="21"/>
        </w:rPr>
        <w:t xml:space="preserve">, and label/registration localisation. </w:t>
      </w:r>
      <w:r>
        <w:rPr>
          <w:b/>
          <w:sz w:val="21"/>
        </w:rPr>
        <w:t>Cold-chain caveat:</w:t>
      </w:r>
      <w:r>
        <w:rPr>
          <w:sz w:val="21"/>
        </w:rPr>
        <w:t xml:space="preserve"> −80 °C international distribution is even harder than domestic — this </w:t>
      </w:r>
      <w:r>
        <w:rPr>
          <w:b/>
          <w:sz w:val="21"/>
        </w:rPr>
        <w:t>reinforces the reformulation-to-2–8 °C action item</w:t>
      </w:r>
      <w:r>
        <w:rPr>
          <w:sz w:val="21"/>
        </w:rPr>
        <w:t xml:space="preserve"> (see business plan §12). Solve stability before Wave 1.</w:t>
      </w:r>
    </w:p>
    <w:p>
      <w:pPr>
        <w:pStyle w:val="Heading2"/>
      </w:pPr>
      <w:r>
        <w:t>5. Why this strengthens the investment case</w:t>
      </w:r>
    </w:p>
    <w:p>
      <w:pPr>
        <w:pStyle w:val="ListBullet"/>
        <w:spacing w:after="60"/>
      </w:pPr>
      <w:r>
        <w:rPr>
          <w:sz w:val="21"/>
        </w:rPr>
        <w:t xml:space="preserve">Converts a single-country plan into a </w:t>
      </w:r>
      <w:r>
        <w:rPr>
          <w:b/>
          <w:sz w:val="21"/>
        </w:rPr>
        <w:t>multi-market clinic TAM</w:t>
      </w:r>
      <w:r>
        <w:rPr>
          <w:sz w:val="21"/>
        </w:rPr>
        <w:t>, so the clinic ramp (150 → 1,000) is spread across geographies rather than a heroic single-country target.</w:t>
      </w:r>
    </w:p>
    <w:p>
      <w:pPr>
        <w:pStyle w:val="ListBullet"/>
        <w:spacing w:after="60"/>
      </w:pPr>
      <w:r>
        <w:rPr>
          <w:sz w:val="21"/>
        </w:rPr>
        <w:t xml:space="preserve">Strengthens </w:t>
      </w:r>
      <w:r>
        <w:rPr>
          <w:b/>
          <w:sz w:val="21"/>
        </w:rPr>
        <w:t>Lens A</w:t>
      </w:r>
      <w:r>
        <w:rPr>
          <w:sz w:val="21"/>
        </w:rPr>
        <w:t xml:space="preserve"> market size and the </w:t>
      </w:r>
      <w:r>
        <w:rPr>
          <w:b/>
          <w:sz w:val="21"/>
        </w:rPr>
        <w:t>Series A</w:t>
      </w:r>
      <w:r>
        <w:rPr>
          <w:sz w:val="21"/>
        </w:rPr>
        <w:t xml:space="preserve"> narrative (regional platform, not a Korea SKU).</w:t>
      </w:r>
    </w:p>
    <w:p>
      <w:pPr>
        <w:pStyle w:val="ListBullet"/>
        <w:spacing w:after="60"/>
      </w:pPr>
      <w:r>
        <w:rPr>
          <w:sz w:val="21"/>
        </w:rPr>
        <w:t xml:space="preserve">Keeps the company honest: the </w:t>
      </w:r>
      <w:r>
        <w:rPr>
          <w:b/>
          <w:sz w:val="21"/>
        </w:rPr>
        <w:t>device</w:t>
      </w:r>
      <w:r>
        <w:rPr>
          <w:sz w:val="21"/>
        </w:rPr>
        <w:t xml:space="preserve"> scales on reliance; the </w:t>
      </w:r>
      <w:r>
        <w:rPr>
          <w:b/>
          <w:sz w:val="21"/>
        </w:rPr>
        <w:t>kit</w:t>
      </w:r>
      <w:r>
        <w:rPr>
          <w:sz w:val="21"/>
        </w:rPr>
        <w:t xml:space="preserve"> scales on disciplined, per-market classification — no overclaiming.</w:t>
      </w:r>
    </w:p>
    <w:p>
      <w:pPr>
        <w:pStyle w:val="Heading2"/>
      </w:pPr>
      <w:r>
        <w:t>6. Key risks</w:t>
      </w:r>
    </w:p>
    <w:p>
      <w:pPr>
        <w:pStyle w:val="ListBullet"/>
        <w:spacing w:after="60"/>
      </w:pPr>
      <w:r>
        <w:rPr>
          <w:b/>
          <w:sz w:val="21"/>
        </w:rPr>
        <w:t>Kit classification drift</w:t>
      </w:r>
      <w:r>
        <w:rPr>
          <w:sz w:val="21"/>
        </w:rPr>
        <w:t xml:space="preserve"> — a market may treat the kit as a drug/biologic (slower/heavier).</w:t>
      </w:r>
    </w:p>
    <w:p>
      <w:pPr>
        <w:pStyle w:val="ListBullet"/>
        <w:spacing w:after="60"/>
      </w:pPr>
      <w:r>
        <w:rPr>
          <w:b/>
          <w:sz w:val="21"/>
        </w:rPr>
        <w:t>Exosome scrutiny / advertising limits</w:t>
      </w:r>
      <w:r>
        <w:rPr>
          <w:sz w:val="21"/>
        </w:rPr>
        <w:t xml:space="preserve"> — manage with non-human origin + claim discipline.</w:t>
      </w:r>
    </w:p>
    <w:p>
      <w:pPr>
        <w:pStyle w:val="ListBullet"/>
        <w:spacing w:after="60"/>
      </w:pPr>
      <w:r>
        <w:rPr>
          <w:b/>
          <w:sz w:val="21"/>
        </w:rPr>
        <w:t>Reliance ≠ automatic</w:t>
      </w:r>
      <w:r>
        <w:rPr>
          <w:sz w:val="21"/>
        </w:rPr>
        <w:t xml:space="preserve"> — recognition speeds review but local registration, fees, RP and post-market duties still apply.</w:t>
      </w:r>
    </w:p>
    <w:p>
      <w:pPr>
        <w:pStyle w:val="ListBullet"/>
        <w:spacing w:after="60"/>
      </w:pPr>
      <w:r>
        <w:rPr>
          <w:b/>
          <w:sz w:val="21"/>
        </w:rPr>
        <w:t>Cold chain across borders</w:t>
      </w:r>
      <w:r>
        <w:rPr>
          <w:sz w:val="21"/>
        </w:rPr>
        <w:t xml:space="preserve"> — unresolved −80 °C logistics would cap export feasibility.</w:t>
      </w:r>
    </w:p>
    <w:p>
      <w:pPr>
        <w:spacing w:after="120"/>
      </w:pPr>
      <w:r>
        <w:rPr>
          <w:sz w:val="21"/>
        </w:rPr>
        <w:t>*Sources: Hong Kong MDACS reference-country recognition (Asia Actual, MedDeviceGuide); Vietnam MFDS reliance and ASEAN AMDD/CSDT (Cisema, Pacific Bridge, MedDeviceGuide); Thailand/Singapore reliance (Asia Actual); SFDA/UAE reliance (Emergo by UL, GSL); exosome regulation (FDA warning letters; EU Annex II; Korea MFDS ad rule); PDRN/Rejuran export precedent (industry press).*</w:t>
      </w:r>
    </w:p>
    <w:p>
      <w:r>
        <w:br w:type="page"/>
      </w:r>
    </w:p>
    <w:p>
      <w:pPr>
        <w:spacing w:after="40"/>
        <w:jc w:val="center"/>
      </w:pPr>
      <w:r>
        <w:rPr>
          <w:b/>
          <w:color w:val="2E86C1"/>
          <w:sz w:val="24"/>
        </w:rPr>
        <w:t>PART 6</w:t>
      </w:r>
    </w:p>
    <w:p>
      <w:pPr>
        <w:spacing w:after="200"/>
        <w:jc w:val="center"/>
      </w:pPr>
      <w:r>
        <w:rPr>
          <w:b/>
          <w:color w:val="1F3A5F"/>
          <w:sz w:val="44"/>
        </w:rPr>
        <w:t>Investor Diligence Scorecard</w:t>
      </w:r>
    </w:p>
    <w:p>
      <w:pPr>
        <w:spacing w:after="160"/>
        <w:ind w:left="360"/>
      </w:pPr>
      <w:r>
        <w:rPr>
          <w:i/>
          <w:color w:val="555555"/>
          <w:sz w:val="20"/>
        </w:rPr>
        <w:t xml:space="preserve">One-page diligence read of the </w:t>
      </w:r>
      <w:r>
        <w:rPr>
          <w:b/>
          <w:i/>
          <w:color w:val="555555"/>
          <w:sz w:val="20"/>
        </w:rPr>
        <w:t>validation-led</w:t>
      </w:r>
      <w:r>
        <w:rPr>
          <w:i/>
          <w:color w:val="555555"/>
          <w:sz w:val="20"/>
        </w:rPr>
        <w:t xml:space="preserve"> Synapep plan, scored by an investor with a </w:t>
      </w:r>
      <w:r>
        <w:rPr>
          <w:b/>
          <w:i/>
          <w:color w:val="555555"/>
          <w:sz w:val="20"/>
        </w:rPr>
        <w:t>chemical-engineering</w:t>
      </w:r>
      <w:r>
        <w:rPr>
          <w:i/>
          <w:color w:val="555555"/>
          <w:sz w:val="20"/>
        </w:rPr>
        <w:t xml:space="preserve"> background entering </w:t>
      </w:r>
      <w:r>
        <w:rPr>
          <w:b/>
          <w:i/>
          <w:color w:val="555555"/>
          <w:sz w:val="20"/>
        </w:rPr>
        <w:t>aesthetic medicine</w:t>
      </w:r>
      <w:r>
        <w:rPr>
          <w:i/>
          <w:color w:val="555555"/>
          <w:sz w:val="20"/>
        </w:rPr>
        <w:t xml:space="preserve">. RAG = Red / Amber / Green. Illustrative diligence aid, not investment advice. Figures per </w:t>
      </w:r>
      <w:r>
        <w:rPr>
          <w:rFonts w:ascii="Consolas" w:hAnsi="Consolas"/>
          <w:i/>
          <w:color w:val="555555"/>
          <w:sz w:val="20"/>
        </w:rPr>
        <w:t>financial-model.md</w:t>
      </w:r>
      <w:r>
        <w:rPr>
          <w:i/>
          <w:color w:val="555555"/>
          <w:sz w:val="20"/>
        </w:rPr>
        <w:t xml:space="preserve"> (v0.4).</w:t>
      </w:r>
    </w:p>
    <w:p>
      <w:pPr>
        <w:spacing w:after="120"/>
      </w:pPr>
      <w:r>
        <w:rPr>
          <w:b/>
          <w:sz w:val="21"/>
        </w:rPr>
        <w:t>Legend:</w:t>
      </w:r>
      <w:r>
        <w:rPr>
          <w:sz w:val="21"/>
        </w:rPr>
        <w:t xml:space="preserve"> 🟢 Green = credible / de-risked · 🟡 Amber = plausible but unproven, needs evidence · 🔴 Red = material gap that must be resolved before scaling/closing.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RAG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Rationale (one line)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Gating DD question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Commercial validation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🟡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"$25M+ collective sales exposure" is unverified and aggregates affiliated entities; 20+ physician testimony supports *usability*, not efficacy.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Show the $25M at entity/product/channel level and reorder data — how much is *this* product's demand?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Chemistry / formulation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🟡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SynExo/IT-EXO treated as settled; the personalisation-vs-"same raw materials" envelope is asserted, not defined.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What is the exact pre-cleared configuration envelope, and is variation within it clean *and* clinically differentiating?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Manufacturing &amp; cold chain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🔴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 xml:space="preserve">COGS is top-down (20%×EXW + $4.50), no BOM; </w:t>
            </w:r>
            <w:r>
              <w:rPr>
                <w:b/>
                <w:sz w:val="19"/>
              </w:rPr>
              <w:t>−80 °C, 12-mo</w:t>
            </w:r>
            <w:r>
              <w:rPr>
                <w:sz w:val="19"/>
              </w:rPr>
              <w:t xml:space="preserve"> stability is unshippable to typical clinics; cold-chain cost absent from P&amp;L.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Reformulate to 2–8 °C or show the cold-chain cost line + BOM + per-batch QC release cost.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Regulatory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🟡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Strong segmentation (topical/device fast-path vs IM/drug) is a green-leaning strength; exosome scrutiny + SaMD exposure pull it to amber.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Classification memo (Korea/HK): does the device path survive the personalisation envelope, and how are exosome claims controlled?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AI / data moat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🟡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"Own large model" overreaches for a 2→12 FTE team; real asset is a structured, consented outcomes dataset gated on clinic data rights.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Are data-rights clauses in the clinic contract, and what does CodeLife v1 actually do today (demo)?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Financials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🟡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Ramp (0→150 clinics yr 1) is aggressive — plan itself calls 150 "upside"; early-year margins likely overstated (QC/cold-chain fixed costs).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Rebuild base off anchor-clinic actuals: real kits/clinic/month + reorder cohorts.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Valuation / deal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🟡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$7M ask leans on validation that is "still to be packaged"; floor (device/consumables) supports ~$5–6M pre today.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What price holds *before* the validation pack exists — and what re-rates it at Series A?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IP &amp; JV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🟡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Most patents are *applications*; microneedling device (KR 10-2654857) is *granted* (good); JV IP contribution undocumented.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Show the WBI IP assignment/exclusive-license schedule into the JV.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Team / capital adequacy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🟡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$1M must cover reg + a prospective study + mfg/QC validation + AI v1 + launch — thin; Series A dependency is high.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Which milestones can $1M *actually* hit before a financing gap appears?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Market reach &amp; export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🟡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KFDA is a real export springboard (HK/Vietnam reliance, ASEAN cascade, GCC/SFDA) — but the *kit's* classification varies per market and exosome claims are restricted.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Per-market: is the kit a cosmetic, device, or drug — and does salmon/synthetic origin clear the EU/cosmetic bans?</w:t>
            </w:r>
          </w:p>
        </w:tc>
      </w:tr>
    </w:tbl>
    <w:p>
      <w:pPr>
        <w:spacing w:after="40"/>
      </w:pPr>
    </w:p>
    <w:p>
      <w:pPr>
        <w:pStyle w:val="Heading2"/>
      </w:pPr>
      <w:r>
        <w:t>Overall verdict</w:t>
      </w:r>
    </w:p>
    <w:p>
      <w:pPr>
        <w:spacing w:after="120"/>
      </w:pPr>
      <w:r>
        <w:rPr>
          <w:b/>
          <w:sz w:val="21"/>
        </w:rPr>
        <w:t>Conditional interest — diligence yes, their price no.</w:t>
      </w:r>
      <w:r>
        <w:rPr>
          <w:sz w:val="21"/>
        </w:rPr>
        <w:t xml:space="preserve"> The narrative is fundable and unusually disciplined (claim-language control, regulatory segmentation, validation-pack thinking). But the incremental value rests on </w:t>
      </w:r>
      <w:r>
        <w:rPr>
          <w:b/>
          <w:sz w:val="21"/>
        </w:rPr>
        <w:t>unverified commercial claims</w:t>
      </w:r>
      <w:r>
        <w:rPr>
          <w:sz w:val="21"/>
        </w:rPr>
        <w:t xml:space="preserve"> and the parts a chemical engineer is best placed to judge — </w:t>
      </w:r>
      <w:r>
        <w:rPr>
          <w:b/>
          <w:sz w:val="21"/>
        </w:rPr>
        <w:t>cold chain, COGS BOM, formulation/personalisation, exosome regulatory status</w:t>
      </w:r>
      <w:r>
        <w:rPr>
          <w:sz w:val="21"/>
        </w:rPr>
        <w:t xml:space="preserve"> — are the least evidenced.</w:t>
      </w:r>
    </w:p>
    <w:p>
      <w:pPr>
        <w:pStyle w:val="ListBullet"/>
        <w:spacing w:after="60"/>
      </w:pPr>
      <w:r>
        <w:rPr>
          <w:b/>
          <w:sz w:val="21"/>
        </w:rPr>
        <w:t>What I'd underwrite today:</w:t>
      </w:r>
      <w:r>
        <w:rPr>
          <w:sz w:val="21"/>
        </w:rPr>
        <w:t xml:space="preserve"> a validated-ecosystem, regulatory-segmented </w:t>
      </w:r>
      <w:r>
        <w:rPr>
          <w:b/>
          <w:sz w:val="21"/>
        </w:rPr>
        <w:t>consumables business with a credible data-upside option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b/>
          <w:sz w:val="21"/>
        </w:rPr>
        <w:t>Price:</w:t>
      </w:r>
      <w:r>
        <w:rPr>
          <w:sz w:val="21"/>
        </w:rPr>
        <w:t xml:space="preserve"> </w:t>
      </w:r>
      <w:r>
        <w:rPr>
          <w:b/>
          <w:sz w:val="21"/>
        </w:rPr>
        <w:t>$5–6M pre, milestone-gated</w:t>
      </w:r>
      <w:r>
        <w:rPr>
          <w:sz w:val="21"/>
        </w:rPr>
        <w:t xml:space="preserve"> (not $7M, not the AI/data-company multiple yet).</w:t>
      </w:r>
    </w:p>
    <w:p>
      <w:pPr>
        <w:pStyle w:val="ListBullet"/>
        <w:spacing w:after="60"/>
      </w:pPr>
      <w:r>
        <w:rPr>
          <w:b/>
          <w:sz w:val="21"/>
        </w:rPr>
        <w:t>Single biggest unlock:</w:t>
      </w:r>
      <w:r>
        <w:rPr>
          <w:sz w:val="21"/>
        </w:rPr>
        <w:t xml:space="preserve"> resolve </w:t>
      </w:r>
      <w:r>
        <w:rPr>
          <w:b/>
          <w:sz w:val="21"/>
        </w:rPr>
        <w:t>cold chain + COGS BOM (item 3)</w:t>
      </w:r>
      <w:r>
        <w:rPr>
          <w:sz w:val="21"/>
        </w:rPr>
        <w:t xml:space="preserve"> and produce the </w:t>
      </w:r>
      <w:r>
        <w:rPr>
          <w:b/>
          <w:sz w:val="21"/>
        </w:rPr>
        <w:t>validation pack</w:t>
      </w:r>
      <w:r>
        <w:rPr>
          <w:sz w:val="21"/>
        </w:rPr>
        <w:t xml:space="preserve"> (items 1, 2, 8). Do that and amber→green across the board.</w:t>
      </w:r>
    </w:p>
    <w:p>
      <w:r>
        <w:br w:type="page"/>
      </w:r>
    </w:p>
    <w:p>
      <w:pPr>
        <w:spacing w:after="40"/>
        <w:jc w:val="center"/>
      </w:pPr>
      <w:r>
        <w:rPr>
          <w:b/>
          <w:color w:val="2E86C1"/>
          <w:sz w:val="24"/>
        </w:rPr>
        <w:t>PART 7</w:t>
      </w:r>
    </w:p>
    <w:p>
      <w:pPr>
        <w:spacing w:after="200"/>
        <w:jc w:val="center"/>
      </w:pPr>
      <w:r>
        <w:rPr>
          <w:b/>
          <w:color w:val="1F3A5F"/>
          <w:sz w:val="44"/>
        </w:rPr>
        <w:t>Indicative Term Sheet</w:t>
      </w:r>
    </w:p>
    <w:p>
      <w:pPr>
        <w:spacing w:after="160"/>
        <w:ind w:left="360"/>
      </w:pPr>
      <w:r>
        <w:rPr>
          <w:b/>
          <w:i/>
          <w:color w:val="555555"/>
          <w:sz w:val="20"/>
        </w:rPr>
        <w:t>NON-BINDING</w:t>
      </w:r>
      <w:r>
        <w:rPr>
          <w:i/>
          <w:color w:val="555555"/>
          <w:sz w:val="20"/>
        </w:rPr>
        <w:t xml:space="preserve"> summary of proposed terms for discussion only. Not an offer of securities and not legal, tax, or investment advice. Except for *No-Shop* and *Confidentiality* (binding when countersigned), no obligation arises until definitive documents are signed. Figures are illustrative and consistent with </w:t>
      </w:r>
      <w:r>
        <w:rPr>
          <w:rFonts w:ascii="Consolas" w:hAnsi="Consolas"/>
          <w:i/>
          <w:color w:val="555555"/>
          <w:sz w:val="20"/>
        </w:rPr>
        <w:t>valuation.md</w:t>
      </w:r>
      <w:r>
        <w:rPr>
          <w:i/>
          <w:color w:val="555555"/>
          <w:sz w:val="20"/>
        </w:rPr>
        <w:t xml:space="preserve"> / </w:t>
      </w:r>
      <w:r>
        <w:rPr>
          <w:rFonts w:ascii="Consolas" w:hAnsi="Consolas"/>
          <w:i/>
          <w:color w:val="555555"/>
          <w:sz w:val="20"/>
        </w:rPr>
        <w:t>financial-model.md</w:t>
      </w:r>
      <w:r>
        <w:rPr>
          <w:i/>
          <w:color w:val="555555"/>
          <w:sz w:val="20"/>
        </w:rPr>
        <w:t xml:space="preserve"> (v0.4).</w:t>
      </w:r>
    </w:p>
    <w:p>
      <w:pPr>
        <w:pStyle w:val="Heading2"/>
      </w:pPr>
      <w:r>
        <w:t>1. Headline terms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Proposed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Company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Synapep (JV — WBI 70% / Eyesel 30%; IP-owning entity)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Investor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[Lead investor / SPV]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Instrument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Post-money SAFE</w:t>
            </w:r>
            <w:r>
              <w:rPr>
                <w:sz w:val="19"/>
              </w:rPr>
              <w:t xml:space="preserve"> (Y Combinator post-money form, modified for milestone tranches)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Total amount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US$1,000,000</w:t>
            </w:r>
            <w:r>
              <w:rPr>
                <w:sz w:val="19"/>
              </w:rPr>
              <w:t xml:space="preserve">, funded in </w:t>
            </w:r>
            <w:r>
              <w:rPr>
                <w:b/>
                <w:sz w:val="19"/>
              </w:rPr>
              <w:t>two tranches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Valuation cap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US$6,000,000</w:t>
            </w:r>
            <w:r>
              <w:rPr>
                <w:sz w:val="19"/>
              </w:rPr>
              <w:t xml:space="preserve"> post-money (range $5–6M; $6M if validation pack is complete at close)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Discount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20%</w:t>
            </w:r>
            <w:r>
              <w:rPr>
                <w:sz w:val="19"/>
              </w:rPr>
              <w:t xml:space="preserve"> to the next priced round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MFN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Yes — Investor gets the best terms granted to any other SAFE in this round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Conversion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 xml:space="preserve">Converts to preferred at the next </w:t>
            </w:r>
            <w:r>
              <w:rPr>
                <w:b/>
                <w:sz w:val="19"/>
              </w:rPr>
              <w:t>Qualified Financing</w:t>
            </w:r>
            <w:r>
              <w:rPr>
                <w:sz w:val="19"/>
              </w:rPr>
              <w:t xml:space="preserve"> (priced equity round ≥ </w:t>
            </w:r>
            <w:r>
              <w:rPr>
                <w:b/>
                <w:sz w:val="19"/>
              </w:rPr>
              <w:t>US$3,000,000</w:t>
            </w:r>
            <w:r>
              <w:rPr>
                <w:sz w:val="19"/>
              </w:rPr>
              <w:t>), at the better of cap or discount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Pro-rata rights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Yes — right to maintain ownership % in the Series A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Information rights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Quarterly management accounts, annual budget, cap table on request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Governance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Board observer</w:t>
            </w:r>
            <w:r>
              <w:rPr>
                <w:sz w:val="19"/>
              </w:rPr>
              <w:t xml:space="preserve"> seat while the SAFE is outstanding (no board control)</w:t>
            </w:r>
          </w:p>
        </w:tc>
      </w:tr>
    </w:tbl>
    <w:p>
      <w:pPr>
        <w:spacing w:after="40"/>
      </w:pPr>
    </w:p>
    <w:p>
      <w:pPr>
        <w:pStyle w:val="Heading2"/>
      </w:pPr>
      <w:r>
        <w:t>2. Tranche structure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Tranche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Amount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Release trigger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9"/>
              </w:rPr>
              <w:t>Tranche 1 — Close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US$400,000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On signing + satisfaction of Conditions Precedent (§3)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9"/>
              </w:rPr>
              <w:t>Tranche 2 — Milestone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US$600,000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On Investor's written confirmation that Milestones (§4) are met, within 12 months of close</w:t>
            </w:r>
          </w:p>
        </w:tc>
      </w:tr>
    </w:tbl>
    <w:p>
      <w:pPr>
        <w:spacing w:after="40"/>
      </w:pPr>
    </w:p>
    <w:p>
      <w:pPr>
        <w:spacing w:after="160"/>
        <w:ind w:left="360"/>
      </w:pPr>
      <w:r>
        <w:rPr>
          <w:i/>
          <w:color w:val="555555"/>
          <w:sz w:val="20"/>
        </w:rPr>
        <w:t>If Milestones are not met within 12 months, Tranche 2 is at the Investor's discretion (or renegotiated). Both tranches share the same cap/discount.</w:t>
      </w:r>
    </w:p>
    <w:p>
      <w:pPr>
        <w:pStyle w:val="Heading2"/>
      </w:pPr>
      <w:r>
        <w:t>3. Conditions precedent (before Tranche 1)</w:t>
      </w:r>
    </w:p>
    <w:p>
      <w:pPr>
        <w:pStyle w:val="ListNumber"/>
        <w:spacing w:after="60"/>
      </w:pPr>
      <w:r>
        <w:rPr>
          <w:b/>
          <w:sz w:val="21"/>
        </w:rPr>
        <w:t>IP into the JV</w:t>
      </w:r>
      <w:r>
        <w:rPr>
          <w:sz w:val="21"/>
        </w:rPr>
        <w:t xml:space="preserve"> — executed assignment or </w:t>
      </w:r>
      <w:r>
        <w:rPr>
          <w:b/>
          <w:sz w:val="21"/>
        </w:rPr>
        <w:t>exclusive license</w:t>
      </w:r>
      <w:r>
        <w:rPr>
          <w:sz w:val="21"/>
        </w:rPr>
        <w:t xml:space="preserve"> of WBI IP (CodeLife.AI, IT-EXO®, SynExo, formulation know-how, relevant patents/trademarks) into Synapep, with a contribution schedule.</w:t>
      </w:r>
    </w:p>
    <w:p>
      <w:pPr>
        <w:pStyle w:val="ListNumber"/>
        <w:spacing w:after="60"/>
      </w:pPr>
      <w:r>
        <w:rPr>
          <w:b/>
          <w:sz w:val="21"/>
        </w:rPr>
        <w:t>Commercial verification</w:t>
      </w:r>
      <w:r>
        <w:rPr>
          <w:sz w:val="21"/>
        </w:rPr>
        <w:t xml:space="preserve"> — independent verification of a representative </w:t>
      </w:r>
      <w:r>
        <w:rPr>
          <w:b/>
          <w:sz w:val="21"/>
        </w:rPr>
        <w:t>sample of the "US$25M+" sales</w:t>
      </w:r>
      <w:r>
        <w:rPr>
          <w:sz w:val="21"/>
        </w:rPr>
        <w:t xml:space="preserve"> at entity/product/channel level (invoices, distributor statements or management accounts).</w:t>
      </w:r>
    </w:p>
    <w:p>
      <w:pPr>
        <w:pStyle w:val="ListNumber"/>
        <w:spacing w:after="60"/>
      </w:pPr>
      <w:r>
        <w:rPr>
          <w:b/>
          <w:sz w:val="21"/>
        </w:rPr>
        <w:t>Data rights</w:t>
      </w:r>
      <w:r>
        <w:rPr>
          <w:sz w:val="21"/>
        </w:rPr>
        <w:t xml:space="preserve"> — a </w:t>
      </w:r>
      <w:r>
        <w:rPr>
          <w:b/>
          <w:sz w:val="21"/>
        </w:rPr>
        <w:t>clinic-contract template</w:t>
      </w:r>
      <w:r>
        <w:rPr>
          <w:sz w:val="21"/>
        </w:rPr>
        <w:t xml:space="preserve"> embedding consent, de-identification and Synapep data-ownership/usage rights (the basis of the AI moat).</w:t>
      </w:r>
    </w:p>
    <w:p>
      <w:pPr>
        <w:pStyle w:val="ListNumber"/>
        <w:spacing w:after="60"/>
      </w:pPr>
      <w:r>
        <w:rPr>
          <w:b/>
          <w:sz w:val="21"/>
        </w:rPr>
        <w:t>Corporate</w:t>
      </w:r>
      <w:r>
        <w:rPr>
          <w:sz w:val="21"/>
        </w:rPr>
        <w:t xml:space="preserve"> — clean cap table, JV agreement, good standing, and customary reps &amp; warranties.</w:t>
      </w:r>
    </w:p>
    <w:p>
      <w:pPr>
        <w:pStyle w:val="Heading2"/>
      </w:pPr>
      <w:r>
        <w:t>4. Milestones (release Tranche 2)</w:t>
      </w:r>
    </w:p>
    <w:p>
      <w:pPr>
        <w:pStyle w:val="ListNumber"/>
        <w:spacing w:after="60"/>
      </w:pPr>
      <w:r>
        <w:rPr>
          <w:b/>
          <w:sz w:val="21"/>
        </w:rPr>
        <w:t>Cold chain + COGS</w:t>
      </w:r>
      <w:r>
        <w:rPr>
          <w:sz w:val="21"/>
        </w:rPr>
        <w:t xml:space="preserve"> — a validated stability/storage spec </w:t>
      </w:r>
      <w:r>
        <w:rPr>
          <w:b/>
          <w:sz w:val="21"/>
        </w:rPr>
        <w:t>viable at clinic level</w:t>
      </w:r>
      <w:r>
        <w:rPr>
          <w:sz w:val="21"/>
        </w:rPr>
        <w:t xml:space="preserve"> (target 2–8 °C or ambient; if −80 °C retained, a costed cold-chain plan) </w:t>
      </w:r>
      <w:r>
        <w:rPr>
          <w:b/>
          <w:sz w:val="21"/>
        </w:rPr>
        <w:t>plus a bottom-up COGS bill of materials</w:t>
      </w:r>
      <w:r>
        <w:rPr>
          <w:sz w:val="21"/>
        </w:rPr>
        <w:t xml:space="preserve"> with per-batch QC-release costs.</w:t>
      </w:r>
    </w:p>
    <w:p>
      <w:pPr>
        <w:pStyle w:val="ListNumber"/>
        <w:spacing w:after="60"/>
      </w:pPr>
      <w:r>
        <w:rPr>
          <w:b/>
          <w:sz w:val="21"/>
        </w:rPr>
        <w:t>Anchor clinics</w:t>
      </w:r>
      <w:r>
        <w:rPr>
          <w:sz w:val="21"/>
        </w:rPr>
        <w:t xml:space="preserve"> — </w:t>
      </w:r>
      <w:r>
        <w:rPr>
          <w:b/>
          <w:sz w:val="21"/>
        </w:rPr>
        <w:t>5–10 anchor clinics live</w:t>
      </w:r>
      <w:r>
        <w:rPr>
          <w:sz w:val="21"/>
        </w:rPr>
        <w:t xml:space="preserve"> with documented </w:t>
      </w:r>
      <w:r>
        <w:rPr>
          <w:b/>
          <w:sz w:val="21"/>
        </w:rPr>
        <w:t>kits/clinic/month and reorder</w:t>
      </w:r>
      <w:r>
        <w:rPr>
          <w:sz w:val="21"/>
        </w:rPr>
        <w:t xml:space="preserve"> evidence.</w:t>
      </w:r>
    </w:p>
    <w:p>
      <w:pPr>
        <w:pStyle w:val="ListNumber"/>
        <w:spacing w:after="60"/>
      </w:pPr>
      <w:r>
        <w:rPr>
          <w:b/>
          <w:sz w:val="21"/>
        </w:rPr>
        <w:t>Clinical readout</w:t>
      </w:r>
      <w:r>
        <w:rPr>
          <w:sz w:val="21"/>
        </w:rPr>
        <w:t xml:space="preserve"> — one </w:t>
      </w:r>
      <w:r>
        <w:rPr>
          <w:b/>
          <w:sz w:val="21"/>
        </w:rPr>
        <w:t>prospective Synapep protocol</w:t>
      </w:r>
      <w:r>
        <w:rPr>
          <w:sz w:val="21"/>
        </w:rPr>
        <w:t xml:space="preserve"> readout on the chosen beachhead indication (e.g., hair/scalp or post-procedure recovery).</w:t>
      </w:r>
    </w:p>
    <w:p>
      <w:pPr>
        <w:pStyle w:val="ListNumber"/>
        <w:spacing w:after="60"/>
      </w:pPr>
      <w:r>
        <w:rPr>
          <w:b/>
          <w:sz w:val="21"/>
        </w:rPr>
        <w:t>Regulatory</w:t>
      </w:r>
      <w:r>
        <w:rPr>
          <w:sz w:val="21"/>
        </w:rPr>
        <w:t xml:space="preserve"> — a </w:t>
      </w:r>
      <w:r>
        <w:rPr>
          <w:b/>
          <w:sz w:val="21"/>
        </w:rPr>
        <w:t>classification memo</w:t>
      </w:r>
      <w:r>
        <w:rPr>
          <w:sz w:val="21"/>
        </w:rPr>
        <w:t xml:space="preserve"> (Korea + first export market) confirming the topical/microneedling </w:t>
      </w:r>
      <w:r>
        <w:rPr>
          <w:b/>
          <w:sz w:val="21"/>
        </w:rPr>
        <w:t>device path holds for the personalisation envelope</w:t>
      </w:r>
      <w:r>
        <w:rPr>
          <w:sz w:val="21"/>
        </w:rPr>
        <w:t>, with the IM/injectable line on a separate pathway.</w:t>
      </w:r>
    </w:p>
    <w:p>
      <w:pPr>
        <w:pStyle w:val="Heading2"/>
      </w:pPr>
      <w:r>
        <w:t>5. Use of funds (tied to milestones)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Bucket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Regulatory &amp; legal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Korea/HK + first-export classification memo; JV/IP documentation; claims review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Clinical / KOL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Anchor-clinic protocol, prospective beachhead study, testimony dossier, safety monitoring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Manufacturing / chemistry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Cold-chain/stability resolution</w:t>
            </w:r>
            <w:r>
              <w:rPr>
                <w:sz w:val="19"/>
              </w:rPr>
              <w:t>, COGS BOM, QA/release validation, initial inventory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AI / data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CodeLife.AI v1, consent workflow, device-side capture, QA analytics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Launch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KOL education, clinic onboarding, first-export distributor readiness</w:t>
            </w:r>
          </w:p>
        </w:tc>
      </w:tr>
    </w:tbl>
    <w:p>
      <w:pPr>
        <w:spacing w:after="40"/>
      </w:pPr>
    </w:p>
    <w:p>
      <w:pPr>
        <w:pStyle w:val="Heading2"/>
      </w:pPr>
      <w:r>
        <w:t>6. Market / kit-classification risk (export note)</w:t>
      </w:r>
    </w:p>
    <w:p>
      <w:pPr>
        <w:spacing w:after="120"/>
      </w:pPr>
      <w:r>
        <w:rPr>
          <w:sz w:val="21"/>
        </w:rPr>
        <w:t xml:space="preserve">KFDA registration anchors export via reliance (Hong Kong MDACS reference, Vietnam, ASEAN cascade, GCC/SFDA). </w:t>
      </w:r>
      <w:r>
        <w:rPr>
          <w:b/>
          <w:sz w:val="21"/>
        </w:rPr>
        <w:t>However, the treatment-kit's classification varies by market</w:t>
      </w:r>
      <w:r>
        <w:rPr>
          <w:sz w:val="21"/>
        </w:rPr>
        <w:t xml:space="preserve"> (cosmetic vs medical device vs drug) and </w:t>
      </w:r>
      <w:r>
        <w:rPr>
          <w:b/>
          <w:sz w:val="21"/>
        </w:rPr>
        <w:t>exosome claims are restricted</w:t>
      </w:r>
      <w:r>
        <w:rPr>
          <w:sz w:val="21"/>
        </w:rPr>
        <w:t xml:space="preserve"> (Korea ad ban; EU human-exosome cosmetic ban; US FDA warnings). Investor relies on Company maintaining </w:t>
      </w:r>
      <w:r>
        <w:rPr>
          <w:b/>
          <w:sz w:val="21"/>
        </w:rPr>
        <w:t>claim discipline</w:t>
      </w:r>
      <w:r>
        <w:rPr>
          <w:sz w:val="21"/>
        </w:rPr>
        <w:t xml:space="preserve"> and using </w:t>
      </w:r>
      <w:r>
        <w:rPr>
          <w:b/>
          <w:sz w:val="21"/>
        </w:rPr>
        <w:t>salmon/synthetic (non-human) origin</w:t>
      </w:r>
      <w:r>
        <w:rPr>
          <w:sz w:val="21"/>
        </w:rPr>
        <w:t xml:space="preserve"> where it eases classification. A per-market regulatory map is a Tranche-2 expectation.</w:t>
      </w:r>
    </w:p>
    <w:p>
      <w:pPr>
        <w:pStyle w:val="Heading2"/>
      </w:pPr>
      <w:r>
        <w:t>7. Other terms</w:t>
      </w:r>
    </w:p>
    <w:p>
      <w:pPr>
        <w:pStyle w:val="ListBullet"/>
        <w:spacing w:after="60"/>
      </w:pPr>
      <w:r>
        <w:rPr>
          <w:b/>
          <w:sz w:val="21"/>
        </w:rPr>
        <w:t>No-Shop:</w:t>
      </w:r>
      <w:r>
        <w:rPr>
          <w:sz w:val="21"/>
        </w:rPr>
        <w:t xml:space="preserve"> 45 days exclusivity from countersignature (binding).</w:t>
      </w:r>
    </w:p>
    <w:p>
      <w:pPr>
        <w:pStyle w:val="ListBullet"/>
        <w:spacing w:after="60"/>
      </w:pPr>
      <w:r>
        <w:rPr>
          <w:b/>
          <w:sz w:val="21"/>
        </w:rPr>
        <w:t>Confidentiality:</w:t>
      </w:r>
      <w:r>
        <w:rPr>
          <w:sz w:val="21"/>
        </w:rPr>
        <w:t xml:space="preserve"> binding; mutual.</w:t>
      </w:r>
    </w:p>
    <w:p>
      <w:pPr>
        <w:pStyle w:val="ListBullet"/>
        <w:spacing w:after="60"/>
      </w:pPr>
      <w:r>
        <w:rPr>
          <w:b/>
          <w:sz w:val="21"/>
        </w:rPr>
        <w:t>Expenses:</w:t>
      </w:r>
      <w:r>
        <w:rPr>
          <w:sz w:val="21"/>
        </w:rPr>
        <w:t xml:space="preserve"> each party bears its own (or capped reimbursement at the Investor's option).</w:t>
      </w:r>
    </w:p>
    <w:p>
      <w:pPr>
        <w:pStyle w:val="ListBullet"/>
        <w:spacing w:after="60"/>
      </w:pPr>
      <w:r>
        <w:rPr>
          <w:b/>
          <w:sz w:val="21"/>
        </w:rPr>
        <w:t>Expiry:</w:t>
      </w:r>
      <w:r>
        <w:rPr>
          <w:sz w:val="21"/>
        </w:rPr>
        <w:t xml:space="preserve"> this term sheet lapses if not accepted within [14] days.</w:t>
      </w:r>
    </w:p>
    <w:p>
      <w:pPr>
        <w:spacing w:after="120"/>
      </w:pPr>
      <w:r>
        <w:rPr>
          <w:sz w:val="21"/>
        </w:rPr>
        <w:t>*Prepared as a planning artifact reflecting the independent technical-investor evaluation. Final terms subject to definitive documentation and the Company's counsel review.*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