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Reported retention was 93.3%,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The coexistence of a recorded score increase and non-return motivates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Stage 2 prospectively documents substantial early disengagement and non-return,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FIAS,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r>
        <w:rPr>
          <w:highlight w:val="yellow"/>
        </w:rPr>
        <w:t xml:space="preserve"> [AUTHOR CHECK: state the rationale for the ≥4-cycle 'sustained' threshold relative to the intended three-to-five-play protocol (§5.5 provenance note) - three plays met the protocol's lower bound, so the classification needs its stated basis: design minimum, data-usability floor, or beyond-minimum engagement.]</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highlight w:val="yellow"/>
        </w:rPr>
        <w:t>[AUTHOR CHECK: confirm the 'before' value's source - the index from the participant's first recorded play, or a separate facility FRA assessment preceding the deployment?]</w:t>
      </w:r>
      <w:r>
        <w:t xml:space="preserve"> Two consequences are stated plainly: the post-measurement time varies across participants - it is each participant's last play, not a fixed end-of-window date - so pre/post changes span different exposure durations; and for single-session participants the recorded change derives from within that single session.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demonstrate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to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commentReference w:id="5"/>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demonstrates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