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Stage 3B — Mini-Protocol (DRAFT for supervisor sign-off)</w:t>
      </w:r>
    </w:p>
    <w:p>
      <w:pPr>
        <w:jc w:val="center"/>
      </w:pPr>
      <w:r>
        <w:rPr>
          <w:i/>
          <w:sz w:val="19"/>
        </w:rPr>
        <w:t>First field deployment of the adaptive-learning framework · Sidney K. T. Tam · Chief Supervisor: Prof. Benny C. F. Cheung · August 2026</w:t>
        <w:br/>
        <w:t>To be dated and filed BEFORE the first invitation is sent. Recruitment starts only after the ethics-scope check (approved application snapshot) confirms coverage, or a change request is approved.</w:t>
      </w:r>
    </w:p>
    <w:p>
      <w:pPr>
        <w:pStyle w:val="Heading1"/>
      </w:pPr>
      <w:r>
        <w:t>1. Position in the research programme</w:t>
      </w:r>
    </w:p>
    <w:p>
      <w:r>
        <w:t>This study is NOT an AI study. The research programme concerns older adults' behaviour when facing health tests and checks; its central finding is psychological — the threat that assessment verdicts pose to the older user's self-concept (FIAS), and the self-cognitive desire that governs whether engagement survives. Gamification helps but is not sufficient on its own; the March-April 2026 deployment (Stage 3, reported as conducted) showed that removing the clinical frame restores acceptance. Stage 3B tests the programme's constructive answer: the Chapter 7 adaptive-learning framework — challenge calibrated to the individual, results presented as a personal trajectory, coaching absorbing the failure moment. AI serves strictly as a facilitating tool for that adaptive learning, and is reported as such.</w:t>
      </w:r>
    </w:p>
    <w:p>
      <w:pPr>
        <w:pStyle w:val="Heading1"/>
      </w:pPr>
      <w:r>
        <w:t>2. Hypothesis</w:t>
      </w:r>
    </w:p>
    <w:p>
      <w:r>
        <w:t>H-3B (directional): an adaptively calibrated game that presents performance as a personal trajectory with supportive coaching can sustain older adults' engagement and willingness to return EVEN WHEN the activity visibly measures them — i.e., the adaptive approach addresses the psychological impact (self-concept threat) that drives abandonment, and AI is a viable tool to facilitate that learning process.</w:t>
      </w:r>
    </w:p>
    <w:p>
      <w:r>
        <w:t>Null form (H0-3B): the adaptive presentation produces no difference in engagement, return behaviour or stated intention relative to a non-adaptive presentation of the same game; in that case the framework claim fails and is reported as failed.</w:t>
      </w:r>
    </w:p>
    <w:p>
      <w:r>
        <w:t>Author's prior expectation, stated for the record: the author is confident the conclusions of Stage 3 will be supported and the framework will show the predicted effect. This protocol exists so that the data can confirm or refute that expectation independently.</w:t>
      </w:r>
    </w:p>
    <w:p>
      <w:pPr>
        <w:pStyle w:val="Heading1"/>
      </w:pPr>
      <w:r>
        <w:t>3. Design</w:t>
      </w:r>
    </w:p>
    <w:p>
      <w:r>
        <w:t>DECISION FOR SUPERVISOR — one of two designs:</w:t>
      </w:r>
    </w:p>
    <w:p>
      <w:r>
        <w:t>Option A (recommended if N &gt;= 40): two-arm, individually randomised at first launch inside the build. Arm 1 'adaptive': rule-agent difficulty calibration + trajectory display ('your best runs over time') + coaching messages. Arm 2 'static': fixed moderate difficulty, plain score display, no coaching. Same game, same length, same questionnaire. This is the cleanest first test of the framework: the only differences between arms are the framework elements themselves.</w:t>
      </w:r>
      <w:r>
        <w:t xml:space="preserve"> Blinding: all participants receive the identical build and are not told that two presentation variants exist; assignment is silent and random at first launch. The consent screen truthfully describes the activity, recording and voluntariness — variant assignment is presentation-level A/B allocation.</w:t>
      </w:r>
      <w:r>
        <w:t xml:space="preserve"> DESIGN EXTENDED 9 Aug 2026 (author's decision): a second randomised factor, FAILURE MODE, is crossed with the arm — 50/50 silent assignment at consent to zero-failure (bumps never end a run) or failure-possible (three bumps end the run early: game over, framed encouragingly with immediate replay). This yields a 2x2 factorial (adaptive/static x zero-fail/fail-possible). The failure-possible cells directly test the framework's core claim: whether adaptive presentation preserves return behaviour AFTER actual failure. Return-after-game-over becomes a primary behavioural outcome in those cells. RISK NOTE for supervisor: game-over is the mild, casual-game kind (kind wording, instant retry); discouragement from failure is the phenomenon under study and was declared as such in the approved application's risk section; the factor must be included in the signed protocol. DIFFICULTY: in the adaptive arm the rule agent raises difficulty (max +0.10/step, ceiling x1.50) when the player avoids &gt;80% of obstacles and eases (-0.15, floor x0.30) below 40%; the static arm stays at x0.85 throughout; failure mode does not alter difficulty logic, only what a bump costs.</w:t>
      </w:r>
      <w:r>
        <w:t xml:space="preserve"> DESIGN ALTERNATIVE CONSIDERED AND REJECTED (9 Aug 2026): having the adaptive agent toggle failure-possibility dynamically during play, unnoticed by the player. Rejected on three grounds: (1) agent-decided assignment is endogenous — conditioned on performance — and breaks causal attribution; (2) within-session condition switching leaves behaviour attributable to no condition, emptying the factorial cells; (3) inconsistent rules read as arbitrariness, importing perceived unfairness as a confound. The implemented design — one silent random assignment per participant, rules constant for that participant throughout — preserves the intended randomness and blinding while keeping cells interpretable. Adaptive stakes (consequences as part of challenge calibration) are noted as a §8.8 follow-on design, not for Stage 3B.</w:t>
      </w:r>
    </w:p>
    <w:p>
      <w:r>
        <w:t>Option B (if recruitment is limited): single-arm adaptive deployment, with the March-April Stage-3 record as a between-cohort, clearly-caveated comparator (as Stage 3 itself was compared with Stage 2).</w:t>
      </w:r>
    </w:p>
    <w:p>
      <w:r>
        <w:t>KEY DESIGN POINT in both options: unlike Stage 3 (which removed all performance verdicts), Stage 3B deliberately REINTRODUCES gentle, trajectory-framed measurement. The framework's claim is not that measurement must be hidden but that it can be made bearable. Stage 3B is the direct test of whether the occupied middle ground of Figure 8.1 is real.</w:t>
      </w:r>
    </w:p>
    <w:p>
      <w:pPr>
        <w:pStyle w:val="Heading1"/>
      </w:pPr>
      <w:r>
        <w:t>4. Participants, recruitment, consent</w:t>
      </w:r>
    </w:p>
    <w:p>
      <w:r>
        <w:t>Target: 40-60 community-dwelling adults aged 25-80, recruited in the same three bands as Stage 3 (25-44 / 45-64 / 65-80) for continuity, with the 65-80 band prioritised. Recruitment by e-mail/messaging invitation through the author's networks and named distributors, each logged in the channel map from day one (invitation date, chain, target range). Consent: RECORDED in-build — a consent screen stating the research purpose, voluntariness, anonymity and data use, requiring an explicit tap/click before play; the consent event is written into the export. This upgrades Stage 3's implied-consent model.</w:t>
      </w:r>
      <w:r>
        <w:t xml:space="preserve"> COHORT INDEPENDENCE: participants must be NEW — Stage-3 (March-April) players are not re-recruited, for the same contamination reason the Stage-2 facility was not re-used in Stage 3 (prior exposure invalidates first-contact behaviour and practice effects distort calibration). Distribution CHANNELS may be re-used; distributors invite different people. Safeguard: the enrolment screen includes one screening item — 'Did you play the skiing game earlier this year? Yes/No' — and any 'Yes' participant is flagged at entry and analysed separately (excluded from primary outcomes), never silently pooled.</w:t>
      </w:r>
      <w:r>
        <w:t xml:space="preserve"> CHANNEL PLAN (8 Aug 2026): (i) university business-school network (100+ adults 40+) — primary source for the 45-64 band; SAFEGUARD: any invitation reaching current students states that participation is voluntary, anonymous and unrelated to any course, assessment or relationship with the researcher; (ii) elderly house / day community centre — target 20-30 in the 65-80 band via on-site sessions; REQUIREMENTS: centre manager's recorded agreement (gatekeeper permission) PLUS individual in-build consent; setting logged per channel (community-centre vs remote) and reported as a context covariate; facilitators may assist with the device but never with gameplay; (iii) existing distributor chains + personal network for the 25-44 band (15-25). Revised expected N: 80-120, making the two-arm design (Option A) well powered.</w:t>
      </w:r>
    </w:p>
    <w:p>
      <w:pPr>
        <w:pStyle w:val="Heading1"/>
      </w:pPr>
      <w:r>
        <w:t>5. Instruments and data</w:t>
      </w:r>
    </w:p>
    <w:p>
      <w:r>
        <w:t>The v3.0 build collects, in ONE export file per participant: (a) consent event; (b) enrolment — age band, gender, education (no names); (c) session telemetry and state-change log (rule-agent decisions logged with reasons); (d) end-screen questionnaire: D1 (coordination-challenge endorsement) and D2 (regular-play intention) unchanged for comparability, plus two framework items: F1 'the game matched my ability' and F2 'seeing my progress made me want to continue'; (e) arm assignment (Option A). Response scale: [5-point, confirm against Appendix D decision]. Return: one share-sheet/e-mail action; every return logged with date on arrival.</w:t>
      </w:r>
      <w:r>
        <w:t xml:space="preserve"> AGE RESOLUTION DECISION (8 Aug 2026): age is collected as the BAND ONLY (25-44 / 45-64 / 65-80) — matching the approved application's data-minimisation description, preserving anonymity in small identifiable communities, and keeping band-level comparability with Stage 3. Exact age is NOT collected.</w:t>
      </w:r>
      <w:r>
        <w:t xml:space="preserve"> RUN STRUCTURE (locked 9 Aug 2026 after author play-testing): every run lasts a fixed 30 seconds — the 200 m distance goal is a mid-run bonus, not an early end — so all participants and both arms receive equal exposure time per run, standardising the arm comparison. Languages: Traditional Chinese, Simplified Chinese and English, participant-selected at first launch.</w:t>
      </w:r>
    </w:p>
    <w:p>
      <w:pPr>
        <w:pStyle w:val="Heading1"/>
      </w:pPr>
      <w:r>
        <w:t>6. AI transparency commitments</w:t>
      </w:r>
    </w:p>
    <w:p>
      <w:r>
        <w:t>The adaptive core is the deterministic rule agent (fully logged, reasons recorded). If a language-model service is used for coaching text, it receives ONLY non-identifying aggregate game parameters; every call is logged (endpoint, model, prompt template, timestamp) and the record archived (G.7). If no external service is used, coaching text is template-based and stated as such. The thesis reports the mechanism exactly as built.</w:t>
      </w:r>
    </w:p>
    <w:p>
      <w:pPr>
        <w:pStyle w:val="Heading1"/>
      </w:pPr>
      <w:r>
        <w:t>7. Outcomes and analysis</w:t>
      </w:r>
    </w:p>
    <w:p>
      <w:r>
        <w:t>INFERENTIAL HIERARCHY (pre-specified 9 Aug 2026, before any recruitment). CONFIRMATORY (single primary contrast): adaptive vs static arm on stated regular-play intention (D2, top-two-box), with voluntary sessions played per participant as behavioural co-primary; direction predicted: adaptive &gt; static. Powered to detect large effects (~25pp at N~50/arm) — the magnitude the programme's prior stage contrasts exhibited. ESTIMATIVE (secondary, reported as effect sizes with Wilson CIs, no strong claims): failure-mode main effect; return after a below-personal-best run; return after game-over (failure-possible half, event-level with participant clustering acknowledged); D1, F1, F2; band gradients vs the Stage-3 pattern (build-caveated). EXPLORATORY (labelled as such): the arm x failure-mode interaction — cells of 20-30 cannot power an interaction test; the cell pattern is reported descriptively and feeds the power calculation for the §8.8 confirmatory trial, which is stated as a contribution of this study. All outcomes reported regardless of direction; a null primary result is reported as a finding against the framework's claim.</w:t>
      </w:r>
    </w:p>
    <w:p>
      <w:pPr>
        <w:pStyle w:val="Heading1"/>
      </w:pPr>
      <w:r>
        <w:t>8. Window and reporting</w:t>
      </w:r>
    </w:p>
    <w:p>
      <w:r>
        <w:t>Collection window: [start date] to [end date] (approx. 4 weeks), within the approved research period ending October 2026. Reporting: a new thesis section (Stage 3B) plus rewrite of section 8.8 from 'proposed programme' to 'first deployment conducted'; the March-April Stage-3 record remains reported as conducted, unchanged. Data governance, retention and confidentiality: identical to the approved application (ten-year retention; identifier separation; aggregate reporting).</w:t>
      </w:r>
    </w:p>
    <w:p>
      <w:pPr>
        <w:pStyle w:val="Heading1"/>
      </w:pPr>
      <w:r>
        <w:t>9. Sign-off</w:t>
      </w:r>
    </w:p>
    <w:p>
      <w:r>
        <w:t>Author: ____________________  Date: ____________</w:t>
      </w:r>
    </w:p>
    <w:p>
      <w:r>
        <w:t>Chief Supervisor: ____________________  Date: ____________</w:t>
      </w:r>
    </w:p>
    <w:p>
      <w:r>
        <w:t>Ethics scope: covered by HSEARS20260805008 as approved [ ] / change request filed and approved, ref: ____________ [ ]</w:t>
      </w:r>
    </w:p>
    <w:p>
      <w:pPr>
        <w:pStyle w:val="Heading1"/>
      </w:pPr>
      <w:r>
        <w:t>Amendment A (pre-launch, 13 Aug 2026): final score system</w:t>
      </w:r>
    </w:p>
    <w:p>
      <w:pPr/>
      <w:r>
        <w:t>Following field testing and before any study participant plays, the score system was finalised as gains-only (RPG grammar: experience never decreases; failure costs future earning rate, never banked points). Final formula, identical in both arms: Score = distance (1 point per metre) + coins (10 points x combo multiplier at collection) + skill dodges (5 points per near-miss) + 50-point mid-run goal bonus. The combo multiplier rises x1 -&gt; x2 (6 s clean) -&gt; x3 (12 s clean) and resets to x1 on an obstacle bump; no points are ever deducted for hits or missed coins (missed coins are reported as a collection rate on the end card). A persistent XP total (sum of run scores) and Skier Level (10 thresholds) accumulate across a participant's sessions and are shown on the end card - a return-visit motivator aligned with the D2/sessions-played co-primary outcome. A deduction-based alternative (-100 per hit, -10 per missed coin) was considered and rejected on design-doctrine grounds: it reintroduces the loss economy (Kahneman-Tversky loss aversion; Octalysis D8 inversion) that the programme's evidence identifies as the abandonment driver. New per-session export fields: Combo_Max, Dodges, Coins_Missed, XP_Total, Skier_Level. Scoring is not an experimental factor; both arms and both failure modes use the identical formula.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