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surveyed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Qualitative Record and the F4 Interview Protocol (Designed, Not Administered)</w:t>
        <w:tab/>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pPr>
      <w:r>
        <w:t>Figure 8.1. The gerontechnology design space: measurement versus engagement, and the occupied middle ground.</w:t>
        <w:tab/>
        <w:t>79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surveyed, of a resident population of 280).</w:t>
        <w:tab/>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never as assessment — a decoupled frame arrived at by commercial instinct; and the engagement scaffold is explicitly social, anticipating the group-dynamics mechanism raised in the §6.8A consultation. What the model does not contain is the layer this thesis contributes: GrandPad avoids threatening frames by carrying no clinical measurement at all, whereas the present programme concerns technologies that must measure while remaining bearable. The comparator therefore marks a boundary in the design space: engagement without clinical purpose is commercially solved; engagement with clinical purpose intact is the open problem the adaptive-learning framework addresses.</w:t>
      </w:r>
    </w:p>
    <w:p>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(§8.8),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r>
        <w:t>Read as a boundary case, the comparator also sharpens what commercial gerontechnology has so far left unaddressed, and locates this programme's contribution to gerontology as AI-enabled health technology arrives. Three omissions matter. First, the avoided middle: the market divides into clinical instruments that measure but are abandoned (the FRA of Chapter 4) and consumer platforms that engage but do not measure (the GrandPad class); the technologies that population ageing actually requires — instruments that assess fall risk, cognition and function, repeatedly and acceptably — sit in the middle that both poles avoid. Second, the missing failure model: GrandPad-class design treats disengagement as a usability and access problem and answers it by minimising occasions for failure; it carries no account of what an adverse result does to an older user's self-concept, because it never delivers one. Curated ease also caps challenge, and with it the mastery experiences on which learning and flow depend (Csikszentmihalyi, 1990; Vygotsky, 1978).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make individually calibrated challenge inexpensive to implement at scale — the enabling technology for the Chapter 7 framework — but the same wave is filling gerontechnology with continuous monitoring, risk scores and predictions: more verdicts about ageing bodies, delivered more often, to the population this thesis shows may respond to unfavourable verdicts by leaving permanently. Without a behavioural layer, AI-era gerontechnology risks industrialising the abandonment pattern documented here. The programme's contribution to gerontology is that layer: FIAS names the failure mode that verdict-bearing technology must design against; the Stage-3 frame-sensitivity evidence indicates where the leverage lies; and the adaptive-learning framework specifies how a measuring technology can remain bearable — challenge calibrated to the person, results presented as a trajectory, coaching absorbing the failure moment. The gamified FRA is the working demonstration that the middle ground is occupiable: one physical action that plays and measures, made returnable-to by design. In an AI decade, that is the difference between health technologies older adults live with and health technologies that fall silent (§8.6B). Figure 8.1 maps this design space.</w:t>
      </w:r>
    </w:p>
    <w:p>
      <w:r>
        <w:drawing>
          <wp:inline>
            <wp:extent cx="5120640" cy="3995517"/>
            <wp:docPr id="32" name="Picture 32"/>
            <wp:cNvGraphicFramePr>
              <a:graphicFrameLocks noChangeAspect="1"/>
            </wp:cNvGraphicFramePr>
            <a:graphic>
              <a:graphicData uri="http://schemas.openxmlformats.org/drawingml/2006/picture">
                <pic:pic>
                  <pic:nvPicPr>
                    <pic:cNvPr id="0" name="fig_8_1_design_spac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Commercial platforms of the GrandPad class achieve sustained engagement by carrying no clinical measurement; clinical instruments carry full measurement but are abandoned after adverse first experiences (Chapter 4). The programme's contribution occupies the upper right: the gamified FRA and the adaptive-learning framework specify how a technology can measure while remaining bearable and returnable-to for older users (Chapters 5-7, §8.6).</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r>
        <w:t>Czaja, S. J., Boot, W. R., Charness, N., Rogers, W. A., &amp; Sharit, J. (2018). Improving social support for older adults through technology: Findings from the PRISM randomized controlled trial. The Gerontologist, 58(3), 467-477. https://doi.org/10.1093/geront/gnw249</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r>
        <w:t>GrandPad. (n.d.). GrandPad: The tablet for seniors [Product and subscription information]. GrandPad, Inc. https://www.grandpad.net</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r>
        <w:t>Park, D. C., Lodi-Smith, J., Drew, L., Haber, S., Hebrank, A., Bischof, G. N., &amp; Aamodt, W. (2014). The impact of sustained engagement on cognitive function in older adults: The Synapse Project. Psychological Science, 25(1), 103-112. https://doi.org/10.1177/0956797613499592</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r>
        <w:t>Perissinotto, C., Zhang, C., Oseau, T., Balik, D., Sou, C., Burnight, C., &amp; Burnight, K. (2019). Feasibility of a tablet designed for older adults to facilitate telemedicine visits [Conference abstract]. Innovation in Aging, 3(Suppl. 1), S975. https://doi.org/10.1093/geroni/igz038.3534</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r>
        <w:t>Tha, S. H., Hough, K., Bui, N., Dulaney, S., &amp; Perissinotto, C. (2025). The use of age-friendly technology in the care of older adults: Two implementation case studies. Journal of Applied Gerontology. https://doi.org/10.1177/07334648251343513</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intensive post-deployment interviews were conducted with all nine persistent participants, one to two days after the close of the eight-week cycle and following the small rewards presentation at which their written consent was recorded. The interviews used a paper interview questionnaire and were conducted in Mandarin or Cantonese at the participant's preference; the author's contemporaneous notes are the primary record.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confirmatory programme (§8.8), not a record of interviews conducted.</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r>
        <w:t>H.5  Interview guide (as used). The consultation followed a semi-structured guide (45-60 minutes; archived as Expert_Interview_Guide_2026.docx, Appendix G item G.8),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V34: Stage-3 difficulty adaptation stated as rule-agent only (Appendix E; Ch6).</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