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That participants who knew the origin still returned after failure sharpens the reading rather than weakening it: what changed between the stages was not what participants knew, but what the artefact did with their failures.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V35: recruitment-language claims corrected to artefact-level decoupling (invitation disclosed research origin); per archived distributor invitations.</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