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a="http://schemas.openxmlformats.org/drawingml/2006/main" xmlns:mc="http://schemas.openxmlformats.org/markup-compatibility/2006" xmlns:ns8="http://schemas.microsoft.com/office/drawing/2010/main"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mc:Ignorable="w14 wp14">
  <w:body>
    <w:p w14:paraId="7C18AA30" w14:textId="77777777" w:rsidR="0062437E" w:rsidRDefault="00000000">
      <w:pPr>
        <w:spacing w:before="480" w:after="40"/>
        <w:jc w:val="center"/>
      </w:pPr>
      <w:r>
        <w:rPr>
          <w:b/>
          <w:sz w:val="26"/>
        </w:rPr>
        <w:t>THE HONG KONG POLYTECHNIC UNIVERSITY</w:t>
      </w:r>
    </w:p>
    <w:p w14:paraId="5945DF8F" w14:textId="77777777" w:rsidR="0062437E" w:rsidRDefault="00000000">
      <w:pPr>
        <w:spacing w:after="20"/>
        <w:jc w:val="center"/>
      </w:pPr>
      <w:r>
        <w:t>Department of Industrial and Systems Engineering</w:t>
      </w:r>
    </w:p>
    <w:p w14:paraId="689E4EFB" w14:textId="77777777" w:rsidR="0062437E" w:rsidRDefault="00000000">
      <w:pPr>
        <w:spacing w:after="360"/>
        <w:jc w:val="center"/>
      </w:pPr>
      <w:r>
        <w:t>Behaviour and Knowledge Engineering Research Centre</w:t>
      </w:r>
    </w:p>
    <w:p w14:paraId="1C48F1D1" w14:textId="77777777" w:rsidR="0062437E" w:rsidRDefault="00000000">
      <w:pPr>
        <w:spacing w:after="20"/>
        <w:jc w:val="center"/>
      </w:pPr>
      <w:r>
        <w:rPr>
          <w:i/>
          <w:sz w:val="22"/>
        </w:rPr>
        <w:t>Thesis Title</w:t>
      </w:r>
    </w:p>
    <w:p w14:paraId="3571915A" w14:textId="77777777" w:rsidR="0062437E" w:rsidRDefault="00000000">
      <w:pPr>
        <w:pStyle w:val="Title"/>
        <w:spacing w:after="440" w:before="240"/>
        <w:jc w:val="center"/>
      </w:pPr>
      <w:commentRangeStart w:id="0"/>
      <w:r>
        <w:rPr>
          <w:rFonts w:ascii="Times New Roman" w:hAnsi="Times New Roman"/>
          <w:b/>
          <w:i w:val="0"/>
          <w:color w:val="000000"/>
          <w:sz w:val="44"/>
        </w:rPr>
        <w:t>Gamification as Proactive Approach for Continuous Improvement and Innovation Enhancement</w:t>
      </w:r>
      <w:commentRangeEnd w:id="0"/>
      <w:r>
        <w:rPr>
          <w:rStyle w:val="CommentReference"/>
        </w:rPr>
        <w:commentReference w:id="0"/>
      </w:r>
    </w:p>
    <w:p w14:paraId="3F887E9F" w14:textId="77777777" w:rsidR="0062437E" w:rsidRDefault="00000000">
      <w:pPr>
        <w:spacing w:after="960"/>
        <w:jc w:val="center"/>
      </w:pPr>
      <w:r>
        <w:rPr>
          <w:sz w:val="26"/>
        </w:rPr>
        <w:t>Sidney K. T. Tam</w:t>
      </w:r>
    </w:p>
    <w:p w14:paraId="726E79BE" w14:textId="77777777" w:rsidR="0062437E" w:rsidRDefault="00000000">
      <w:pPr>
        <w:spacing w:after="20"/>
        <w:jc w:val="center"/>
      </w:pPr>
      <w:r>
        <w:t>A thesis submitted in partial fulfilment of the requirements</w:t>
      </w:r>
    </w:p>
    <w:p w14:paraId="13416204" w14:textId="77777777" w:rsidR="0062437E" w:rsidRDefault="00000000">
      <w:pPr>
        <w:spacing w:after="720"/>
        <w:jc w:val="center"/>
      </w:pPr>
      <w:r>
        <w:t>for the degree of Doctor of Engineering (EngD)</w:t>
      </w:r>
    </w:p>
    <w:p w14:paraId="4E59EDD2" w14:textId="77777777" w:rsidR="0062437E" w:rsidRDefault="00000000">
      <w:pPr>
        <w:spacing w:before="480" w:after="0"/>
        <w:jc w:val="center"/>
      </w:pPr>
      <w:r>
        <w:t>October 2026</w:t>
      </w:r>
    </w:p>
    <w:p w14:paraId="6B057E3C" w14:textId="77777777" w:rsidR="0062437E" w:rsidRDefault="00000000">
      <w:r>
        <w:br w:type="page"/>
      </w:r>
    </w:p>
    <w:p w14:paraId="4CC8A1AE" w14:textId="77777777" w:rsidR="0062437E" w:rsidRDefault="00000000">
      <w:pPr>
        <w:spacing w:before="480" w:after="360"/>
        <w:jc w:val="center"/>
      </w:pPr>
      <w:r>
        <w:rPr>
          <w:b/>
          <w:sz w:val="28"/>
        </w:rPr>
        <w:lastRenderedPageBreak/>
        <w:t>CERTIFICATE OF ORIGINALITY</w:t>
      </w:r>
    </w:p>
    <w:p w14:paraId="47EF80FA" w14:textId="77777777" w:rsidR="0062437E" w:rsidRDefault="00000000">
      <w:pPr>
        <w:spacing w:after="960"/>
        <w:jc w:val="both"/>
      </w:pPr>
      <w:r>
        <w:t>I hereby declare that this thesis is my own work and that, to the best of my knowledge and belief, it reproduces no material previously published or written, nor material that has been accepted for the award of any other degree or diploma, except where due acknowledgement has been made in the text.</w:t>
      </w:r>
    </w:p>
    <w:p w14:paraId="4A33DED2" w14:textId="77777777" w:rsidR="0062437E" w:rsidRDefault="00000000">
      <w:r>
        <w:t>__________________________________ (Signed)</w:t>
      </w:r>
    </w:p>
    <w:p w14:paraId="42F7FCA0" w14:textId="77777777" w:rsidR="0062437E" w:rsidRDefault="00000000">
      <w:r>
        <w:t>Sidney K. T. Tam (Name of student)</w:t>
      </w:r>
    </w:p>
    <w:p w14:paraId="3EA353E7" w14:textId="77777777" w:rsidR="0062437E" w:rsidRDefault="00000000">
      <w:r>
        <w:br w:type="page"/>
      </w:r>
    </w:p>
    <w:p w14:paraId="1AD68D3A" w14:textId="77777777" w:rsidR="0062437E" w:rsidRDefault="00000000">
      <w:pPr>
        <w:pStyle w:val="Heading1"/>
      </w:pPr>
      <w:bookmarkStart w:id="0" w:name="_Toc232024490"/>
      <w:r>
        <w:rPr>
          <w:color w:val="000000"/>
        </w:rPr>
        <w:lastRenderedPageBreak/>
        <w:t>Abstract</w:t>
      </w:r>
      <w:bookmarkEnd w:id="0"/>
    </w:p>
    <w:p w14:paraId="33F4A869" w14:textId="77777777" w:rsidR="0062437E" w:rsidRDefault="00000000">
      <w:pPr>
        <w:jc w:val="both"/>
      </w:pPr>
      <w:r>
        <w:t>This thesis examines how gamification can provide a proactive approach to continuous improvement and innovation enhancement when a promising health-technology intervention encounters difficulty. The setting is gamified Fall Risk Assessment (FRA) with older adults; the central problem is continued voluntary engagement after an adverse experience, not initial acceptance alone. A three-stage field programme examines this problem and develops a proposed adaptive-learning framework. Gamification supplies the participatory setting and feedback; adaptation is a candidate mechanism through which difficulty can inform the next interaction and the next design revision, without assuming that adaptation itself establishes improvement.</w:t>
      </w:r>
    </w:p>
    <w:p w14:paraId="4BEDA2C7" w14:textId="77777777" w:rsidR="0062437E" w:rsidRDefault="00000000">
      <w:pPr>
        <w:jc w:val="both"/>
      </w:pPr>
      <w:r>
        <w:t>Stage 1 surveyed 200 of 280 residents at a Guangzhou care facility and identified retrospective accounts of adverse first experiences followed by non-return (aggregate record; the response file is not archived). Stage 2 prospectively observed thirty residents using an AI-assisted skiing game in which the weight shifts that steered play were measured at the same time by the FRA footplate. Seventy per cent disengaged at or before three game cycles, and no subsequent re-engagement was recorded among these participants within the reported observation window. Some recorded scores improved despite non-return; this coexistence does not establish durable learning or clinical benefit. Stage 3 used a separate Hong Kong cohort of 120 adults and a decoupled browser game. Continued or resumed play was 93.3% overall and 85.4% in the 65–80 band among the 120 compiled participants (including dropouts who played again; the invitation denominator and return timing are not recoverable), with 15 of 23 initial dropouts classified as returning. These contrasts motivate a framing hypothesis, but changes in cohort, setting, delivery and input modality prevent causal isolation of clinical coupling.</w:t>
      </w:r>
    </w:p>
    <w:p w14:paraId="768A95F0" w14:textId="77777777" w:rsidR="0062437E" w:rsidRDefault="00000000">
      <w:pPr>
        <w:jc w:val="both"/>
      </w:pPr>
      <w:commentRangeStart w:id="1"/>
      <w:r>
        <w:rPr>
          <w:i w:val="0"/>
        </w:rPr>
        <w:t>The principal contribution is an evidence-informed engineering account of how a gamified service should respond when engagement does not improve as expected. Failure-Induced Abandonment Syndrome (FIAS) is proposed as a descriptive, non-diagnostic construct; its identity-related mechanisms and framing boundary remain hypotheses. Three design principles, developed from the contrast between the coupled and decoupled FRA deployments, connect the observations to an adaptive-learning framework: identity disentanglement, trajectory installation and adaptive calibration. The framework distinguishes a participant-support cycle from a system-improvement cycle. Credible progress requires comparable task conditions, explicit records of assistance and difficulty, preservation of setbacks, and separate reporting of participation, performance, learning and clinical outcomes. When redesign changes the task, the display must identify the change rather than manufacture a continuous improvement curve. The achieved contribution is problem clarification, iterative design learning and a testable specification. Sustained individual improvement, the effectiveness of the complete framework and clinically acceptable reattachment of assessment remain subjects for prospective evaluation. A pre-specified (repository-dated) Stage-3B component study, crossing adaptive support with static presentation and zero-failure with game-over modes, is documented descriptively in Appendix I and is not used to test the adaptive-learning proposition, which is carried forward as future study.</w:t>
      </w:r>
      <w:commentRangeEnd w:id="1"/>
    </w:p>
    <w:p w14:paraId="3DA71CBC" w14:textId="77777777" w:rsidR="0062437E" w:rsidRDefault="00000000">
      <w:pPr>
        <w:jc w:val="both"/>
      </w:pPr>
      <w:r>
        <w:t>Keywords: gamification; continuous improvement; innovation enhancement; older adults; fall risk assessment; failure-induced abandonment; adaptive learning; engagement; design evaluation.</w:t>
      </w:r>
    </w:p>
    <w:p w14:paraId="1AD68D3A" w14:textId="77777777" w:rsidR="0062437E" w:rsidRDefault="00000000">
      <w:pPr>
        <w:pStyle w:val="Heading1"/>
        <w:pageBreakBefore/>
      </w:pPr>
      <w:r>
        <w:rPr>
          <w:color w:val="000000"/>
        </w:rPr>
        <w:t>Publications and Outputs Arising from the Programme</w:t>
      </w:r>
    </w:p>
    <w:p w14:paraId="33F4A869" w14:textId="77777777" w:rsidR="0062437E" w:rsidRDefault="00000000">
      <w:pPr>
        <w:jc w:val="both"/>
      </w:pPr>
      <w:r>
        <w:t>The following outputs arise from the programme reported in this thesis. The thesis is the primary account; each manuscript is cited as a companion record, and no result is reported in the thesis that is not also traceable to the records listed in Appendix G.</w:t>
      </w:r>
    </w:p>
    <w:p w14:paraId="33F4A869" w14:textId="77777777" w:rsidR="0062437E" w:rsidRDefault="00000000">
      <w:pPr>
        <w:jc w:val="both"/>
      </w:pPr>
      <w:r>
        <w:t>1. Tam, S. K. T., &amp; Cheung, C. F. (2026). Investigating low utilisation of Fall Risk Assessment among elderly users: A critical review through TAM and Octalysis frameworks with gamification approach. Paper SS-293, accepted and presented at the 10th International Conference on Management Engineering, Software Engineering and Service Sciences (ICMSS 2026), Wuhan, China, 20–22 March 2026; proceedings via Conference Publishing Services, submitted to IEEE Xplore. Basis of Chapter 4 (Stage 1). Candidate's contribution: conception, survey design and administration arrangements, analysis and drafting; the co-author supervised the study and reviewed the manuscript.</w:t>
      </w:r>
    </w:p>
    <w:p w14:paraId="33F4A869" w14:textId="77777777" w:rsidR="0062437E" w:rsidRDefault="00000000">
      <w:pPr>
        <w:jc w:val="both"/>
      </w:pPr>
      <w:r>
        <w:t>2. Tam, S. K. T., &amp; Cheung, C. F. (under review). Gamification as a Proactive Approach: A Study of Elderly Failure-Induced Abandonment in Gamified Fall Risk Assessment. Journal of Information and Knowledge Management, manuscript JIKMS2602466, submitted 9 September 2026. Companion to Chapter 5 (Stage 2). Candidate's contribution: conception, game design and deployment, data compilation, analysis and drafting; the co-author supervised the study and reviewed the manuscript. The manuscript's title retains the word 'elderly'; the thesis uses 'older adults' for the same populations.</w:t>
      </w:r>
    </w:p>
    <w:p w14:paraId="33F4A869" w14:textId="77777777" w:rsidR="0062437E" w:rsidRDefault="00000000">
      <w:pPr>
        <w:jc w:val="both"/>
      </w:pPr>
      <w:r>
        <w:t>3. Tam, S. K. T., &amp; Cheung, C. F. (in preparation). Stage-3A decoupling study manuscript, prepared in JMIR format (working revision R20, 2 October 2026); not submitted, and subject to the supervisor's approval. Companion to Chapter 6. Candidate's contribution: conception, build, distribution arrangements, compilation, analysis and drafting.</w:t>
      </w:r>
    </w:p>
    <w:p w14:paraId="33F4A869" w14:textId="77777777" w:rsidR="0062437E" w:rsidRDefault="00000000">
      <w:pPr>
        <w:jc w:val="both"/>
      </w:pPr>
      <w:r>
        <w:t>The Stage-3B component study (Appendix I) and the expert consultations (Appendix H) are internal records of the programme and are not listed as outputs.</w:t>
      </w:r>
    </w:p>
    <w:p w14:paraId="4F063E93"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3D9B64EB" w14:textId="77777777" w:rsidR="0062437E" w:rsidRDefault="00000000">
      <w:pPr>
        <w:pStyle w:val="Heading1"/>
      </w:pPr>
      <w:bookmarkStart w:id="1" w:name="_Toc232024491"/>
      <w:r>
        <w:rPr>
          <w:color w:val="000000"/>
        </w:rPr>
        <w:lastRenderedPageBreak/>
        <w:t>Acknowledgements</w:t>
      </w:r>
      <w:bookmarkEnd w:id="1"/>
    </w:p>
    <w:p w14:paraId="0D7B6B35" w14:textId="77777777" w:rsidR="0062437E" w:rsidRDefault="00000000">
      <w:pPr>
        <w:jc w:val="both"/>
      </w:pPr>
      <w:r>
        <w:t>I am deeply grateful to my supervisor, Professor Chi Fai (Benny) Cheung, whose intellectual generosity, patience and consistent challenge have shaped every chapter of this thesis. His insistence on theoretical clarity and on engineering-actionable conclusions has set the standard against which every iteration was tested.</w:t>
      </w:r>
    </w:p>
    <w:p w14:paraId="52CC8FF1" w14:textId="77777777" w:rsidR="0062437E" w:rsidRDefault="00000000">
      <w:pPr>
        <w:jc w:val="both"/>
      </w:pPr>
      <w:r>
        <w:t>I thank the management and care staff of the Poly Group elderly housing facility in Guangzhou for opening their doors to this work, for explaining what they had been seeing for ten years, and for trusting me with their residents during the eight-week Stage-2 deployment. Without their hospitality and operational discipline this programme could not have begun.</w:t>
      </w:r>
    </w:p>
    <w:p w14:paraId="0CBAF987" w14:textId="77777777" w:rsidR="0062437E" w:rsidRDefault="00000000">
      <w:pPr>
        <w:jc w:val="both"/>
      </w:pPr>
      <w:r>
        <w:t>I thank the twenty distributors and the Hong Kong networks and groups through which Stage 3 was recruited, and the participants across both cohorts. Many of them gave their time and their honesty without any direct return; this thesis is one outcome of what they entrusted to the work.</w:t>
      </w:r>
    </w:p>
    <w:p w14:paraId="7C0375DF" w14:textId="77777777" w:rsidR="0062437E" w:rsidRDefault="00000000">
      <w:pPr>
        <w:jc w:val="both"/>
      </w:pPr>
      <w:r>
        <w:t>I thank Professor An and Professor Willoughby, whose 2024 study with my supervisor, Professor Cheung, set the methodological standard against which Paper 1 was developed and whose work remained the closest precedent throughout. Their generosity in correspondence sharpened many arguments.</w:t>
      </w:r>
    </w:p>
    <w:p w14:paraId="2BCDF74E" w14:textId="77777777" w:rsidR="0062437E" w:rsidRDefault="00000000">
      <w:pPr>
        <w:jc w:val="both"/>
      </w:pPr>
      <w:r>
        <w:t>I thank the Department of Industrial and Systems Engineering and the Behaviour and Knowledge Engineering Research Centre at The Hong Kong Polytechnic University for the institutional environment in which this work was possible.</w:t>
      </w:r>
    </w:p>
    <w:p w14:paraId="17953897" w14:textId="77777777" w:rsidR="0062437E" w:rsidRDefault="00000000">
      <w:pPr>
        <w:jc w:val="both"/>
      </w:pPr>
      <w:r>
        <w:t>Finally, I thank my family, who carried more than their share for the last three years so that this work could be completed. Whatever value this thesis adds is theirs as much as it is mine.</w:t>
      </w:r>
    </w:p>
    <w:p w14:paraId="52A8B6BF"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2D779893" w14:textId="77777777" w:rsidR="0062437E" w:rsidRDefault="00000000">
      <w:pPr>
        <w:pStyle w:val="Heading1"/>
      </w:pPr>
      <w:bookmarkStart w:id="2" w:name="_Toc232024492"/>
      <w:r>
        <w:rPr>
          <w:color w:val="000000"/>
        </w:rPr>
        <w:lastRenderedPageBreak/>
        <w:t>Table of Contents</w:t>
      </w:r>
      <w:bookmarkEnd w:id="2"/>
    </w:p>
    <w:p>
      <w:pPr>
        <w:pStyle w:val="TOC1"/>
        <w:keepNext w:val="0"/>
        <w:keepLines/>
        <w:tabs>
          <w:tab w:pos="8496" w:val="right" w:leader="dot"/>
        </w:tabs>
        <w:spacing w:before="0" w:after="80" w:line="276" w:lineRule="auto"/>
        <w:ind w:right="374"/>
      </w:pPr>
      <w:r>
        <w:rPr>
          <w:rFonts w:ascii="Times New Roman" w:hAnsi="Times New Roman"/>
          <w:sz w:val="22"/>
        </w:rPr>
        <w:t>Abstract</w:t>
        <w:tab/>
        <w:t>iii</w:t>
      </w:r>
    </w:p>
    <w:p>
      <w:pPr>
        <w:pStyle w:val="TOC1"/>
        <w:keepNext w:val="0"/>
        <w:keepLines/>
        <w:tabs>
          <w:tab w:pos="8496" w:val="right" w:leader="dot"/>
        </w:tabs>
        <w:spacing w:before="0" w:after="80" w:line="276" w:lineRule="auto"/>
        <w:ind w:right="374"/>
      </w:pPr>
      <w:r>
        <w:rPr>
          <w:rFonts w:ascii="Times New Roman" w:hAnsi="Times New Roman"/>
          <w:sz w:val="22"/>
        </w:rPr>
        <w:t>Publications and Outputs Arising from the Programme</w:t>
        <w:tab/>
        <w:t>v</w:t>
      </w:r>
    </w:p>
    <w:p>
      <w:pPr>
        <w:pStyle w:val="TOC1"/>
        <w:keepNext w:val="0"/>
        <w:keepLines/>
        <w:tabs>
          <w:tab w:pos="8496" w:val="right" w:leader="dot"/>
        </w:tabs>
        <w:spacing w:before="0" w:after="80" w:line="276" w:lineRule="auto"/>
        <w:ind w:right="374"/>
      </w:pPr>
      <w:r>
        <w:rPr>
          <w:rFonts w:ascii="Times New Roman" w:hAnsi="Times New Roman"/>
          <w:sz w:val="22"/>
        </w:rPr>
        <w:t>Acknowledgements</w:t>
        <w:tab/>
        <w:t>vi</w:t>
      </w:r>
    </w:p>
    <w:p>
      <w:pPr>
        <w:pStyle w:val="TOC1"/>
        <w:keepNext w:val="0"/>
        <w:keepLines/>
        <w:tabs>
          <w:tab w:pos="8496" w:val="right" w:leader="dot"/>
        </w:tabs>
        <w:spacing w:before="0" w:after="80" w:line="276" w:lineRule="auto"/>
        <w:ind w:right="374"/>
      </w:pPr>
      <w:r>
        <w:rPr>
          <w:rFonts w:ascii="Times New Roman" w:hAnsi="Times New Roman"/>
          <w:sz w:val="22"/>
        </w:rPr>
        <w:t>List of Figures</w:t>
        <w:tab/>
        <w:t>xii</w:t>
      </w:r>
    </w:p>
    <w:p>
      <w:pPr>
        <w:pStyle w:val="TOC1"/>
        <w:keepNext w:val="0"/>
        <w:keepLines/>
        <w:tabs>
          <w:tab w:pos="8496" w:val="right" w:leader="dot"/>
        </w:tabs>
        <w:spacing w:before="0" w:after="80" w:line="276" w:lineRule="auto"/>
        <w:ind w:right="374"/>
      </w:pPr>
      <w:r>
        <w:rPr>
          <w:rFonts w:ascii="Times New Roman" w:hAnsi="Times New Roman"/>
          <w:sz w:val="22"/>
        </w:rPr>
        <w:t>List of Tables</w:t>
        <w:tab/>
        <w:t>xiv</w:t>
      </w:r>
    </w:p>
    <w:p>
      <w:pPr>
        <w:pStyle w:val="TOC1"/>
        <w:keepNext w:val="0"/>
        <w:keepLines/>
        <w:tabs>
          <w:tab w:pos="8496" w:val="right" w:leader="dot"/>
        </w:tabs>
        <w:spacing w:before="0" w:after="80" w:line="276" w:lineRule="auto"/>
        <w:ind w:right="374"/>
      </w:pPr>
      <w:r>
        <w:rPr>
          <w:rFonts w:ascii="Times New Roman" w:hAnsi="Times New Roman"/>
          <w:sz w:val="22"/>
        </w:rPr>
        <w:t>List of Abbreviations</w:t>
        <w:tab/>
        <w:t>xv</w:t>
      </w:r>
    </w:p>
    <w:p>
      <w:pPr>
        <w:pStyle w:val="TOC1"/>
        <w:keepNext w:val="0"/>
        <w:keepLines/>
        <w:tabs>
          <w:tab w:pos="8496" w:val="right" w:leader="dot"/>
        </w:tabs>
        <w:spacing w:before="0" w:after="80" w:line="276" w:lineRule="auto"/>
        <w:ind w:right="374"/>
      </w:pPr>
      <w:r>
        <w:rPr>
          <w:rFonts w:ascii="Times New Roman" w:hAnsi="Times New Roman"/>
          <w:sz w:val="22"/>
        </w:rPr>
        <w:t>Chapter 1 Introduction</w:t>
        <w:tab/>
        <w:t>1</w:t>
      </w:r>
    </w:p>
    <w:p>
      <w:pPr>
        <w:pStyle w:val="TOC2"/>
        <w:keepNext w:val="0"/>
        <w:keepLines/>
        <w:tabs>
          <w:tab w:pos="8496" w:val="right" w:leader="dot"/>
        </w:tabs>
        <w:spacing w:before="0" w:after="80" w:line="276" w:lineRule="auto"/>
        <w:ind w:right="374"/>
      </w:pPr>
      <w:r>
        <w:rPr>
          <w:rFonts w:ascii="Times New Roman" w:hAnsi="Times New Roman"/>
          <w:sz w:val="22"/>
        </w:rPr>
        <w:t>1.1 The Point of Departure: An Empty Station in a Busy Hall</w:t>
        <w:tab/>
        <w:t>1</w:t>
      </w:r>
    </w:p>
    <w:p>
      <w:pPr>
        <w:pStyle w:val="TOC2"/>
        <w:keepNext w:val="0"/>
        <w:keepLines/>
        <w:tabs>
          <w:tab w:pos="8496" w:val="right" w:leader="dot"/>
        </w:tabs>
        <w:spacing w:before="0" w:after="80" w:line="276" w:lineRule="auto"/>
        <w:ind w:right="374"/>
      </w:pPr>
      <w:r>
        <w:rPr>
          <w:rFonts w:ascii="Times New Roman" w:hAnsi="Times New Roman"/>
          <w:sz w:val="22"/>
        </w:rPr>
        <w:t>1.2 The Empty Station as a Service-Design Problem</w:t>
        <w:tab/>
        <w:t>3</w:t>
      </w:r>
    </w:p>
    <w:p>
      <w:pPr>
        <w:pStyle w:val="TOC2"/>
        <w:keepNext w:val="0"/>
        <w:keepLines/>
        <w:tabs>
          <w:tab w:pos="8496" w:val="right" w:leader="dot"/>
        </w:tabs>
        <w:spacing w:before="0" w:after="80" w:line="276" w:lineRule="auto"/>
        <w:ind w:right="374"/>
      </w:pPr>
      <w:r>
        <w:rPr>
          <w:rFonts w:ascii="Times New Roman" w:hAnsi="Times New Roman"/>
          <w:sz w:val="22"/>
        </w:rPr>
        <w:t>1.3 The Demographic Backdrop</w:t>
        <w:tab/>
        <w:t>3</w:t>
      </w:r>
    </w:p>
    <w:p>
      <w:pPr>
        <w:pStyle w:val="TOC2"/>
        <w:keepNext w:val="0"/>
        <w:keepLines/>
        <w:tabs>
          <w:tab w:pos="8496" w:val="right" w:leader="dot"/>
        </w:tabs>
        <w:spacing w:before="0" w:after="80" w:line="276" w:lineRule="auto"/>
        <w:ind w:right="374"/>
      </w:pPr>
      <w:r>
        <w:rPr>
          <w:rFonts w:ascii="Times New Roman" w:hAnsi="Times New Roman"/>
          <w:sz w:val="22"/>
        </w:rPr>
        <w:t>1.4 Falls, the Cascade, and the Fall Risk Assessment Technology</w:t>
        <w:tab/>
        <w:t>4</w:t>
      </w:r>
    </w:p>
    <w:p>
      <w:pPr>
        <w:pStyle w:val="TOC2"/>
        <w:keepNext w:val="0"/>
        <w:keepLines/>
        <w:tabs>
          <w:tab w:pos="8496" w:val="right" w:leader="dot"/>
        </w:tabs>
        <w:spacing w:before="0" w:after="80" w:line="276" w:lineRule="auto"/>
        <w:ind w:right="374"/>
      </w:pPr>
      <w:r>
        <w:rPr>
          <w:rFonts w:ascii="Times New Roman" w:hAnsi="Times New Roman"/>
          <w:sz w:val="22"/>
        </w:rPr>
        <w:t>1.5 The Working Hypothesis Formed Before the Research Began</w:t>
        <w:tab/>
        <w:t>5</w:t>
      </w:r>
    </w:p>
    <w:p>
      <w:pPr>
        <w:pStyle w:val="TOC2"/>
        <w:keepNext w:val="0"/>
        <w:keepLines/>
        <w:tabs>
          <w:tab w:pos="8496" w:val="right" w:leader="dot"/>
        </w:tabs>
        <w:spacing w:before="0" w:after="80" w:line="276" w:lineRule="auto"/>
        <w:ind w:right="374"/>
      </w:pPr>
      <w:r>
        <w:rPr>
          <w:rFonts w:ascii="Times New Roman" w:hAnsi="Times New Roman"/>
          <w:sz w:val="22"/>
        </w:rPr>
        <w:t>1.6 The Initial Survey: Building the Foundation of the Programme</w:t>
        <w:tab/>
        <w:t>5</w:t>
      </w:r>
    </w:p>
    <w:p>
      <w:pPr>
        <w:pStyle w:val="TOC2"/>
        <w:keepNext w:val="0"/>
        <w:keepLines/>
        <w:tabs>
          <w:tab w:pos="8496" w:val="right" w:leader="dot"/>
        </w:tabs>
        <w:spacing w:before="0" w:after="80" w:line="276" w:lineRule="auto"/>
        <w:ind w:right="374"/>
      </w:pPr>
      <w:r>
        <w:rPr>
          <w:rFonts w:ascii="Times New Roman" w:hAnsi="Times New Roman"/>
          <w:sz w:val="22"/>
        </w:rPr>
        <w:t>1.7 Stage Two and the Score-Improvement/Non-Return Question</w:t>
        <w:tab/>
        <w:t>6</w:t>
      </w:r>
    </w:p>
    <w:p>
      <w:pPr>
        <w:pStyle w:val="TOC2"/>
        <w:keepNext w:val="0"/>
        <w:keepLines/>
        <w:tabs>
          <w:tab w:pos="8496" w:val="right" w:leader="dot"/>
        </w:tabs>
        <w:spacing w:before="0" w:after="80" w:line="276" w:lineRule="auto"/>
        <w:ind w:right="374"/>
      </w:pPr>
      <w:r>
        <w:rPr>
          <w:rFonts w:ascii="Times New Roman" w:hAnsi="Times New Roman"/>
          <w:sz w:val="22"/>
        </w:rPr>
        <w:t>1.8 The Learn-to-Earn Philosophy: A Thread Running Through the Journey</w:t>
        <w:tab/>
        <w:t>7</w:t>
      </w:r>
    </w:p>
    <w:p>
      <w:pPr>
        <w:pStyle w:val="TOC2"/>
        <w:keepNext w:val="0"/>
        <w:keepLines/>
        <w:tabs>
          <w:tab w:pos="8496" w:val="right" w:leader="dot"/>
        </w:tabs>
        <w:spacing w:before="0" w:after="80" w:line="276" w:lineRule="auto"/>
        <w:ind w:right="374"/>
      </w:pPr>
      <w:r>
        <w:rPr>
          <w:rFonts w:ascii="Times New Roman" w:hAnsi="Times New Roman"/>
          <w:sz w:val="22"/>
        </w:rPr>
        <w:t>1.9 The Decoupling Test and the Closure of the Empirical Arc</w:t>
        <w:tab/>
        <w:t>8</w:t>
      </w:r>
    </w:p>
    <w:p>
      <w:pPr>
        <w:pStyle w:val="TOC2"/>
        <w:keepNext w:val="0"/>
        <w:keepLines/>
        <w:tabs>
          <w:tab w:pos="8496" w:val="right" w:leader="dot"/>
        </w:tabs>
        <w:spacing w:before="0" w:after="80" w:line="276" w:lineRule="auto"/>
        <w:ind w:right="374"/>
      </w:pPr>
      <w:r>
        <w:rPr>
          <w:rFonts w:ascii="Times New Roman" w:hAnsi="Times New Roman"/>
          <w:sz w:val="22"/>
        </w:rPr>
        <w:t>1.10 The Researcher's Position</w:t>
        <w:tab/>
        <w:t>9</w:t>
      </w:r>
    </w:p>
    <w:p>
      <w:pPr>
        <w:pStyle w:val="TOC2"/>
        <w:keepNext w:val="0"/>
        <w:keepLines/>
        <w:tabs>
          <w:tab w:pos="8496" w:val="right" w:leader="dot"/>
        </w:tabs>
        <w:spacing w:before="0" w:after="80" w:line="276" w:lineRule="auto"/>
        <w:ind w:right="374"/>
      </w:pPr>
      <w:r>
        <w:rPr>
          <w:rFonts w:ascii="Times New Roman" w:hAnsi="Times New Roman"/>
          <w:sz w:val="22"/>
        </w:rPr>
        <w:t>1.11 Aim and Research Questions</w:t>
        <w:tab/>
        <w:t>10</w:t>
      </w:r>
    </w:p>
    <w:p>
      <w:pPr>
        <w:pStyle w:val="TOC2"/>
        <w:keepNext w:val="0"/>
        <w:keepLines/>
        <w:tabs>
          <w:tab w:pos="8496" w:val="right" w:leader="dot"/>
        </w:tabs>
        <w:spacing w:before="0" w:after="80" w:line="276" w:lineRule="auto"/>
        <w:ind w:right="374"/>
      </w:pPr>
      <w:r>
        <w:rPr>
          <w:rFonts w:ascii="Times New Roman" w:hAnsi="Times New Roman"/>
          <w:sz w:val="22"/>
        </w:rPr>
        <w:t>1.12 Original Contributions</w:t>
        <w:tab/>
        <w:t>11</w:t>
      </w:r>
    </w:p>
    <w:p>
      <w:pPr>
        <w:pStyle w:val="TOC2"/>
        <w:keepNext w:val="0"/>
        <w:keepLines/>
        <w:tabs>
          <w:tab w:pos="8496" w:val="right" w:leader="dot"/>
        </w:tabs>
        <w:spacing w:before="0" w:after="80" w:line="276" w:lineRule="auto"/>
        <w:ind w:right="374"/>
      </w:pPr>
      <w:r>
        <w:rPr>
          <w:rFonts w:ascii="Times New Roman" w:hAnsi="Times New Roman"/>
          <w:sz w:val="22"/>
        </w:rPr>
        <w:t>1.13 Scope, Boundaries, and What This Thesis Does Not Claim</w:t>
        <w:tab/>
        <w:t>12</w:t>
      </w:r>
    </w:p>
    <w:p>
      <w:pPr>
        <w:pStyle w:val="TOC2"/>
        <w:keepNext w:val="0"/>
        <w:keepLines/>
        <w:tabs>
          <w:tab w:pos="8496" w:val="right" w:leader="dot"/>
        </w:tabs>
        <w:spacing w:before="0" w:after="80" w:line="276" w:lineRule="auto"/>
        <w:ind w:right="374"/>
      </w:pPr>
      <w:r>
        <w:rPr>
          <w:rFonts w:ascii="Times New Roman" w:hAnsi="Times New Roman"/>
          <w:sz w:val="22"/>
        </w:rPr>
        <w:t>1.14 Structure of the Thesis</w:t>
        <w:tab/>
        <w:t>13</w:t>
      </w:r>
    </w:p>
    <w:p>
      <w:pPr>
        <w:pStyle w:val="TOC1"/>
        <w:keepNext w:val="0"/>
        <w:keepLines/>
        <w:tabs>
          <w:tab w:pos="8496" w:val="right" w:leader="dot"/>
        </w:tabs>
        <w:spacing w:before="0" w:after="80" w:line="276" w:lineRule="auto"/>
        <w:ind w:right="374"/>
      </w:pPr>
      <w:r>
        <w:rPr>
          <w:rFonts w:ascii="Times New Roman" w:hAnsi="Times New Roman"/>
          <w:sz w:val="22"/>
        </w:rPr>
        <w:t>Chapter 2 Literature Review and Theoretical Foundation</w:t>
        <w:tab/>
        <w:t>14</w:t>
      </w:r>
    </w:p>
    <w:p>
      <w:pPr>
        <w:pStyle w:val="TOC2"/>
        <w:keepNext w:val="0"/>
        <w:keepLines/>
        <w:tabs>
          <w:tab w:pos="8496" w:val="right" w:leader="dot"/>
        </w:tabs>
        <w:spacing w:before="0" w:after="80" w:line="276" w:lineRule="auto"/>
        <w:ind w:right="374"/>
      </w:pPr>
      <w:r>
        <w:rPr>
          <w:rFonts w:ascii="Times New Roman" w:hAnsi="Times New Roman"/>
          <w:sz w:val="22"/>
        </w:rPr>
        <w:t>2.1 The Transformative Logic of the Literature Review</w:t>
        <w:tab/>
        <w:t>14</w:t>
      </w:r>
    </w:p>
    <w:p>
      <w:pPr>
        <w:pStyle w:val="TOC2"/>
        <w:keepNext w:val="0"/>
        <w:keepLines/>
        <w:tabs>
          <w:tab w:pos="8496" w:val="right" w:leader="dot"/>
        </w:tabs>
        <w:spacing w:before="0" w:after="80" w:line="276" w:lineRule="auto"/>
        <w:ind w:right="374"/>
      </w:pPr>
      <w:r>
        <w:rPr>
          <w:rFonts w:ascii="Times New Roman" w:hAnsi="Times New Roman"/>
          <w:sz w:val="22"/>
        </w:rPr>
        <w:t>2.2 Stage One: The Technology Acceptance Lineage</w:t>
        <w:tab/>
        <w:t>15</w:t>
      </w:r>
    </w:p>
    <w:p>
      <w:pPr>
        <w:pStyle w:val="TOC3"/>
        <w:keepNext w:val="0"/>
        <w:keepLines/>
        <w:tabs>
          <w:tab w:pos="8496" w:val="right" w:leader="dot"/>
        </w:tabs>
        <w:spacing w:before="0" w:after="80" w:line="276" w:lineRule="auto"/>
        <w:ind w:right="374"/>
      </w:pPr>
      <w:r>
        <w:rPr>
          <w:rFonts w:ascii="Times New Roman" w:hAnsi="Times New Roman"/>
          <w:sz w:val="22"/>
        </w:rPr>
        <w:t>2.2.1 TAM and the Two-Construct Core</w:t>
        <w:tab/>
        <w:t>15</w:t>
      </w:r>
    </w:p>
    <w:p>
      <w:pPr>
        <w:pStyle w:val="TOC3"/>
        <w:keepNext w:val="0"/>
        <w:keepLines/>
        <w:tabs>
          <w:tab w:pos="8496" w:val="right" w:leader="dot"/>
        </w:tabs>
        <w:spacing w:before="0" w:after="80" w:line="276" w:lineRule="auto"/>
        <w:ind w:right="374"/>
      </w:pPr>
      <w:r>
        <w:rPr>
          <w:rFonts w:ascii="Times New Roman" w:hAnsi="Times New Roman"/>
          <w:sz w:val="22"/>
        </w:rPr>
        <w:t>2.2.2 TAM2, TAM3 and UTAUT</w:t>
        <w:tab/>
        <w:t>15</w:t>
      </w:r>
    </w:p>
    <w:p>
      <w:pPr>
        <w:pStyle w:val="TOC3"/>
        <w:keepNext w:val="0"/>
        <w:keepLines/>
        <w:tabs>
          <w:tab w:pos="8496" w:val="right" w:leader="dot"/>
        </w:tabs>
        <w:spacing w:before="0" w:after="80" w:line="276" w:lineRule="auto"/>
        <w:ind w:right="374"/>
      </w:pPr>
      <w:r>
        <w:rPr>
          <w:rFonts w:ascii="Times New Roman" w:hAnsi="Times New Roman"/>
          <w:sz w:val="22"/>
        </w:rPr>
        <w:t>2.2.3 The Senior Technology Acceptance Model (STAM)</w:t>
        <w:tab/>
        <w:t>16</w:t>
      </w:r>
    </w:p>
    <w:p>
      <w:pPr>
        <w:pStyle w:val="TOC2"/>
        <w:keepNext w:val="0"/>
        <w:keepLines/>
        <w:tabs>
          <w:tab w:pos="8496" w:val="right" w:leader="dot"/>
        </w:tabs>
        <w:spacing w:before="0" w:after="80" w:line="276" w:lineRule="auto"/>
        <w:ind w:right="374"/>
      </w:pPr>
      <w:r>
        <w:rPr>
          <w:rFonts w:ascii="Times New Roman" w:hAnsi="Times New Roman"/>
          <w:sz w:val="22"/>
        </w:rPr>
        <w:t>2.3 Stage Two: Gamification, Octalysis and the An–Cheung Demonstration</w:t>
        <w:tab/>
        <w:t>16</w:t>
      </w:r>
    </w:p>
    <w:p>
      <w:pPr>
        <w:pStyle w:val="TOC3"/>
        <w:keepNext w:val="0"/>
        <w:keepLines/>
        <w:tabs>
          <w:tab w:pos="8496" w:val="right" w:leader="dot"/>
        </w:tabs>
        <w:spacing w:before="0" w:after="80" w:line="276" w:lineRule="auto"/>
        <w:ind w:right="374"/>
      </w:pPr>
      <w:r>
        <w:rPr>
          <w:rFonts w:ascii="Times New Roman" w:hAnsi="Times New Roman"/>
          <w:sz w:val="22"/>
        </w:rPr>
        <w:t>2.3.1 Defining Gamification</w:t>
        <w:tab/>
        <w:t>16</w:t>
      </w:r>
    </w:p>
    <w:p>
      <w:pPr>
        <w:pStyle w:val="TOC3"/>
        <w:keepNext w:val="0"/>
        <w:keepLines/>
        <w:tabs>
          <w:tab w:pos="8496" w:val="right" w:leader="dot"/>
        </w:tabs>
        <w:spacing w:before="0" w:after="80" w:line="276" w:lineRule="auto"/>
        <w:ind w:right="374"/>
      </w:pPr>
      <w:r>
        <w:rPr>
          <w:rFonts w:ascii="Times New Roman" w:hAnsi="Times New Roman"/>
          <w:sz w:val="22"/>
        </w:rPr>
        <w:t>2.3.2 The Octalysis Framework</w:t>
        <w:tab/>
        <w:t>17</w:t>
      </w:r>
    </w:p>
    <w:p>
      <w:pPr>
        <w:pStyle w:val="TOC3"/>
        <w:keepNext w:val="0"/>
        <w:keepLines/>
        <w:tabs>
          <w:tab w:pos="8496" w:val="right" w:leader="dot"/>
        </w:tabs>
        <w:spacing w:before="0" w:after="80" w:line="276" w:lineRule="auto"/>
        <w:ind w:right="374"/>
      </w:pPr>
      <w:r>
        <w:rPr>
          <w:rFonts w:ascii="Times New Roman" w:hAnsi="Times New Roman"/>
          <w:sz w:val="22"/>
        </w:rPr>
        <w:t>2.3.3 An, Cheung and Willoughby (2024): Evidence for Gamified Technology Learning with Older Adults</w:t>
        <w:tab/>
        <w:t>17</w:t>
      </w:r>
    </w:p>
    <w:p>
      <w:pPr>
        <w:pStyle w:val="TOC3"/>
        <w:keepNext w:val="0"/>
        <w:keepLines/>
        <w:tabs>
          <w:tab w:pos="8496" w:val="right" w:leader="dot"/>
        </w:tabs>
        <w:spacing w:before="0" w:after="80" w:line="276" w:lineRule="auto"/>
        <w:ind w:right="374"/>
      </w:pPr>
      <w:r>
        <w:rPr>
          <w:rFonts w:ascii="Times New Roman" w:hAnsi="Times New Roman"/>
          <w:sz w:val="22"/>
        </w:rPr>
        <w:t>2.3.4 The Boundary: When the Technology is Attached to FRA</w:t>
        <w:tab/>
        <w:t>18</w:t>
      </w:r>
    </w:p>
    <w:p>
      <w:pPr>
        <w:pStyle w:val="TOC3"/>
        <w:keepNext w:val="0"/>
        <w:keepLines/>
        <w:tabs>
          <w:tab w:pos="8496" w:val="right" w:leader="dot"/>
        </w:tabs>
        <w:spacing w:before="0" w:after="80" w:line="276" w:lineRule="auto"/>
        <w:ind w:right="374"/>
      </w:pPr>
      <w:r>
        <w:rPr>
          <w:rFonts w:ascii="Times New Roman" w:hAnsi="Times New Roman"/>
          <w:sz w:val="22"/>
        </w:rPr>
        <w:t>2.3.5 The Initial Design Expectation from Stages One and Two</w:t>
        <w:tab/>
        <w:t>18</w:t>
      </w:r>
    </w:p>
    <w:p>
      <w:pPr>
        <w:pStyle w:val="TOC2"/>
        <w:keepNext w:val="0"/>
        <w:keepLines/>
        <w:tabs>
          <w:tab w:pos="8496" w:val="right" w:leader="dot"/>
        </w:tabs>
        <w:spacing w:before="0" w:after="80" w:line="276" w:lineRule="auto"/>
        <w:ind w:right="374"/>
      </w:pPr>
      <w:r>
        <w:rPr>
          <w:rFonts w:ascii="Times New Roman" w:hAnsi="Times New Roman"/>
          <w:sz w:val="22"/>
        </w:rPr>
        <w:t>2.4 Stage Three: Self-Efficacy as the First Diagnostic Layer</w:t>
        <w:tab/>
        <w:t>19</w:t>
      </w:r>
    </w:p>
    <w:p>
      <w:pPr>
        <w:pStyle w:val="TOC3"/>
        <w:keepNext w:val="0"/>
        <w:keepLines/>
        <w:tabs>
          <w:tab w:pos="8496" w:val="right" w:leader="dot"/>
        </w:tabs>
        <w:spacing w:before="0" w:after="80" w:line="276" w:lineRule="auto"/>
        <w:ind w:right="374"/>
      </w:pPr>
      <w:r>
        <w:rPr>
          <w:rFonts w:ascii="Times New Roman" w:hAnsi="Times New Roman"/>
          <w:sz w:val="22"/>
        </w:rPr>
        <w:t>2.4.1 Bandura's Self-Efficacy</w:t>
        <w:tab/>
        <w:t>19</w:t>
      </w:r>
    </w:p>
    <w:p>
      <w:pPr>
        <w:pStyle w:val="TOC3"/>
        <w:keepNext w:val="0"/>
        <w:keepLines/>
        <w:tabs>
          <w:tab w:pos="8496" w:val="right" w:leader="dot"/>
        </w:tabs>
        <w:spacing w:before="0" w:after="80" w:line="276" w:lineRule="auto"/>
        <w:ind w:right="374"/>
      </w:pPr>
      <w:r>
        <w:rPr>
          <w:rFonts w:ascii="Times New Roman" w:hAnsi="Times New Roman"/>
          <w:sz w:val="22"/>
        </w:rPr>
        <w:t>2.4.2 Computer Self-Efficacy Among Older Adults</w:t>
        <w:tab/>
        <w:t>20</w:t>
      </w:r>
    </w:p>
    <w:p>
      <w:pPr>
        <w:pStyle w:val="TOC3"/>
        <w:keepNext w:val="0"/>
        <w:keepLines/>
        <w:tabs>
          <w:tab w:pos="8496" w:val="right" w:leader="dot"/>
        </w:tabs>
        <w:spacing w:before="0" w:after="80" w:line="276" w:lineRule="auto"/>
        <w:ind w:right="374"/>
      </w:pPr>
      <w:r>
        <w:rPr>
          <w:rFonts w:ascii="Times New Roman" w:hAnsi="Times New Roman"/>
          <w:sz w:val="22"/>
        </w:rPr>
        <w:t>2.4.3 Technology Anxiety and Perceived Acceptance</w:t>
        <w:tab/>
        <w:t>20</w:t>
      </w:r>
    </w:p>
    <w:p>
      <w:pPr>
        <w:pStyle w:val="TOC3"/>
        <w:keepNext w:val="0"/>
        <w:keepLines/>
        <w:tabs>
          <w:tab w:pos="8496" w:val="right" w:leader="dot"/>
        </w:tabs>
        <w:spacing w:before="0" w:after="80" w:line="276" w:lineRule="auto"/>
        <w:ind w:right="374"/>
      </w:pPr>
      <w:r>
        <w:rPr>
          <w:rFonts w:ascii="Times New Roman" w:hAnsi="Times New Roman"/>
          <w:sz w:val="22"/>
        </w:rPr>
        <w:t>2.4.4 What Self-Efficacy Explains and What It Does Not</w:t>
        <w:tab/>
        <w:t>20</w:t>
      </w:r>
    </w:p>
    <w:p>
      <w:pPr>
        <w:pStyle w:val="TOC2"/>
        <w:keepNext w:val="0"/>
        <w:keepLines/>
        <w:tabs>
          <w:tab w:pos="8496" w:val="right" w:leader="dot"/>
        </w:tabs>
        <w:spacing w:before="0" w:after="80" w:line="276" w:lineRule="auto"/>
        <w:ind w:right="374"/>
      </w:pPr>
      <w:r>
        <w:rPr>
          <w:rFonts w:ascii="Times New Roman" w:hAnsi="Times New Roman"/>
          <w:sz w:val="22"/>
        </w:rPr>
        <w:t>2.5 Stage Four: Behavioural Science as a Candidate Account of Failure-Associated Non-Return</w:t>
        <w:tab/>
        <w:t>21</w:t>
      </w:r>
    </w:p>
    <w:p>
      <w:pPr>
        <w:pStyle w:val="TOC3"/>
        <w:keepNext w:val="0"/>
        <w:keepLines/>
        <w:tabs>
          <w:tab w:pos="8496" w:val="right" w:leader="dot"/>
        </w:tabs>
        <w:spacing w:before="0" w:after="80" w:line="276" w:lineRule="auto"/>
        <w:ind w:right="374"/>
      </w:pPr>
      <w:r>
        <w:rPr>
          <w:rFonts w:ascii="Times New Roman" w:hAnsi="Times New Roman"/>
          <w:sz w:val="22"/>
        </w:rPr>
        <w:t>2.5.1 Why an Additional Appraisal Account Is Considered</w:t>
        <w:tab/>
        <w:t>21</w:t>
      </w:r>
    </w:p>
    <w:p>
      <w:pPr>
        <w:pStyle w:val="TOC3"/>
        <w:keepNext w:val="0"/>
        <w:keepLines/>
        <w:tabs>
          <w:tab w:pos="8496" w:val="right" w:leader="dot"/>
        </w:tabs>
        <w:spacing w:before="0" w:after="80" w:line="276" w:lineRule="auto"/>
        <w:ind w:right="374"/>
      </w:pPr>
      <w:r>
        <w:rPr>
          <w:rFonts w:ascii="Times New Roman" w:hAnsi="Times New Roman"/>
          <w:sz w:val="22"/>
        </w:rPr>
        <w:t>2.5.2 Prospect Theory and Loss Aversion</w:t>
        <w:tab/>
        <w:t>22</w:t>
      </w:r>
    </w:p>
    <w:p>
      <w:pPr>
        <w:pStyle w:val="TOC3"/>
        <w:keepNext w:val="0"/>
        <w:keepLines/>
        <w:tabs>
          <w:tab w:pos="8496" w:val="right" w:leader="dot"/>
        </w:tabs>
        <w:spacing w:before="0" w:after="80" w:line="276" w:lineRule="auto"/>
        <w:ind w:right="374"/>
      </w:pPr>
      <w:r>
        <w:rPr>
          <w:rFonts w:ascii="Times New Roman" w:hAnsi="Times New Roman"/>
          <w:sz w:val="22"/>
        </w:rPr>
        <w:t>2.5.3 The Endowment Effect on Identity-Level Assets</w:t>
        <w:tab/>
        <w:t>23</w:t>
      </w:r>
    </w:p>
    <w:p>
      <w:pPr>
        <w:pStyle w:val="TOC3"/>
        <w:keepNext w:val="0"/>
        <w:keepLines/>
        <w:tabs>
          <w:tab w:pos="8496" w:val="right" w:leader="dot"/>
        </w:tabs>
        <w:spacing w:before="0" w:after="80" w:line="276" w:lineRule="auto"/>
        <w:ind w:right="374"/>
      </w:pPr>
      <w:r>
        <w:rPr>
          <w:rFonts w:ascii="Times New Roman" w:hAnsi="Times New Roman"/>
          <w:sz w:val="22"/>
        </w:rPr>
        <w:t>2.5.4 Mental Accounting of Health Outcomes</w:t>
        <w:tab/>
        <w:t>23</w:t>
      </w:r>
    </w:p>
    <w:p>
      <w:pPr>
        <w:pStyle w:val="TOC3"/>
        <w:keepNext w:val="0"/>
        <w:keepLines/>
        <w:tabs>
          <w:tab w:pos="8496" w:val="right" w:leader="dot"/>
        </w:tabs>
        <w:spacing w:before="0" w:after="80" w:line="276" w:lineRule="auto"/>
        <w:ind w:right="374"/>
      </w:pPr>
      <w:r>
        <w:rPr>
          <w:rFonts w:ascii="Times New Roman" w:hAnsi="Times New Roman"/>
          <w:sz w:val="22"/>
        </w:rPr>
        <w:t>2.5.5 Stereotype Threat as the Trigger</w:t>
        <w:tab/>
        <w:t>24</w:t>
      </w:r>
    </w:p>
    <w:p>
      <w:pPr>
        <w:pStyle w:val="TOC3"/>
        <w:keepNext w:val="0"/>
        <w:keepLines/>
        <w:tabs>
          <w:tab w:pos="8496" w:val="right" w:leader="dot"/>
        </w:tabs>
        <w:spacing w:before="0" w:after="80" w:line="276" w:lineRule="auto"/>
        <w:ind w:right="374"/>
      </w:pPr>
      <w:r>
        <w:rPr>
          <w:rFonts w:ascii="Times New Roman" w:hAnsi="Times New Roman"/>
          <w:sz w:val="22"/>
        </w:rPr>
        <w:t>2.5.6 A Four-Layer Behavioural Integration for Failure-Associated Non-Return</w:t>
        <w:tab/>
        <w:t>24</w:t>
      </w:r>
    </w:p>
    <w:p>
      <w:pPr>
        <w:pStyle w:val="TOC2"/>
        <w:keepNext w:val="0"/>
        <w:keepLines/>
        <w:tabs>
          <w:tab w:pos="8496" w:val="right" w:leader="dot"/>
        </w:tabs>
        <w:spacing w:before="0" w:after="80" w:line="276" w:lineRule="auto"/>
        <w:ind w:right="374"/>
      </w:pPr>
      <w:r>
        <w:rPr>
          <w:rFonts w:ascii="Times New Roman" w:hAnsi="Times New Roman"/>
          <w:sz w:val="22"/>
        </w:rPr>
        <w:t>2.6 Stage Five: Positioning Decoupled Gameplay and Adaptive Learning as Design Responses</w:t>
        <w:tab/>
        <w:t>24</w:t>
      </w:r>
    </w:p>
    <w:p>
      <w:pPr>
        <w:pStyle w:val="TOC3"/>
        <w:keepNext w:val="0"/>
        <w:keepLines/>
        <w:tabs>
          <w:tab w:pos="8496" w:val="right" w:leader="dot"/>
        </w:tabs>
        <w:spacing w:before="0" w:after="80" w:line="276" w:lineRule="auto"/>
        <w:ind w:right="374"/>
      </w:pPr>
      <w:r>
        <w:rPr>
          <w:rFonts w:ascii="Times New Roman" w:hAnsi="Times New Roman"/>
          <w:sz w:val="22"/>
        </w:rPr>
        <w:t>2.6.1 The Question Stage Four Leaves Open</w:t>
        <w:tab/>
        <w:t>24</w:t>
      </w:r>
    </w:p>
    <w:p>
      <w:pPr>
        <w:pStyle w:val="TOC3"/>
        <w:keepNext w:val="0"/>
        <w:keepLines/>
        <w:tabs>
          <w:tab w:pos="8496" w:val="right" w:leader="dot"/>
        </w:tabs>
        <w:spacing w:before="0" w:after="80" w:line="276" w:lineRule="auto"/>
        <w:ind w:right="374"/>
      </w:pPr>
      <w:r>
        <w:rPr>
          <w:rFonts w:ascii="Times New Roman" w:hAnsi="Times New Roman"/>
          <w:sz w:val="22"/>
        </w:rPr>
        <w:t>2.6.2 Productive Failure and Adaptive Learning</w:t>
        <w:tab/>
        <w:t>25</w:t>
      </w:r>
    </w:p>
    <w:p>
      <w:pPr>
        <w:pStyle w:val="TOC3"/>
        <w:keepNext w:val="0"/>
        <w:keepLines/>
        <w:tabs>
          <w:tab w:pos="8496" w:val="right" w:leader="dot"/>
        </w:tabs>
        <w:spacing w:before="0" w:after="80" w:line="276" w:lineRule="auto"/>
        <w:ind w:right="374"/>
      </w:pPr>
      <w:r>
        <w:rPr>
          <w:rFonts w:ascii="Times New Roman" w:hAnsi="Times New Roman"/>
          <w:sz w:val="22"/>
        </w:rPr>
        <w:t>2.6.2A The Theoretical Lineage of Adaptive Learning</w:t>
        <w:tab/>
        <w:t>25</w:t>
      </w:r>
    </w:p>
    <w:p>
      <w:pPr>
        <w:pStyle w:val="TOC3"/>
        <w:keepNext w:val="0"/>
        <w:keepLines/>
        <w:tabs>
          <w:tab w:pos="8496" w:val="right" w:leader="dot"/>
        </w:tabs>
        <w:spacing w:before="0" w:after="80" w:line="276" w:lineRule="auto"/>
        <w:ind w:right="374"/>
      </w:pPr>
      <w:r>
        <w:rPr>
          <w:rFonts w:ascii="Times New Roman" w:hAnsi="Times New Roman"/>
          <w:sz w:val="22"/>
        </w:rPr>
        <w:t>2.6.2B Self-Determination Theory and Goal-Setting as Motivational Scaffolding</w:t>
        <w:tab/>
        <w:t>26</w:t>
      </w:r>
    </w:p>
    <w:p>
      <w:pPr>
        <w:pStyle w:val="TOC3"/>
        <w:keepNext w:val="0"/>
        <w:keepLines/>
        <w:tabs>
          <w:tab w:pos="8496" w:val="right" w:leader="dot"/>
        </w:tabs>
        <w:spacing w:before="0" w:after="80" w:line="276" w:lineRule="auto"/>
        <w:ind w:right="374"/>
      </w:pPr>
      <w:r>
        <w:rPr>
          <w:rFonts w:ascii="Times New Roman" w:hAnsi="Times New Roman"/>
          <w:sz w:val="22"/>
        </w:rPr>
        <w:t>2.6.2C Zero-Failure Design: Non-Terminal Feedback as a Testable Component</w:t>
        <w:tab/>
        <w:t>26</w:t>
      </w:r>
    </w:p>
    <w:p>
      <w:pPr>
        <w:pStyle w:val="TOC3"/>
        <w:keepNext w:val="0"/>
        <w:keepLines/>
        <w:tabs>
          <w:tab w:pos="8496" w:val="right" w:leader="dot"/>
        </w:tabs>
        <w:spacing w:before="0" w:after="80" w:line="276" w:lineRule="auto"/>
        <w:ind w:right="374"/>
      </w:pPr>
      <w:r>
        <w:rPr>
          <w:rFonts w:ascii="Times New Roman" w:hAnsi="Times New Roman"/>
          <w:sz w:val="22"/>
        </w:rPr>
        <w:t>2.6.3 Endowment-Protective and Learning-Trajectory Appraisals as Competing Regimes</w:t>
        <w:tab/>
        <w:t>27</w:t>
      </w:r>
    </w:p>
    <w:p>
      <w:pPr>
        <w:pStyle w:val="TOC3"/>
        <w:keepNext w:val="0"/>
        <w:keepLines/>
        <w:tabs>
          <w:tab w:pos="8496" w:val="right" w:leader="dot"/>
        </w:tabs>
        <w:spacing w:before="0" w:after="80" w:line="276" w:lineRule="auto"/>
        <w:ind w:right="374"/>
      </w:pPr>
      <w:r>
        <w:rPr>
          <w:rFonts w:ascii="Times New Roman" w:hAnsi="Times New Roman"/>
          <w:sz w:val="22"/>
        </w:rPr>
        <w:t>2.6.4 Why Decoupled Gameplay Is a Critical but Non-Definitive Empirical Test</w:t>
        <w:tab/>
        <w:t>28</w:t>
      </w:r>
    </w:p>
    <w:p>
      <w:pPr>
        <w:pStyle w:val="TOC2"/>
        <w:keepNext w:val="0"/>
        <w:keepLines/>
        <w:tabs>
          <w:tab w:pos="8496" w:val="right" w:leader="dot"/>
        </w:tabs>
        <w:spacing w:before="0" w:after="80" w:line="276" w:lineRule="auto"/>
        <w:ind w:right="374"/>
      </w:pPr>
      <w:r>
        <w:rPr>
          <w:rFonts w:ascii="Times New Roman" w:hAnsi="Times New Roman"/>
          <w:sz w:val="22"/>
        </w:rPr>
        <w:t>2.7 Supporting Evidence and Adjacent Frameworks</w:t>
        <w:tab/>
        <w:t>29</w:t>
      </w:r>
    </w:p>
    <w:p>
      <w:pPr>
        <w:pStyle w:val="TOC3"/>
        <w:keepNext w:val="0"/>
        <w:keepLines/>
        <w:tabs>
          <w:tab w:pos="8496" w:val="right" w:leader="dot"/>
        </w:tabs>
        <w:spacing w:before="0" w:after="80" w:line="276" w:lineRule="auto"/>
        <w:ind w:right="374"/>
      </w:pPr>
      <w:r>
        <w:rPr>
          <w:rFonts w:ascii="Times New Roman" w:hAnsi="Times New Roman"/>
          <w:sz w:val="22"/>
        </w:rPr>
        <w:t>2.7.1 Gamification for Older Adults: The Koivisto and Malik Review</w:t>
        <w:tab/>
        <w:t>29</w:t>
      </w:r>
    </w:p>
    <w:p>
      <w:pPr>
        <w:pStyle w:val="TOC3"/>
        <w:keepNext w:val="0"/>
        <w:keepLines/>
        <w:tabs>
          <w:tab w:pos="8496" w:val="right" w:leader="dot"/>
        </w:tabs>
        <w:spacing w:before="0" w:after="80" w:line="276" w:lineRule="auto"/>
        <w:ind w:right="374"/>
      </w:pPr>
      <w:r>
        <w:rPr>
          <w:rFonts w:ascii="Times New Roman" w:hAnsi="Times New Roman"/>
          <w:sz w:val="22"/>
        </w:rPr>
        <w:t>2.7.2 The NASSS Framework: A Complementary Multilevel Account</w:t>
        <w:tab/>
        <w:t>29</w:t>
      </w:r>
    </w:p>
    <w:p>
      <w:pPr>
        <w:pStyle w:val="TOC3"/>
        <w:keepNext w:val="0"/>
        <w:keepLines/>
        <w:tabs>
          <w:tab w:pos="8496" w:val="right" w:leader="dot"/>
        </w:tabs>
        <w:spacing w:before="0" w:after="80" w:line="276" w:lineRule="auto"/>
        <w:ind w:right="374"/>
      </w:pPr>
      <w:r>
        <w:rPr>
          <w:rFonts w:ascii="Times New Roman" w:hAnsi="Times New Roman"/>
          <w:sz w:val="22"/>
        </w:rPr>
        <w:t>2.7.3 Cross-Cultural Reference: The Korean Comparison</w:t>
        <w:tab/>
        <w:t>29</w:t>
      </w:r>
    </w:p>
    <w:p>
      <w:pPr>
        <w:pStyle w:val="TOC3"/>
        <w:keepNext w:val="0"/>
        <w:keepLines/>
        <w:tabs>
          <w:tab w:pos="8496" w:val="right" w:leader="dot"/>
        </w:tabs>
        <w:spacing w:before="0" w:after="80" w:line="276" w:lineRule="auto"/>
        <w:ind w:right="374"/>
      </w:pPr>
      <w:r>
        <w:rPr>
          <w:rFonts w:ascii="Times New Roman" w:hAnsi="Times New Roman"/>
          <w:sz w:val="22"/>
        </w:rPr>
        <w:t>2.7.4 Information Entropy as a Bridge Lens</w:t>
        <w:tab/>
        <w:t>30</w:t>
      </w:r>
    </w:p>
    <w:p>
      <w:pPr>
        <w:pStyle w:val="TOC2"/>
        <w:keepNext w:val="0"/>
        <w:keepLines/>
        <w:tabs>
          <w:tab w:pos="8496" w:val="right" w:leader="dot"/>
        </w:tabs>
        <w:spacing w:before="0" w:after="80" w:line="276" w:lineRule="auto"/>
        <w:ind w:right="374"/>
      </w:pPr>
      <w:r>
        <w:rPr>
          <w:rFonts w:ascii="Times New Roman" w:hAnsi="Times New Roman"/>
          <w:sz w:val="22"/>
        </w:rPr>
        <w:t>2.8 Synthesis: The Five-Stage Transformative Argument</w:t>
        <w:tab/>
        <w:t>30</w:t>
      </w:r>
    </w:p>
    <w:p>
      <w:pPr>
        <w:pStyle w:val="TOC1"/>
        <w:keepNext w:val="0"/>
        <w:keepLines/>
        <w:tabs>
          <w:tab w:pos="8496" w:val="right" w:leader="dot"/>
        </w:tabs>
        <w:spacing w:before="0" w:after="80" w:line="276" w:lineRule="auto"/>
        <w:ind w:right="374"/>
      </w:pPr>
      <w:r>
        <w:rPr>
          <w:rFonts w:ascii="Times New Roman" w:hAnsi="Times New Roman"/>
          <w:sz w:val="22"/>
        </w:rPr>
        <w:t>Chapter 3 Research Methodology</w:t>
        <w:tab/>
        <w:t>38</w:t>
      </w:r>
    </w:p>
    <w:p>
      <w:pPr>
        <w:pStyle w:val="TOC2"/>
        <w:keepNext w:val="0"/>
        <w:keepLines/>
        <w:tabs>
          <w:tab w:pos="8496" w:val="right" w:leader="dot"/>
        </w:tabs>
        <w:spacing w:before="0" w:after="80" w:line="276" w:lineRule="auto"/>
        <w:ind w:right="374"/>
      </w:pPr>
      <w:r>
        <w:rPr>
          <w:rFonts w:ascii="Times New Roman" w:hAnsi="Times New Roman"/>
          <w:sz w:val="22"/>
        </w:rPr>
        <w:t>3.1 Action Research as the Methodological Frame</w:t>
        <w:tab/>
        <w:t>38</w:t>
      </w:r>
    </w:p>
    <w:p>
      <w:pPr>
        <w:pStyle w:val="TOC2"/>
        <w:keepNext w:val="0"/>
        <w:keepLines/>
        <w:tabs>
          <w:tab w:pos="8496" w:val="right" w:leader="dot"/>
        </w:tabs>
        <w:spacing w:before="0" w:after="80" w:line="276" w:lineRule="auto"/>
        <w:ind w:right="374"/>
      </w:pPr>
      <w:r>
        <w:rPr>
          <w:rFonts w:ascii="Times New Roman" w:hAnsi="Times New Roman"/>
          <w:sz w:val="22"/>
        </w:rPr>
        <w:t>3.2 Three-Stage Design</w:t>
        <w:tab/>
        <w:t>38</w:t>
      </w:r>
    </w:p>
    <w:p>
      <w:pPr>
        <w:pStyle w:val="TOC2"/>
        <w:keepNext w:val="0"/>
        <w:keepLines/>
        <w:tabs>
          <w:tab w:pos="8496" w:val="right" w:leader="dot"/>
        </w:tabs>
        <w:spacing w:before="0" w:after="80" w:line="276" w:lineRule="auto"/>
        <w:ind w:right="374"/>
      </w:pPr>
      <w:r>
        <w:rPr>
          <w:rFonts w:ascii="Times New Roman" w:hAnsi="Times New Roman"/>
          <w:sz w:val="22"/>
        </w:rPr>
        <w:t>3.3 Methodology Overview Infographic</w:t>
        <w:tab/>
        <w:t>43</w:t>
      </w:r>
    </w:p>
    <w:p>
      <w:pPr>
        <w:pStyle w:val="TOC2"/>
        <w:keepNext w:val="0"/>
        <w:keepLines/>
        <w:tabs>
          <w:tab w:pos="8496" w:val="right" w:leader="dot"/>
        </w:tabs>
        <w:spacing w:before="0" w:after="80" w:line="276" w:lineRule="auto"/>
        <w:ind w:right="374"/>
      </w:pPr>
      <w:r>
        <w:rPr>
          <w:rFonts w:ascii="Times New Roman" w:hAnsi="Times New Roman"/>
          <w:sz w:val="22"/>
        </w:rPr>
        <w:t>3.4 Ethics, Consent, Data Governance</w:t>
        <w:tab/>
        <w:t>46</w:t>
      </w:r>
    </w:p>
    <w:p>
      <w:pPr>
        <w:pStyle w:val="TOC2"/>
        <w:keepNext w:val="0"/>
        <w:keepLines/>
        <w:tabs>
          <w:tab w:pos="8496" w:val="right" w:leader="dot"/>
        </w:tabs>
        <w:spacing w:before="0" w:after="80" w:line="276" w:lineRule="auto"/>
        <w:ind w:right="374"/>
      </w:pPr>
      <w:r>
        <w:rPr>
          <w:rFonts w:ascii="Times New Roman" w:hAnsi="Times New Roman"/>
          <w:sz w:val="22"/>
        </w:rPr>
        <w:t>3.5 Methodological Limits and Mitigations</w:t>
        <w:tab/>
        <w:t>49</w:t>
      </w:r>
    </w:p>
    <w:p>
      <w:pPr>
        <w:pStyle w:val="TOC2"/>
        <w:keepNext w:val="0"/>
        <w:keepLines/>
        <w:tabs>
          <w:tab w:pos="8496" w:val="right" w:leader="dot"/>
        </w:tabs>
        <w:spacing w:before="0" w:after="80" w:line="276" w:lineRule="auto"/>
        <w:ind w:right="374"/>
      </w:pPr>
      <w:r>
        <w:rPr>
          <w:rFonts w:ascii="Times New Roman" w:hAnsi="Times New Roman"/>
          <w:sz w:val="22"/>
        </w:rPr>
        <w:t>3.6 An Instrumentation Roadmap for the Adaptive-Learning Proposition</w:t>
        <w:tab/>
        <w:t>51</w:t>
      </w:r>
    </w:p>
    <w:p>
      <w:pPr>
        <w:pStyle w:val="TOC1"/>
        <w:keepNext w:val="0"/>
        <w:keepLines/>
        <w:tabs>
          <w:tab w:pos="8496" w:val="right" w:leader="dot"/>
        </w:tabs>
        <w:spacing w:before="0" w:after="80" w:line="276" w:lineRule="auto"/>
        <w:ind w:right="374"/>
      </w:pPr>
      <w:r>
        <w:rPr>
          <w:rFonts w:ascii="Times New Roman" w:hAnsi="Times New Roman"/>
          <w:sz w:val="22"/>
        </w:rPr>
        <w:t>Chapter 4 Stage 1 — From FIDS to FIAS</w:t>
        <w:tab/>
        <w:t>53</w:t>
      </w:r>
    </w:p>
    <w:p>
      <w:pPr>
        <w:pStyle w:val="TOC2"/>
        <w:keepNext w:val="0"/>
        <w:keepLines/>
        <w:tabs>
          <w:tab w:pos="8496" w:val="right" w:leader="dot"/>
        </w:tabs>
        <w:spacing w:before="0" w:after="80" w:line="276" w:lineRule="auto"/>
        <w:ind w:right="374"/>
      </w:pPr>
      <w:r>
        <w:rPr>
          <w:rFonts w:ascii="Times New Roman" w:hAnsi="Times New Roman"/>
          <w:sz w:val="22"/>
        </w:rPr>
        <w:t>4.1 Purpose</w:t>
        <w:tab/>
        <w:t>53</w:t>
      </w:r>
    </w:p>
    <w:p>
      <w:pPr>
        <w:pStyle w:val="TOC2"/>
        <w:keepNext w:val="0"/>
        <w:keepLines/>
        <w:tabs>
          <w:tab w:pos="8496" w:val="right" w:leader="dot"/>
        </w:tabs>
        <w:spacing w:before="0" w:after="80" w:line="276" w:lineRule="auto"/>
        <w:ind w:right="374"/>
      </w:pPr>
      <w:r>
        <w:rPr>
          <w:rFonts w:ascii="Times New Roman" w:hAnsi="Times New Roman"/>
          <w:sz w:val="22"/>
        </w:rPr>
        <w:t>4.1A What is Fall Risk Assessment (FRA)? Basic System Design and Features</w:t>
        <w:tab/>
        <w:t>53</w:t>
      </w:r>
    </w:p>
    <w:p>
      <w:pPr>
        <w:pStyle w:val="TOC2"/>
        <w:keepNext w:val="0"/>
        <w:keepLines/>
        <w:tabs>
          <w:tab w:pos="8496" w:val="right" w:leader="dot"/>
        </w:tabs>
        <w:spacing w:before="0" w:after="80" w:line="276" w:lineRule="auto"/>
        <w:ind w:right="374"/>
      </w:pPr>
      <w:r>
        <w:rPr>
          <w:rFonts w:ascii="Times New Roman" w:hAnsi="Times New Roman"/>
          <w:sz w:val="22"/>
        </w:rPr>
        <w:t>4.2 The Guangzhou Survey (N = 200 of 280 Residents)</w:t>
        <w:tab/>
        <w:t>57</w:t>
      </w:r>
    </w:p>
    <w:p>
      <w:pPr>
        <w:pStyle w:val="TOC2"/>
        <w:keepNext w:val="0"/>
        <w:keepLines/>
        <w:tabs>
          <w:tab w:pos="8496" w:val="right" w:leader="dot"/>
        </w:tabs>
        <w:spacing w:before="0" w:after="80" w:line="276" w:lineRule="auto"/>
        <w:ind w:right="374"/>
      </w:pPr>
      <w:r>
        <w:rPr>
          <w:rFonts w:ascii="Times New Roman" w:hAnsi="Times New Roman"/>
          <w:sz w:val="22"/>
        </w:rPr>
        <w:t>4.3 TAM, STAM and the Limitation for Retired Users</w:t>
        <w:tab/>
        <w:t>59</w:t>
      </w:r>
    </w:p>
    <w:p>
      <w:pPr>
        <w:pStyle w:val="TOC2"/>
        <w:keepNext w:val="0"/>
        <w:keepLines/>
        <w:tabs>
          <w:tab w:pos="8496" w:val="right" w:leader="dot"/>
        </w:tabs>
        <w:spacing w:before="0" w:after="80" w:line="276" w:lineRule="auto"/>
        <w:ind w:right="374"/>
      </w:pPr>
      <w:r>
        <w:rPr>
          <w:rFonts w:ascii="Times New Roman" w:hAnsi="Times New Roman"/>
          <w:sz w:val="22"/>
        </w:rPr>
        <w:t>4.4 Octalysis and the In-Game Loss Assumption</w:t>
        <w:tab/>
        <w:t>60</w:t>
      </w:r>
    </w:p>
    <w:p>
      <w:pPr>
        <w:pStyle w:val="TOC2"/>
        <w:keepNext w:val="0"/>
        <w:keepLines/>
        <w:tabs>
          <w:tab w:pos="8496" w:val="right" w:leader="dot"/>
        </w:tabs>
        <w:spacing w:before="0" w:after="80" w:line="276" w:lineRule="auto"/>
        <w:ind w:right="374"/>
      </w:pPr>
      <w:r>
        <w:rPr>
          <w:rFonts w:ascii="Times New Roman" w:hAnsi="Times New Roman"/>
          <w:sz w:val="22"/>
        </w:rPr>
        <w:t>4.5 Behavioural Science Lenses</w:t>
        <w:tab/>
        <w:t>61</w:t>
      </w:r>
    </w:p>
    <w:p>
      <w:pPr>
        <w:pStyle w:val="TOC2"/>
        <w:keepNext w:val="0"/>
        <w:keepLines/>
        <w:tabs>
          <w:tab w:pos="8496" w:val="right" w:leader="dot"/>
        </w:tabs>
        <w:spacing w:before="0" w:after="80" w:line="276" w:lineRule="auto"/>
        <w:ind w:right="374"/>
      </w:pPr>
      <w:r>
        <w:rPr>
          <w:rFonts w:ascii="Times New Roman" w:hAnsi="Times New Roman"/>
          <w:sz w:val="22"/>
        </w:rPr>
        <w:t>4.6 Terminological Correction: FIDS to FIAS</w:t>
        <w:tab/>
        <w:t>61</w:t>
      </w:r>
    </w:p>
    <w:p>
      <w:pPr>
        <w:pStyle w:val="TOC2"/>
        <w:keepNext w:val="0"/>
        <w:keepLines/>
        <w:tabs>
          <w:tab w:pos="8496" w:val="right" w:leader="dot"/>
        </w:tabs>
        <w:spacing w:before="0" w:after="80" w:line="276" w:lineRule="auto"/>
        <w:ind w:right="374"/>
      </w:pPr>
      <w:r>
        <w:rPr>
          <w:rFonts w:ascii="Times New Roman" w:hAnsi="Times New Roman"/>
          <w:sz w:val="22"/>
        </w:rPr>
        <w:t>4.7 Cross-Cultural Reference Point</w:t>
        <w:tab/>
        <w:t>62</w:t>
      </w:r>
    </w:p>
    <w:p>
      <w:pPr>
        <w:pStyle w:val="TOC2"/>
        <w:keepNext w:val="0"/>
        <w:keepLines/>
        <w:tabs>
          <w:tab w:pos="8496" w:val="right" w:leader="dot"/>
        </w:tabs>
        <w:spacing w:before="0" w:after="80" w:line="276" w:lineRule="auto"/>
        <w:ind w:right="374"/>
      </w:pPr>
      <w:r>
        <w:rPr>
          <w:rFonts w:ascii="Times New Roman" w:hAnsi="Times New Roman"/>
          <w:sz w:val="22"/>
        </w:rPr>
        <w:t>4.8 Output and Stage-1 Limitations</w:t>
        <w:tab/>
        <w:t>62</w:t>
      </w:r>
    </w:p>
    <w:p>
      <w:pPr>
        <w:pStyle w:val="TOC1"/>
        <w:keepNext w:val="0"/>
        <w:keepLines/>
        <w:tabs>
          <w:tab w:pos="8496" w:val="right" w:leader="dot"/>
        </w:tabs>
        <w:spacing w:before="0" w:after="80" w:line="276" w:lineRule="auto"/>
        <w:ind w:right="374"/>
      </w:pPr>
      <w:r>
        <w:rPr>
          <w:rFonts w:ascii="Times New Roman" w:hAnsi="Times New Roman"/>
          <w:sz w:val="22"/>
        </w:rPr>
        <w:t>Chapter 5 Stage 2 — Action Research with Gamified FRA</w:t>
        <w:tab/>
        <w:t>64</w:t>
      </w:r>
    </w:p>
    <w:p>
      <w:pPr>
        <w:pStyle w:val="TOC2"/>
        <w:keepNext w:val="0"/>
        <w:keepLines/>
        <w:tabs>
          <w:tab w:pos="8496" w:val="right" w:leader="dot"/>
        </w:tabs>
        <w:spacing w:before="0" w:after="80" w:line="276" w:lineRule="auto"/>
        <w:ind w:right="374"/>
      </w:pPr>
      <w:r>
        <w:rPr>
          <w:rFonts w:ascii="Times New Roman" w:hAnsi="Times New Roman"/>
          <w:sz w:val="22"/>
        </w:rPr>
        <w:t>5.1 Research Questions and Hypotheses</w:t>
        <w:tab/>
        <w:t>64</w:t>
      </w:r>
    </w:p>
    <w:p>
      <w:pPr>
        <w:pStyle w:val="TOC2"/>
        <w:keepNext w:val="0"/>
        <w:keepLines/>
        <w:tabs>
          <w:tab w:pos="8496" w:val="right" w:leader="dot"/>
        </w:tabs>
        <w:spacing w:before="0" w:after="80" w:line="276" w:lineRule="auto"/>
        <w:ind w:right="374"/>
      </w:pPr>
      <w:r>
        <w:rPr>
          <w:rFonts w:ascii="Times New Roman" w:hAnsi="Times New Roman"/>
          <w:sz w:val="22"/>
        </w:rPr>
        <w:t>5.2 Setting and Action-Research Approach</w:t>
        <w:tab/>
        <w:t>65</w:t>
      </w:r>
    </w:p>
    <w:p>
      <w:pPr>
        <w:pStyle w:val="TOC2"/>
        <w:keepNext w:val="0"/>
        <w:keepLines/>
        <w:tabs>
          <w:tab w:pos="8496" w:val="right" w:leader="dot"/>
        </w:tabs>
        <w:spacing w:before="0" w:after="80" w:line="276" w:lineRule="auto"/>
        <w:ind w:right="374"/>
      </w:pPr>
      <w:r>
        <w:rPr>
          <w:rFonts w:ascii="Times New Roman" w:hAnsi="Times New Roman"/>
          <w:sz w:val="22"/>
        </w:rPr>
        <w:t>5.2A Integrating the FRA into the Skiing Game: The Dual-Purpose Mechanic in Detail</w:t>
        <w:tab/>
        <w:t>65</w:t>
      </w:r>
    </w:p>
    <w:p>
      <w:pPr>
        <w:pStyle w:val="TOC2"/>
        <w:keepNext w:val="0"/>
        <w:keepLines/>
        <w:tabs>
          <w:tab w:pos="8496" w:val="right" w:leader="dot"/>
        </w:tabs>
        <w:spacing w:before="0" w:after="80" w:line="276" w:lineRule="auto"/>
        <w:ind w:right="374"/>
      </w:pPr>
      <w:r>
        <w:rPr>
          <w:rFonts w:ascii="Times New Roman" w:hAnsi="Times New Roman"/>
          <w:sz w:val="22"/>
        </w:rPr>
        <w:t>5.3 The Gamified Intervention — Skiing Game on the InBody Pressure Panel</w:t>
        <w:tab/>
        <w:t>70</w:t>
      </w:r>
    </w:p>
    <w:p>
      <w:pPr>
        <w:pStyle w:val="TOC3"/>
        <w:keepNext w:val="0"/>
        <w:keepLines/>
        <w:tabs>
          <w:tab w:pos="8496" w:val="right" w:leader="dot"/>
        </w:tabs>
        <w:spacing w:before="0" w:after="80" w:line="276" w:lineRule="auto"/>
        <w:ind w:right="374"/>
      </w:pPr>
      <w:r>
        <w:rPr>
          <w:rFonts w:ascii="Times New Roman" w:hAnsi="Times New Roman"/>
          <w:sz w:val="22"/>
        </w:rPr>
        <w:t>5.3.1 The InBody Pressure Panel</w:t>
        <w:tab/>
        <w:t>70</w:t>
      </w:r>
    </w:p>
    <w:p>
      <w:pPr>
        <w:pStyle w:val="TOC3"/>
        <w:keepNext w:val="0"/>
        <w:keepLines/>
        <w:tabs>
          <w:tab w:pos="8496" w:val="right" w:leader="dot"/>
        </w:tabs>
        <w:spacing w:before="0" w:after="80" w:line="276" w:lineRule="auto"/>
        <w:ind w:right="374"/>
      </w:pPr>
      <w:r>
        <w:rPr>
          <w:rFonts w:ascii="Times New Roman" w:hAnsi="Times New Roman"/>
          <w:sz w:val="22"/>
        </w:rPr>
        <w:t>5.3.2 Game Concept and Gameplay Loop</w:t>
        <w:tab/>
        <w:t>71</w:t>
      </w:r>
    </w:p>
    <w:p>
      <w:pPr>
        <w:pStyle w:val="TOC3"/>
        <w:keepNext w:val="0"/>
        <w:keepLines/>
        <w:tabs>
          <w:tab w:pos="8496" w:val="right" w:leader="dot"/>
        </w:tabs>
        <w:spacing w:before="0" w:after="80" w:line="276" w:lineRule="auto"/>
        <w:ind w:right="374"/>
      </w:pPr>
      <w:r>
        <w:rPr>
          <w:rFonts w:ascii="Times New Roman" w:hAnsi="Times New Roman"/>
          <w:sz w:val="22"/>
        </w:rPr>
        <w:t>5.3.3 On-Screen Display</w:t>
        <w:tab/>
        <w:t>71</w:t>
      </w:r>
    </w:p>
    <w:p>
      <w:pPr>
        <w:pStyle w:val="TOC3"/>
        <w:keepNext w:val="0"/>
        <w:keepLines/>
        <w:tabs>
          <w:tab w:pos="8496" w:val="right" w:leader="dot"/>
        </w:tabs>
        <w:spacing w:before="0" w:after="80" w:line="276" w:lineRule="auto"/>
        <w:ind w:right="374"/>
      </w:pPr>
      <w:r>
        <w:rPr>
          <w:rFonts w:ascii="Times New Roman" w:hAnsi="Times New Roman"/>
          <w:sz w:val="22"/>
        </w:rPr>
        <w:t>5.3.4 Five-Layer Architecture</w:t>
        <w:tab/>
        <w:t>74</w:t>
      </w:r>
    </w:p>
    <w:p>
      <w:pPr>
        <w:pStyle w:val="TOC3"/>
        <w:keepNext w:val="0"/>
        <w:keepLines/>
        <w:tabs>
          <w:tab w:pos="8496" w:val="right" w:leader="dot"/>
        </w:tabs>
        <w:spacing w:before="0" w:after="80" w:line="276" w:lineRule="auto"/>
        <w:ind w:right="374"/>
      </w:pPr>
      <w:r>
        <w:rPr>
          <w:rFonts w:ascii="Times New Roman" w:hAnsi="Times New Roman"/>
          <w:sz w:val="22"/>
        </w:rPr>
        <w:t>5.3.5 Automatic Difficulty Adjustment System</w:t>
        <w:tab/>
        <w:t>76</w:t>
      </w:r>
    </w:p>
    <w:p>
      <w:pPr>
        <w:pStyle w:val="TOC3"/>
        <w:keepNext w:val="0"/>
        <w:keepLines/>
        <w:tabs>
          <w:tab w:pos="8496" w:val="right" w:leader="dot"/>
        </w:tabs>
        <w:spacing w:before="0" w:after="80" w:line="276" w:lineRule="auto"/>
        <w:ind w:right="374"/>
      </w:pPr>
      <w:r>
        <w:rPr>
          <w:rFonts w:ascii="Times New Roman" w:hAnsi="Times New Roman"/>
          <w:sz w:val="22"/>
        </w:rPr>
        <w:t>5.3.6 Data Structures and Telemetry</w:t>
        <w:tab/>
        <w:t>77</w:t>
      </w:r>
    </w:p>
    <w:p>
      <w:pPr>
        <w:pStyle w:val="TOC3"/>
        <w:keepNext w:val="0"/>
        <w:keepLines/>
        <w:tabs>
          <w:tab w:pos="8496" w:val="right" w:leader="dot"/>
        </w:tabs>
        <w:spacing w:before="0" w:after="80" w:line="276" w:lineRule="auto"/>
        <w:ind w:right="374"/>
      </w:pPr>
      <w:r>
        <w:rPr>
          <w:rFonts w:ascii="Times New Roman" w:hAnsi="Times New Roman"/>
          <w:sz w:val="22"/>
        </w:rPr>
        <w:t>5.3.7 Sample User Profile</w:t>
        <w:tab/>
        <w:t>78</w:t>
      </w:r>
    </w:p>
    <w:p>
      <w:pPr>
        <w:pStyle w:val="TOC3"/>
        <w:keepNext w:val="0"/>
        <w:keepLines/>
        <w:tabs>
          <w:tab w:pos="8496" w:val="right" w:leader="dot"/>
        </w:tabs>
        <w:spacing w:before="0" w:after="80" w:line="276" w:lineRule="auto"/>
        <w:ind w:right="374"/>
      </w:pPr>
      <w:r>
        <w:rPr>
          <w:rFonts w:ascii="Times New Roman" w:hAnsi="Times New Roman"/>
          <w:sz w:val="22"/>
        </w:rPr>
        <w:t>5.3.8 Why a Skiing Game?</w:t>
        <w:tab/>
        <w:t>78</w:t>
      </w:r>
    </w:p>
    <w:p>
      <w:pPr>
        <w:pStyle w:val="TOC3"/>
        <w:keepNext w:val="0"/>
        <w:keepLines/>
        <w:tabs>
          <w:tab w:pos="8496" w:val="right" w:leader="dot"/>
        </w:tabs>
        <w:spacing w:before="0" w:after="80" w:line="276" w:lineRule="auto"/>
        <w:ind w:right="374"/>
      </w:pPr>
      <w:r>
        <w:rPr>
          <w:rFonts w:ascii="Times New Roman" w:hAnsi="Times New Roman"/>
          <w:sz w:val="22"/>
        </w:rPr>
        <w:t>5.3.9 Development Methodology and Tooling</w:t>
        <w:tab/>
        <w:t>79</w:t>
      </w:r>
    </w:p>
    <w:p>
      <w:pPr>
        <w:pStyle w:val="TOC3"/>
        <w:keepNext w:val="0"/>
        <w:keepLines/>
        <w:tabs>
          <w:tab w:pos="8496" w:val="right" w:leader="dot"/>
        </w:tabs>
        <w:spacing w:before="0" w:after="80" w:line="276" w:lineRule="auto"/>
        <w:ind w:right="374"/>
      </w:pPr>
      <w:r>
        <w:rPr>
          <w:rFonts w:ascii="Times New Roman" w:hAnsi="Times New Roman"/>
          <w:sz w:val="22"/>
        </w:rPr>
        <w:t>5.3.10 Dynamic Game States: An Agentic-AI-Driven, Loss-Free Game Mechanic (Secondary Contribution)</w:t>
        <w:tab/>
        <w:t>81</w:t>
      </w:r>
    </w:p>
    <w:p>
      <w:pPr>
        <w:pStyle w:val="TOC2"/>
        <w:keepNext w:val="0"/>
        <w:keepLines/>
        <w:tabs>
          <w:tab w:pos="8496" w:val="right" w:leader="dot"/>
        </w:tabs>
        <w:spacing w:before="0" w:after="80" w:line="276" w:lineRule="auto"/>
        <w:ind w:right="374"/>
      </w:pPr>
      <w:r>
        <w:rPr>
          <w:rFonts w:ascii="Times New Roman" w:hAnsi="Times New Roman"/>
          <w:sz w:val="22"/>
        </w:rPr>
        <w:t>5.4 Participants and Data Governance</w:t>
        <w:tab/>
        <w:t>84</w:t>
      </w:r>
    </w:p>
    <w:p>
      <w:pPr>
        <w:pStyle w:val="TOC2"/>
        <w:keepNext w:val="0"/>
        <w:keepLines/>
        <w:tabs>
          <w:tab w:pos="8496" w:val="right" w:leader="dot"/>
        </w:tabs>
        <w:spacing w:before="0" w:after="80" w:line="276" w:lineRule="auto"/>
        <w:ind w:right="374"/>
      </w:pPr>
      <w:r>
        <w:rPr>
          <w:rFonts w:ascii="Times New Roman" w:hAnsi="Times New Roman"/>
          <w:sz w:val="22"/>
        </w:rPr>
        <w:t>5.5 Quantitative Findings</w:t>
        <w:tab/>
        <w:t>84</w:t>
      </w:r>
    </w:p>
    <w:p>
      <w:pPr>
        <w:pStyle w:val="TOC2"/>
        <w:keepNext w:val="0"/>
        <w:keepLines/>
        <w:tabs>
          <w:tab w:pos="8496" w:val="right" w:leader="dot"/>
        </w:tabs>
        <w:spacing w:before="0" w:after="80" w:line="276" w:lineRule="auto"/>
        <w:ind w:right="374"/>
      </w:pPr>
      <w:r>
        <w:rPr>
          <w:rFonts w:ascii="Times New Roman" w:hAnsi="Times New Roman"/>
          <w:sz w:val="22"/>
        </w:rPr>
        <w:t>5.5A Translating the Findings into Design Priorities: Qualitative Requirements Mapping</w:t>
        <w:tab/>
        <w:t>91</w:t>
      </w:r>
    </w:p>
    <w:p>
      <w:pPr>
        <w:pStyle w:val="TOC2"/>
        <w:keepNext w:val="0"/>
        <w:keepLines/>
        <w:tabs>
          <w:tab w:pos="8496" w:val="right" w:leader="dot"/>
        </w:tabs>
        <w:spacing w:before="0" w:after="80" w:line="276" w:lineRule="auto"/>
        <w:ind w:right="374"/>
      </w:pPr>
      <w:r>
        <w:rPr>
          <w:rFonts w:ascii="Times New Roman" w:hAnsi="Times New Roman"/>
          <w:sz w:val="22"/>
        </w:rPr>
        <w:t>5.6 The F4 Cluster and the Recorded-Score–Engagement Discrepancy</w:t>
        <w:tab/>
        <w:t>95</w:t>
      </w:r>
    </w:p>
    <w:p>
      <w:pPr>
        <w:pStyle w:val="TOC2"/>
        <w:keepNext w:val="0"/>
        <w:keepLines/>
        <w:tabs>
          <w:tab w:pos="8496" w:val="right" w:leader="dot"/>
        </w:tabs>
        <w:spacing w:before="0" w:after="80" w:line="276" w:lineRule="auto"/>
        <w:ind w:right="374"/>
      </w:pPr>
      <w:r>
        <w:rPr>
          <w:rFonts w:ascii="Times New Roman" w:hAnsi="Times New Roman"/>
          <w:sz w:val="22"/>
        </w:rPr>
        <w:t>5.7 Theoretical Extension: Endowment, Stereotype Threat, Domain Reframing</w:t>
        <w:tab/>
        <w:t>98</w:t>
      </w:r>
    </w:p>
    <w:p>
      <w:pPr>
        <w:pStyle w:val="TOC2"/>
        <w:keepNext w:val="0"/>
        <w:keepLines/>
        <w:tabs>
          <w:tab w:pos="8496" w:val="right" w:leader="dot"/>
        </w:tabs>
        <w:spacing w:before="0" w:after="80" w:line="276" w:lineRule="auto"/>
        <w:ind w:right="374"/>
      </w:pPr>
      <w:r>
        <w:rPr>
          <w:rFonts w:ascii="Times New Roman" w:hAnsi="Times New Roman"/>
          <w:sz w:val="22"/>
        </w:rPr>
        <w:t>5.8 Information-Entropy Lens</w:t>
        <w:tab/>
        <w:t>99</w:t>
      </w:r>
    </w:p>
    <w:p>
      <w:pPr>
        <w:pStyle w:val="TOC2"/>
        <w:keepNext w:val="0"/>
        <w:keepLines/>
        <w:tabs>
          <w:tab w:pos="8496" w:val="right" w:leader="dot"/>
        </w:tabs>
        <w:spacing w:before="0" w:after="80" w:line="276" w:lineRule="auto"/>
        <w:ind w:right="374"/>
      </w:pPr>
      <w:r>
        <w:rPr>
          <w:rFonts w:ascii="Times New Roman" w:hAnsi="Times New Roman"/>
          <w:sz w:val="22"/>
        </w:rPr>
        <w:t>5.9 Limitations and What Stage 2 Establishes</w:t>
        <w:tab/>
        <w:t>99</w:t>
      </w:r>
    </w:p>
    <w:p>
      <w:pPr>
        <w:pStyle w:val="TOC1"/>
        <w:keepNext w:val="0"/>
        <w:keepLines/>
        <w:tabs>
          <w:tab w:pos="8496" w:val="right" w:leader="dot"/>
        </w:tabs>
        <w:spacing w:before="0" w:after="80" w:line="276" w:lineRule="auto"/>
        <w:ind w:right="374"/>
      </w:pPr>
      <w:r>
        <w:rPr>
          <w:rFonts w:ascii="Times New Roman" w:hAnsi="Times New Roman"/>
          <w:sz w:val="22"/>
        </w:rPr>
        <w:t>Chapter 6 Stage 3 — Participant-Facing Decoupling: Between-Cohort Evidence for a Frame-Sensitive Account</w:t>
        <w:tab/>
        <w:t>102</w:t>
      </w:r>
    </w:p>
    <w:p>
      <w:pPr>
        <w:pStyle w:val="TOC2"/>
        <w:keepNext w:val="0"/>
        <w:keepLines/>
        <w:tabs>
          <w:tab w:pos="8496" w:val="right" w:leader="dot"/>
        </w:tabs>
        <w:spacing w:before="0" w:after="80" w:line="276" w:lineRule="auto"/>
        <w:ind w:right="374"/>
      </w:pPr>
      <w:r>
        <w:rPr>
          <w:rFonts w:ascii="Times New Roman" w:hAnsi="Times New Roman"/>
          <w:sz w:val="22"/>
        </w:rPr>
        <w:t>6.1 Why a Decoupling Stage</w:t>
        <w:tab/>
        <w:t>102</w:t>
      </w:r>
    </w:p>
    <w:p>
      <w:pPr>
        <w:pStyle w:val="TOC2"/>
        <w:keepNext w:val="0"/>
        <w:keepLines/>
        <w:tabs>
          <w:tab w:pos="8496" w:val="right" w:leader="dot"/>
        </w:tabs>
        <w:spacing w:before="0" w:after="80" w:line="276" w:lineRule="auto"/>
        <w:ind w:right="374"/>
      </w:pPr>
      <w:r>
        <w:rPr>
          <w:rFonts w:ascii="Times New Roman" w:hAnsi="Times New Roman"/>
          <w:sz w:val="22"/>
        </w:rPr>
        <w:t>6.2 Research Question and Predictions</w:t>
        <w:tab/>
        <w:t>102</w:t>
      </w:r>
    </w:p>
    <w:p>
      <w:pPr>
        <w:pStyle w:val="TOC2"/>
        <w:keepNext w:val="0"/>
        <w:keepLines/>
        <w:tabs>
          <w:tab w:pos="8496" w:val="right" w:leader="dot"/>
        </w:tabs>
        <w:spacing w:before="0" w:after="80" w:line="276" w:lineRule="auto"/>
        <w:ind w:right="374"/>
      </w:pPr>
      <w:r>
        <w:rPr>
          <w:rFonts w:ascii="Times New Roman" w:hAnsi="Times New Roman"/>
          <w:sz w:val="22"/>
        </w:rPr>
        <w:t>6.3 Methodology: A Participant-Facing Decoupling Package in a Separate Cohort</w:t>
        <w:tab/>
        <w:t>103</w:t>
      </w:r>
    </w:p>
    <w:p>
      <w:pPr>
        <w:pStyle w:val="TOC2"/>
        <w:keepNext w:val="0"/>
        <w:keepLines/>
        <w:tabs>
          <w:tab w:pos="8496" w:val="right" w:leader="dot"/>
        </w:tabs>
        <w:spacing w:before="0" w:after="80" w:line="276" w:lineRule="auto"/>
        <w:ind w:right="374"/>
      </w:pPr>
      <w:r>
        <w:rPr>
          <w:rFonts w:ascii="Times New Roman" w:hAnsi="Times New Roman"/>
          <w:sz w:val="22"/>
        </w:rPr>
        <w:t>6.4 Participants and Apparatus</w:t>
        <w:tab/>
        <w:t>104</w:t>
      </w:r>
    </w:p>
    <w:p>
      <w:pPr>
        <w:pStyle w:val="TOC2"/>
        <w:keepNext w:val="0"/>
        <w:keepLines/>
        <w:tabs>
          <w:tab w:pos="8496" w:val="right" w:leader="dot"/>
        </w:tabs>
        <w:spacing w:before="0" w:after="80" w:line="276" w:lineRule="auto"/>
        <w:ind w:right="374"/>
      </w:pPr>
      <w:r>
        <w:rPr>
          <w:rFonts w:ascii="Times New Roman" w:hAnsi="Times New Roman"/>
          <w:sz w:val="22"/>
        </w:rPr>
        <w:t>6.5 Findings: A Substantial Behavioural Shift</w:t>
        <w:tab/>
        <w:t>108</w:t>
      </w:r>
    </w:p>
    <w:p>
      <w:pPr>
        <w:pStyle w:val="TOC2"/>
        <w:keepNext w:val="0"/>
        <w:keepLines/>
        <w:tabs>
          <w:tab w:pos="8496" w:val="right" w:leader="dot"/>
        </w:tabs>
        <w:spacing w:before="0" w:after="80" w:line="276" w:lineRule="auto"/>
        <w:ind w:right="374"/>
      </w:pPr>
      <w:r>
        <w:rPr>
          <w:rFonts w:ascii="Times New Roman" w:hAnsi="Times New Roman"/>
          <w:sz w:val="22"/>
        </w:rPr>
        <w:t>6.6 The Recorded-Score–Engagement Discrepancy Reconsidered</w:t>
        <w:tab/>
        <w:t>112</w:t>
      </w:r>
    </w:p>
    <w:p>
      <w:pPr>
        <w:pStyle w:val="TOC2"/>
        <w:keepNext w:val="0"/>
        <w:keepLines/>
        <w:tabs>
          <w:tab w:pos="8496" w:val="right" w:leader="dot"/>
        </w:tabs>
        <w:spacing w:before="0" w:after="80" w:line="276" w:lineRule="auto"/>
        <w:ind w:right="374"/>
      </w:pPr>
      <w:r>
        <w:rPr>
          <w:rFonts w:ascii="Times New Roman" w:hAnsi="Times New Roman"/>
          <w:sz w:val="22"/>
        </w:rPr>
        <w:t>6.7 Frame-Sensitive versus Dispositional Accounts: Calibrated Inference</w:t>
        <w:tab/>
        <w:t>113</w:t>
      </w:r>
    </w:p>
    <w:p>
      <w:pPr>
        <w:pStyle w:val="TOC2"/>
        <w:keepNext w:val="0"/>
        <w:keepLines/>
        <w:tabs>
          <w:tab w:pos="8496" w:val="right" w:leader="dot"/>
        </w:tabs>
        <w:spacing w:before="0" w:after="80" w:line="276" w:lineRule="auto"/>
        <w:ind w:right="374"/>
      </w:pPr>
      <w:r>
        <w:rPr>
          <w:rFonts w:ascii="Times New Roman" w:hAnsi="Times New Roman"/>
          <w:sz w:val="22"/>
        </w:rPr>
        <w:t>6.8 The Commitment Gap and Its Design Implication</w:t>
        <w:tab/>
        <w:t>113</w:t>
      </w:r>
    </w:p>
    <w:p>
      <w:pPr>
        <w:pStyle w:val="TOC2"/>
        <w:keepNext w:val="0"/>
        <w:keepLines/>
        <w:tabs>
          <w:tab w:pos="8496" w:val="right" w:leader="dot"/>
        </w:tabs>
        <w:spacing w:before="0" w:after="80" w:line="276" w:lineRule="auto"/>
        <w:ind w:right="374"/>
      </w:pPr>
      <w:r>
        <w:rPr>
          <w:rFonts w:ascii="Times New Roman" w:hAnsi="Times New Roman"/>
          <w:sz w:val="22"/>
        </w:rPr>
        <w:t>6.8A The Commitment Gap Read Through Group Dynamics: The First Interpretive Consultation (Dr Yuan)</w:t>
        <w:tab/>
        <w:t>115</w:t>
      </w:r>
    </w:p>
    <w:p>
      <w:pPr>
        <w:pStyle w:val="TOC2"/>
        <w:keepNext w:val="0"/>
        <w:keepLines/>
        <w:tabs>
          <w:tab w:pos="8496" w:val="right" w:leader="dot"/>
        </w:tabs>
        <w:spacing w:before="0" w:after="80" w:line="276" w:lineRule="auto"/>
        <w:ind w:right="374"/>
      </w:pPr>
      <w:r>
        <w:rPr>
          <w:rFonts w:ascii="Times New Roman" w:hAnsi="Times New Roman"/>
          <w:sz w:val="22"/>
        </w:rPr>
        <w:t>6.9 Limitations of Stage 3</w:t>
        <w:tab/>
        <w:t>116</w:t>
      </w:r>
    </w:p>
    <w:p>
      <w:pPr>
        <w:pStyle w:val="TOC2"/>
        <w:keepNext w:val="0"/>
        <w:keepLines/>
        <w:tabs>
          <w:tab w:pos="8496" w:val="right" w:leader="dot"/>
        </w:tabs>
        <w:spacing w:before="0" w:after="80" w:line="276" w:lineRule="auto"/>
        <w:ind w:right="374"/>
      </w:pPr>
      <w:r>
        <w:rPr>
          <w:rFonts w:ascii="Times New Roman" w:hAnsi="Times New Roman"/>
          <w:sz w:val="22"/>
        </w:rPr>
        <w:t>6.10 Quantitative Comparison Against Existing Models</w:t>
        <w:tab/>
        <w:t>117</w:t>
      </w:r>
    </w:p>
    <w:p>
      <w:pPr>
        <w:pStyle w:val="TOC3"/>
        <w:keepNext w:val="0"/>
        <w:keepLines/>
        <w:tabs>
          <w:tab w:pos="8496" w:val="right" w:leader="dot"/>
        </w:tabs>
        <w:spacing w:before="0" w:after="80" w:line="276" w:lineRule="auto"/>
        <w:ind w:right="374"/>
      </w:pPr>
      <w:r>
        <w:rPr>
          <w:rFonts w:ascii="Times New Roman" w:hAnsi="Times New Roman"/>
          <w:sz w:val="22"/>
        </w:rPr>
        <w:t>6.10.1 Three-Tier Nested Model Specification</w:t>
        <w:tab/>
        <w:t>117</w:t>
      </w:r>
    </w:p>
    <w:p>
      <w:pPr>
        <w:pStyle w:val="TOC3"/>
        <w:keepNext w:val="0"/>
        <w:keepLines/>
        <w:tabs>
          <w:tab w:pos="8496" w:val="right" w:leader="dot"/>
        </w:tabs>
        <w:spacing w:before="0" w:after="80" w:line="276" w:lineRule="auto"/>
        <w:ind w:right="374"/>
      </w:pPr>
      <w:r>
        <w:rPr>
          <w:rFonts w:ascii="Times New Roman" w:hAnsi="Times New Roman"/>
          <w:sz w:val="22"/>
        </w:rPr>
        <w:t>6.10.2 Statistical Comparison Plan</w:t>
        <w:tab/>
        <w:t>118</w:t>
      </w:r>
    </w:p>
    <w:p>
      <w:pPr>
        <w:pStyle w:val="TOC3"/>
        <w:keepNext w:val="0"/>
        <w:keepLines/>
        <w:tabs>
          <w:tab w:pos="8496" w:val="right" w:leader="dot"/>
        </w:tabs>
        <w:spacing w:before="0" w:after="80" w:line="276" w:lineRule="auto"/>
        <w:ind w:right="374"/>
      </w:pPr>
      <w:r>
        <w:rPr>
          <w:rFonts w:ascii="Times New Roman" w:hAnsi="Times New Roman"/>
          <w:sz w:val="22"/>
        </w:rPr>
        <w:t>6.10.3 Decision-Curve Analysis and Practical Significance</w:t>
        <w:tab/>
        <w:t>119</w:t>
      </w:r>
    </w:p>
    <w:p>
      <w:pPr>
        <w:pStyle w:val="TOC3"/>
        <w:keepNext w:val="0"/>
        <w:keepLines/>
        <w:tabs>
          <w:tab w:pos="8496" w:val="right" w:leader="dot"/>
        </w:tabs>
        <w:spacing w:before="0" w:after="80" w:line="276" w:lineRule="auto"/>
        <w:ind w:right="374"/>
      </w:pPr>
      <w:r>
        <w:rPr>
          <w:rFonts w:ascii="Times New Roman" w:hAnsi="Times New Roman"/>
          <w:sz w:val="22"/>
        </w:rPr>
        <w:t>6.10.4 Pre-Specified Predictions</w:t>
        <w:tab/>
        <w:t>119</w:t>
      </w:r>
    </w:p>
    <w:p>
      <w:pPr>
        <w:pStyle w:val="TOC3"/>
        <w:keepNext w:val="0"/>
        <w:keepLines/>
        <w:tabs>
          <w:tab w:pos="8496" w:val="right" w:leader="dot"/>
        </w:tabs>
        <w:spacing w:before="0" w:after="80" w:line="276" w:lineRule="auto"/>
        <w:ind w:right="374"/>
      </w:pPr>
      <w:r>
        <w:rPr>
          <w:rFonts w:ascii="Times New Roman" w:hAnsi="Times New Roman"/>
          <w:sz w:val="22"/>
        </w:rPr>
        <w:t>6.10.5 Provisional Estimates from the Existing Datasets</w:t>
        <w:tab/>
        <w:t>120</w:t>
      </w:r>
    </w:p>
    <w:p>
      <w:pPr>
        <w:pStyle w:val="TOC2"/>
        <w:keepNext w:val="0"/>
        <w:keepLines/>
        <w:tabs>
          <w:tab w:pos="8496" w:val="right" w:leader="dot"/>
        </w:tabs>
        <w:spacing w:before="0" w:after="80" w:line="276" w:lineRule="auto"/>
        <w:ind w:right="374"/>
      </w:pPr>
      <w:r>
        <w:rPr>
          <w:rFonts w:ascii="Times New Roman" w:hAnsi="Times New Roman"/>
          <w:sz w:val="22"/>
        </w:rPr>
        <w:t>6.11 Consolidated Statistical Results</w:t>
        <w:tab/>
        <w:t>120</w:t>
      </w:r>
    </w:p>
    <w:p>
      <w:pPr>
        <w:pStyle w:val="TOC2"/>
        <w:keepNext w:val="0"/>
        <w:keepLines/>
        <w:tabs>
          <w:tab w:pos="8496" w:val="right" w:leader="dot"/>
        </w:tabs>
        <w:spacing w:before="0" w:after="80" w:line="276" w:lineRule="auto"/>
        <w:ind w:right="374"/>
      </w:pPr>
      <w:r>
        <w:rPr>
          <w:rFonts w:ascii="Times New Roman" w:hAnsi="Times New Roman"/>
          <w:sz w:val="22"/>
        </w:rPr>
        <w:t>6.12 The Expert Consultation Panel (March–September 2026)</w:t>
        <w:tab/>
        <w:t>122</w:t>
      </w:r>
    </w:p>
    <w:p>
      <w:pPr>
        <w:pStyle w:val="TOC1"/>
        <w:keepNext w:val="0"/>
        <w:keepLines/>
        <w:tabs>
          <w:tab w:pos="8496" w:val="right" w:leader="dot"/>
        </w:tabs>
        <w:spacing w:before="0" w:after="80" w:line="276" w:lineRule="auto"/>
        <w:ind w:right="374"/>
      </w:pPr>
      <w:r>
        <w:rPr>
          <w:rFonts w:ascii="Times New Roman" w:hAnsi="Times New Roman"/>
          <w:sz w:val="22"/>
        </w:rPr>
        <w:t>Chapter 7 Discussion of Gamification and Adaptive Improvement</w:t>
        <w:tab/>
        <w:t>125</w:t>
      </w:r>
    </w:p>
    <w:p>
      <w:pPr>
        <w:pStyle w:val="TOC2"/>
        <w:keepNext w:val="0"/>
        <w:keepLines/>
        <w:tabs>
          <w:tab w:pos="8496" w:val="right" w:leader="dot"/>
        </w:tabs>
        <w:spacing w:before="0" w:after="80" w:line="276" w:lineRule="auto"/>
        <w:ind w:right="374"/>
      </w:pPr>
      <w:r>
        <w:rPr>
          <w:rFonts w:ascii="Times New Roman" w:hAnsi="Times New Roman"/>
          <w:sz w:val="22"/>
        </w:rPr>
        <w:t>7.1 From Engagement Difficulty to a Testable Adaptive Response</w:t>
        <w:tab/>
        <w:t>125</w:t>
      </w:r>
    </w:p>
    <w:p>
      <w:pPr>
        <w:pStyle w:val="TOC2"/>
        <w:keepNext w:val="0"/>
        <w:keepLines/>
        <w:tabs>
          <w:tab w:pos="8496" w:val="right" w:leader="dot"/>
        </w:tabs>
        <w:spacing w:before="0" w:after="80" w:line="276" w:lineRule="auto"/>
        <w:ind w:right="374"/>
      </w:pPr>
      <w:r>
        <w:rPr>
          <w:rFonts w:ascii="Times New Roman" w:hAnsi="Times New Roman"/>
          <w:sz w:val="22"/>
        </w:rPr>
        <w:t>7.2 Adaptive Learning in the Gamification Literature</w:t>
        <w:tab/>
        <w:t>125</w:t>
      </w:r>
    </w:p>
    <w:p>
      <w:pPr>
        <w:pStyle w:val="TOC2"/>
        <w:keepNext w:val="0"/>
        <w:keepLines/>
        <w:tabs>
          <w:tab w:pos="8496" w:val="right" w:leader="dot"/>
        </w:tabs>
        <w:spacing w:before="0" w:after="80" w:line="276" w:lineRule="auto"/>
        <w:ind w:right="374"/>
      </w:pPr>
      <w:r>
        <w:rPr>
          <w:rFonts w:ascii="Times New Roman" w:hAnsi="Times New Roman"/>
          <w:sz w:val="22"/>
        </w:rPr>
        <w:t>7.3 Endowment-Protective and Learning-Trajectory Appraisals as Competing Design Regimes</w:t>
        <w:tab/>
        <w:t>126</w:t>
      </w:r>
    </w:p>
    <w:p>
      <w:pPr>
        <w:pStyle w:val="TOC2"/>
        <w:keepNext w:val="0"/>
        <w:keepLines/>
        <w:tabs>
          <w:tab w:pos="8496" w:val="right" w:leader="dot"/>
        </w:tabs>
        <w:spacing w:before="0" w:after="80" w:line="276" w:lineRule="auto"/>
        <w:ind w:right="374"/>
      </w:pPr>
      <w:r>
        <w:rPr>
          <w:rFonts w:ascii="Times New Roman" w:hAnsi="Times New Roman"/>
          <w:sz w:val="22"/>
        </w:rPr>
        <w:t>7.4 Formalising the Proposed Adaptive Learning Framework</w:t>
        <w:tab/>
        <w:t>126</w:t>
      </w:r>
    </w:p>
    <w:p>
      <w:pPr>
        <w:pStyle w:val="TOC2"/>
        <w:keepNext w:val="0"/>
        <w:keepLines/>
        <w:tabs>
          <w:tab w:pos="8496" w:val="right" w:leader="dot"/>
        </w:tabs>
        <w:spacing w:before="0" w:after="80" w:line="276" w:lineRule="auto"/>
        <w:ind w:right="374"/>
      </w:pPr>
      <w:r>
        <w:rPr>
          <w:rFonts w:ascii="Times New Roman" w:hAnsi="Times New Roman"/>
          <w:sz w:val="22"/>
        </w:rPr>
        <w:t>7.5 Proposed Reference Architecture and Progress Representation</w:t>
        <w:tab/>
        <w:t>129</w:t>
      </w:r>
    </w:p>
    <w:p>
      <w:pPr>
        <w:pStyle w:val="TOC3"/>
        <w:keepNext w:val="0"/>
        <w:keepLines/>
        <w:tabs>
          <w:tab w:pos="8496" w:val="right" w:leader="dot"/>
        </w:tabs>
        <w:spacing w:before="0" w:after="80" w:line="276" w:lineRule="auto"/>
        <w:ind w:right="374"/>
      </w:pPr>
      <w:r>
        <w:rPr>
          <w:rFonts w:ascii="Times New Roman" w:hAnsi="Times New Roman"/>
          <w:sz w:val="22"/>
        </w:rPr>
        <w:t>7.5.1 Reference Stack</w:t>
        <w:tab/>
        <w:t>130</w:t>
      </w:r>
    </w:p>
    <w:p>
      <w:pPr>
        <w:pStyle w:val="TOC3"/>
        <w:keepNext w:val="0"/>
        <w:keepLines/>
        <w:tabs>
          <w:tab w:pos="8496" w:val="right" w:leader="dot"/>
        </w:tabs>
        <w:spacing w:before="0" w:after="80" w:line="276" w:lineRule="auto"/>
        <w:ind w:right="374"/>
      </w:pPr>
      <w:r>
        <w:rPr>
          <w:rFonts w:ascii="Times New Roman" w:hAnsi="Times New Roman"/>
          <w:sz w:val="22"/>
        </w:rPr>
        <w:t>7.5.2 Credible Progress Under Changing Task Conditions</w:t>
        <w:tab/>
        <w:t>131</w:t>
      </w:r>
    </w:p>
    <w:p>
      <w:pPr>
        <w:pStyle w:val="TOC3"/>
        <w:keepNext w:val="0"/>
        <w:keepLines/>
        <w:tabs>
          <w:tab w:pos="8496" w:val="right" w:leader="dot"/>
        </w:tabs>
        <w:spacing w:before="0" w:after="80" w:line="276" w:lineRule="auto"/>
        <w:ind w:right="374"/>
      </w:pPr>
      <w:r>
        <w:rPr>
          <w:rFonts w:ascii="Times New Roman" w:hAnsi="Times New Roman"/>
          <w:sz w:val="22"/>
        </w:rPr>
        <w:t>7.5.3 Coaching Protocol Specification</w:t>
        <w:tab/>
        <w:t>133</w:t>
      </w:r>
    </w:p>
    <w:p>
      <w:pPr>
        <w:pStyle w:val="TOC2"/>
        <w:keepNext w:val="0"/>
        <w:keepLines/>
        <w:tabs>
          <w:tab w:pos="8496" w:val="right" w:leader="dot"/>
        </w:tabs>
        <w:spacing w:before="0" w:after="80" w:line="276" w:lineRule="auto"/>
        <w:ind w:right="374"/>
      </w:pPr>
      <w:r>
        <w:rPr>
          <w:rFonts w:ascii="Times New Roman" w:hAnsi="Times New Roman"/>
          <w:sz w:val="22"/>
        </w:rPr>
        <w:t>7.5A Relationships Among the Phenomenon, Principles and Engine</w:t>
        <w:tab/>
        <w:t>134</w:t>
      </w:r>
    </w:p>
    <w:p>
      <w:pPr>
        <w:pStyle w:val="TOC2"/>
        <w:keepNext w:val="0"/>
        <w:keepLines/>
        <w:tabs>
          <w:tab w:pos="8496" w:val="right" w:leader="dot"/>
        </w:tabs>
        <w:spacing w:before="0" w:after="80" w:line="276" w:lineRule="auto"/>
        <w:ind w:right="374"/>
      </w:pPr>
      <w:r>
        <w:rPr>
          <w:rFonts w:ascii="Times New Roman" w:hAnsi="Times New Roman"/>
          <w:sz w:val="22"/>
        </w:rPr>
        <w:t>7.6 Applied Case Studies</w:t>
        <w:tab/>
        <w:t>134</w:t>
      </w:r>
    </w:p>
    <w:p>
      <w:pPr>
        <w:pStyle w:val="TOC3"/>
        <w:keepNext w:val="0"/>
        <w:keepLines/>
        <w:tabs>
          <w:tab w:pos="8496" w:val="right" w:leader="dot"/>
        </w:tabs>
        <w:spacing w:before="0" w:after="80" w:line="276" w:lineRule="auto"/>
        <w:ind w:right="374"/>
      </w:pPr>
      <w:r>
        <w:rPr>
          <w:rFonts w:ascii="Times New Roman" w:hAnsi="Times New Roman"/>
          <w:sz w:val="22"/>
        </w:rPr>
        <w:t>7.6.1 Case Study A — FRA Reaction Mode (proposed)</w:t>
        <w:tab/>
        <w:t>134</w:t>
      </w:r>
    </w:p>
    <w:p>
      <w:pPr>
        <w:pStyle w:val="TOC3"/>
        <w:keepNext w:val="0"/>
        <w:keepLines/>
        <w:tabs>
          <w:tab w:pos="8496" w:val="right" w:leader="dot"/>
        </w:tabs>
        <w:spacing w:before="0" w:after="80" w:line="276" w:lineRule="auto"/>
        <w:ind w:right="374"/>
      </w:pPr>
      <w:r>
        <w:rPr>
          <w:rFonts w:ascii="Times New Roman" w:hAnsi="Times New Roman"/>
          <w:sz w:val="22"/>
        </w:rPr>
        <w:t>7.6.2 Case Study B — Continuous Glucose Monitoring (CGM) reframed as a Streak Companion (illustrative)</w:t>
        <w:tab/>
        <w:t>135</w:t>
      </w:r>
    </w:p>
    <w:p>
      <w:pPr>
        <w:pStyle w:val="TOC3"/>
        <w:keepNext w:val="0"/>
        <w:keepLines/>
        <w:tabs>
          <w:tab w:pos="8496" w:val="right" w:leader="dot"/>
        </w:tabs>
        <w:spacing w:before="0" w:after="80" w:line="276" w:lineRule="auto"/>
        <w:ind w:right="374"/>
      </w:pPr>
      <w:r>
        <w:rPr>
          <w:rFonts w:ascii="Times New Roman" w:hAnsi="Times New Roman"/>
          <w:sz w:val="22"/>
        </w:rPr>
        <w:t>7.6.3 Case Study C — Sleep Tracker reframed as an Adventure Log (illustrative)</w:t>
        <w:tab/>
        <w:t>135</w:t>
      </w:r>
    </w:p>
    <w:p>
      <w:pPr>
        <w:pStyle w:val="TOC3"/>
        <w:keepNext w:val="0"/>
        <w:keepLines/>
        <w:tabs>
          <w:tab w:pos="8496" w:val="right" w:leader="dot"/>
        </w:tabs>
        <w:spacing w:before="0" w:after="80" w:line="276" w:lineRule="auto"/>
        <w:ind w:right="374"/>
      </w:pPr>
      <w:r>
        <w:rPr>
          <w:rFonts w:ascii="Times New Roman" w:hAnsi="Times New Roman"/>
          <w:sz w:val="22"/>
        </w:rPr>
        <w:t>7.6.4 Cross-Case Synthesis</w:t>
        <w:tab/>
        <w:t>135</w:t>
      </w:r>
    </w:p>
    <w:p>
      <w:pPr>
        <w:pStyle w:val="TOC2"/>
        <w:keepNext w:val="0"/>
        <w:keepLines/>
        <w:tabs>
          <w:tab w:pos="8496" w:val="right" w:leader="dot"/>
        </w:tabs>
        <w:spacing w:before="0" w:after="80" w:line="276" w:lineRule="auto"/>
        <w:ind w:right="374"/>
      </w:pPr>
      <w:r>
        <w:rPr>
          <w:rFonts w:ascii="Times New Roman" w:hAnsi="Times New Roman"/>
          <w:sz w:val="22"/>
        </w:rPr>
        <w:t>7.6A Dynamic Game States as Responses to Difficulty</w:t>
        <w:tab/>
        <w:t>135</w:t>
      </w:r>
    </w:p>
    <w:p>
      <w:pPr>
        <w:pStyle w:val="TOC2"/>
        <w:keepNext w:val="0"/>
        <w:keepLines/>
        <w:tabs>
          <w:tab w:pos="8496" w:val="right" w:leader="dot"/>
        </w:tabs>
        <w:spacing w:before="0" w:after="80" w:line="276" w:lineRule="auto"/>
        <w:ind w:right="374"/>
      </w:pPr>
      <w:r>
        <w:rPr>
          <w:rFonts w:ascii="Times New Roman" w:hAnsi="Times New Roman"/>
          <w:sz w:val="22"/>
        </w:rPr>
        <w:t>7.7 Boundary Conditions and Risks</w:t>
        <w:tab/>
        <w:t>136</w:t>
      </w:r>
    </w:p>
    <w:p>
      <w:pPr>
        <w:pStyle w:val="TOC2"/>
        <w:keepNext w:val="0"/>
        <w:keepLines/>
        <w:tabs>
          <w:tab w:pos="8496" w:val="right" w:leader="dot"/>
        </w:tabs>
        <w:spacing w:before="0" w:after="80" w:line="276" w:lineRule="auto"/>
        <w:ind w:right="374"/>
      </w:pPr>
      <w:r>
        <w:rPr>
          <w:rFonts w:ascii="Times New Roman" w:hAnsi="Times New Roman"/>
          <w:sz w:val="22"/>
        </w:rPr>
        <w:t>7.8 Sequencing of the Three Principles</w:t>
        <w:tab/>
        <w:t>137</w:t>
      </w:r>
    </w:p>
    <w:p>
      <w:pPr>
        <w:pStyle w:val="TOC2"/>
        <w:keepNext w:val="0"/>
        <w:keepLines/>
        <w:tabs>
          <w:tab w:pos="8496" w:val="right" w:leader="dot"/>
        </w:tabs>
        <w:spacing w:before="0" w:after="80" w:line="276" w:lineRule="auto"/>
        <w:ind w:right="374"/>
      </w:pPr>
      <w:r>
        <w:rPr>
          <w:rFonts w:ascii="Times New Roman" w:hAnsi="Times New Roman"/>
          <w:sz w:val="22"/>
        </w:rPr>
        <w:t>7.9 Gamification, Continuous Improvement and Innovation Enhancement</w:t>
        <w:tab/>
        <w:t>137</w:t>
      </w:r>
    </w:p>
    <w:p>
      <w:pPr>
        <w:pStyle w:val="TOC1"/>
        <w:keepNext w:val="0"/>
        <w:keepLines/>
        <w:tabs>
          <w:tab w:pos="8496" w:val="right" w:leader="dot"/>
        </w:tabs>
        <w:spacing w:before="0" w:after="80" w:line="276" w:lineRule="auto"/>
        <w:ind w:right="374"/>
      </w:pPr>
      <w:r>
        <w:rPr>
          <w:rFonts w:ascii="Times New Roman" w:hAnsi="Times New Roman"/>
          <w:sz w:val="22"/>
        </w:rPr>
        <w:t>Chapter 8 Contributions, Alternative Explanations, Limitations and Ethics</w:t>
        <w:tab/>
        <w:t>145</w:t>
      </w:r>
    </w:p>
    <w:p>
      <w:pPr>
        <w:pStyle w:val="TOC2"/>
        <w:keepNext w:val="0"/>
        <w:keepLines/>
        <w:tabs>
          <w:tab w:pos="8496" w:val="right" w:leader="dot"/>
        </w:tabs>
        <w:spacing w:before="0" w:after="80" w:line="276" w:lineRule="auto"/>
        <w:ind w:right="374"/>
      </w:pPr>
      <w:r>
        <w:rPr>
          <w:rFonts w:ascii="Times New Roman" w:hAnsi="Times New Roman"/>
          <w:sz w:val="22"/>
        </w:rPr>
        <w:t>8.1 Theoretical Contributions</w:t>
        <w:tab/>
        <w:t>146</w:t>
      </w:r>
    </w:p>
    <w:p>
      <w:pPr>
        <w:pStyle w:val="TOC2"/>
        <w:keepNext w:val="0"/>
        <w:keepLines/>
        <w:tabs>
          <w:tab w:pos="8496" w:val="right" w:leader="dot"/>
        </w:tabs>
        <w:spacing w:before="0" w:after="80" w:line="276" w:lineRule="auto"/>
        <w:ind w:right="374"/>
      </w:pPr>
      <w:r>
        <w:rPr>
          <w:rFonts w:ascii="Times New Roman" w:hAnsi="Times New Roman"/>
          <w:sz w:val="22"/>
        </w:rPr>
        <w:t>8.2 Methodological Contributions</w:t>
        <w:tab/>
        <w:t>146</w:t>
      </w:r>
    </w:p>
    <w:p>
      <w:pPr>
        <w:pStyle w:val="TOC2"/>
        <w:keepNext w:val="0"/>
        <w:keepLines/>
        <w:tabs>
          <w:tab w:pos="8496" w:val="right" w:leader="dot"/>
        </w:tabs>
        <w:spacing w:before="0" w:after="80" w:line="276" w:lineRule="auto"/>
        <w:ind w:right="374"/>
      </w:pPr>
      <w:r>
        <w:rPr>
          <w:rFonts w:ascii="Times New Roman" w:hAnsi="Times New Roman"/>
          <w:sz w:val="22"/>
        </w:rPr>
        <w:t>8.3 Empirical Contributions</w:t>
        <w:tab/>
        <w:t>147</w:t>
      </w:r>
    </w:p>
    <w:p>
      <w:pPr>
        <w:pStyle w:val="TOC2"/>
        <w:keepNext w:val="0"/>
        <w:keepLines/>
        <w:tabs>
          <w:tab w:pos="8496" w:val="right" w:leader="dot"/>
        </w:tabs>
        <w:spacing w:before="0" w:after="80" w:line="276" w:lineRule="auto"/>
        <w:ind w:right="374"/>
      </w:pPr>
      <w:r>
        <w:rPr>
          <w:rFonts w:ascii="Times New Roman" w:hAnsi="Times New Roman"/>
          <w:sz w:val="22"/>
        </w:rPr>
        <w:t>8.4 Industrial and Practical Contributions</w:t>
        <w:tab/>
        <w:t>147</w:t>
      </w:r>
    </w:p>
    <w:p>
      <w:pPr>
        <w:pStyle w:val="TOC2"/>
        <w:keepNext w:val="0"/>
        <w:keepLines/>
        <w:tabs>
          <w:tab w:pos="8496" w:val="right" w:leader="dot"/>
        </w:tabs>
        <w:spacing w:before="0" w:after="80" w:line="276" w:lineRule="auto"/>
        <w:ind w:right="374"/>
      </w:pPr>
      <w:r>
        <w:rPr>
          <w:rFonts w:ascii="Times New Roman" w:hAnsi="Times New Roman"/>
          <w:sz w:val="22"/>
        </w:rPr>
        <w:t>8.4A A Forward-Looking Contribution: Sensing and Person-Conditioned Adaptation</w:t>
        <w:tab/>
        <w:t>148</w:t>
      </w:r>
    </w:p>
    <w:p>
      <w:pPr>
        <w:pStyle w:val="TOC2"/>
        <w:keepNext w:val="0"/>
        <w:keepLines/>
        <w:tabs>
          <w:tab w:pos="8496" w:val="right" w:leader="dot"/>
        </w:tabs>
        <w:spacing w:before="0" w:after="80" w:line="276" w:lineRule="auto"/>
        <w:ind w:right="374"/>
      </w:pPr>
      <w:r>
        <w:rPr>
          <w:rFonts w:ascii="Times New Roman" w:hAnsi="Times New Roman"/>
          <w:sz w:val="22"/>
        </w:rPr>
        <w:t>8.5 Alternative Explanations</w:t>
        <w:tab/>
        <w:t>148</w:t>
      </w:r>
    </w:p>
    <w:p>
      <w:pPr>
        <w:pStyle w:val="TOC3"/>
        <w:keepNext w:val="0"/>
        <w:keepLines/>
        <w:tabs>
          <w:tab w:pos="8496" w:val="right" w:leader="dot"/>
        </w:tabs>
        <w:spacing w:before="0" w:after="80" w:line="276" w:lineRule="auto"/>
        <w:ind w:right="374"/>
      </w:pPr>
      <w:r>
        <w:rPr>
          <w:rFonts w:ascii="Times New Roman" w:hAnsi="Times New Roman"/>
          <w:sz w:val="22"/>
        </w:rPr>
        <w:t>8.5.1 Cohort Self-Selection</w:t>
        <w:tab/>
        <w:t>148</w:t>
      </w:r>
    </w:p>
    <w:p>
      <w:pPr>
        <w:pStyle w:val="TOC3"/>
        <w:keepNext w:val="0"/>
        <w:keepLines/>
        <w:tabs>
          <w:tab w:pos="8496" w:val="right" w:leader="dot"/>
        </w:tabs>
        <w:spacing w:before="0" w:after="80" w:line="276" w:lineRule="auto"/>
        <w:ind w:right="374"/>
      </w:pPr>
      <w:r>
        <w:rPr>
          <w:rFonts w:ascii="Times New Roman" w:hAnsi="Times New Roman"/>
          <w:sz w:val="22"/>
        </w:rPr>
        <w:t>8.5.2 Novelty Effect</w:t>
        <w:tab/>
        <w:t>149</w:t>
      </w:r>
    </w:p>
    <w:p>
      <w:pPr>
        <w:pStyle w:val="TOC3"/>
        <w:keepNext w:val="0"/>
        <w:keepLines/>
        <w:tabs>
          <w:tab w:pos="8496" w:val="right" w:leader="dot"/>
        </w:tabs>
        <w:spacing w:before="0" w:after="80" w:line="276" w:lineRule="auto"/>
        <w:ind w:right="374"/>
      </w:pPr>
      <w:r>
        <w:rPr>
          <w:rFonts w:ascii="Times New Roman" w:hAnsi="Times New Roman"/>
          <w:sz w:val="22"/>
        </w:rPr>
        <w:t>8.5.3 Demand Characteristics and Hawthorne Effect</w:t>
        <w:tab/>
        <w:t>149</w:t>
      </w:r>
    </w:p>
    <w:p>
      <w:pPr>
        <w:pStyle w:val="TOC3"/>
        <w:keepNext w:val="0"/>
        <w:keepLines/>
        <w:tabs>
          <w:tab w:pos="8496" w:val="right" w:leader="dot"/>
        </w:tabs>
        <w:spacing w:before="0" w:after="80" w:line="276" w:lineRule="auto"/>
        <w:ind w:right="374"/>
      </w:pPr>
      <w:r>
        <w:rPr>
          <w:rFonts w:ascii="Times New Roman" w:hAnsi="Times New Roman"/>
          <w:sz w:val="22"/>
        </w:rPr>
        <w:t>8.5.4 Regression to the Mean</w:t>
        <w:tab/>
        <w:t>149</w:t>
      </w:r>
    </w:p>
    <w:p>
      <w:pPr>
        <w:pStyle w:val="TOC3"/>
        <w:keepNext w:val="0"/>
        <w:keepLines/>
        <w:tabs>
          <w:tab w:pos="8496" w:val="right" w:leader="dot"/>
        </w:tabs>
        <w:spacing w:before="0" w:after="80" w:line="276" w:lineRule="auto"/>
        <w:ind w:right="374"/>
      </w:pPr>
      <w:r>
        <w:rPr>
          <w:rFonts w:ascii="Times New Roman" w:hAnsi="Times New Roman"/>
          <w:sz w:val="22"/>
        </w:rPr>
        <w:t>8.5.5 Physical Fatigue and Motor-Learning Limits</w:t>
        <w:tab/>
        <w:t>149</w:t>
      </w:r>
    </w:p>
    <w:p>
      <w:pPr>
        <w:pStyle w:val="TOC3"/>
        <w:keepNext w:val="0"/>
        <w:keepLines/>
        <w:tabs>
          <w:tab w:pos="8496" w:val="right" w:leader="dot"/>
        </w:tabs>
        <w:spacing w:before="0" w:after="80" w:line="276" w:lineRule="auto"/>
        <w:ind w:right="374"/>
      </w:pPr>
      <w:r>
        <w:rPr>
          <w:rFonts w:ascii="Times New Roman" w:hAnsi="Times New Roman"/>
          <w:sz w:val="22"/>
        </w:rPr>
        <w:t>8.5.6 Language and Literacy Confounds</w:t>
        <w:tab/>
        <w:t>150</w:t>
      </w:r>
    </w:p>
    <w:p>
      <w:pPr>
        <w:pStyle w:val="TOC3"/>
        <w:keepNext w:val="0"/>
        <w:keepLines/>
        <w:tabs>
          <w:tab w:pos="8496" w:val="right" w:leader="dot"/>
        </w:tabs>
        <w:spacing w:before="0" w:after="80" w:line="276" w:lineRule="auto"/>
        <w:ind w:right="374"/>
      </w:pPr>
      <w:r>
        <w:rPr>
          <w:rFonts w:ascii="Times New Roman" w:hAnsi="Times New Roman"/>
          <w:sz w:val="22"/>
        </w:rPr>
        <w:t>8.5.7 Mechanism-Aspecific Just-Better-Design Alternative</w:t>
        <w:tab/>
        <w:t>150</w:t>
      </w:r>
    </w:p>
    <w:p>
      <w:pPr>
        <w:pStyle w:val="TOC3"/>
        <w:keepNext w:val="0"/>
        <w:keepLines/>
        <w:tabs>
          <w:tab w:pos="8496" w:val="right" w:leader="dot"/>
        </w:tabs>
        <w:spacing w:before="0" w:after="80" w:line="276" w:lineRule="auto"/>
        <w:ind w:right="374"/>
      </w:pPr>
      <w:r>
        <w:rPr>
          <w:rFonts w:ascii="Times New Roman" w:hAnsi="Times New Roman"/>
          <w:sz w:val="22"/>
        </w:rPr>
        <w:t>8.5.8 Input Modality and Embodied Exposure</w:t>
        <w:tab/>
        <w:t>150</w:t>
      </w:r>
    </w:p>
    <w:p>
      <w:pPr>
        <w:pStyle w:val="TOC3"/>
        <w:keepNext w:val="0"/>
        <w:keepLines/>
        <w:tabs>
          <w:tab w:pos="8496" w:val="right" w:leader="dot"/>
        </w:tabs>
        <w:spacing w:before="0" w:after="80" w:line="276" w:lineRule="auto"/>
        <w:ind w:right="374"/>
      </w:pPr>
      <w:r>
        <w:rPr>
          <w:rFonts w:ascii="Times New Roman" w:hAnsi="Times New Roman"/>
          <w:sz w:val="22"/>
        </w:rPr>
        <w:t>8.5.9 Ordinary Discontinuance and Non-Usage Attrition</w:t>
        <w:tab/>
        <w:t>151</w:t>
      </w:r>
    </w:p>
    <w:p>
      <w:pPr>
        <w:pStyle w:val="TOC3"/>
        <w:keepNext w:val="0"/>
        <w:keepLines/>
        <w:tabs>
          <w:tab w:pos="8496" w:val="right" w:leader="dot"/>
        </w:tabs>
        <w:spacing w:before="0" w:after="80" w:line="276" w:lineRule="auto"/>
        <w:ind w:right="374"/>
      </w:pPr>
      <w:r>
        <w:rPr>
          <w:rFonts w:ascii="Times New Roman" w:hAnsi="Times New Roman"/>
          <w:sz w:val="22"/>
        </w:rPr>
        <w:t>8.5.10 Rational Consequence-Avoidance</w:t>
        <w:tab/>
        <w:t>152</w:t>
      </w:r>
    </w:p>
    <w:p>
      <w:pPr>
        <w:pStyle w:val="TOC2"/>
        <w:keepNext w:val="0"/>
        <w:keepLines/>
        <w:tabs>
          <w:tab w:pos="8496" w:val="right" w:leader="dot"/>
        </w:tabs>
        <w:spacing w:before="0" w:after="80" w:line="276" w:lineRule="auto"/>
        <w:ind w:right="374"/>
      </w:pPr>
      <w:r>
        <w:rPr>
          <w:rFonts w:ascii="Times New Roman" w:hAnsi="Times New Roman"/>
          <w:sz w:val="22"/>
        </w:rPr>
        <w:t>8.6 Limitations</w:t>
        <w:tab/>
        <w:t>152</w:t>
      </w:r>
    </w:p>
    <w:p>
      <w:pPr>
        <w:pStyle w:val="TOC2"/>
        <w:keepNext w:val="0"/>
        <w:keepLines/>
        <w:tabs>
          <w:tab w:pos="8496" w:val="right" w:leader="dot"/>
        </w:tabs>
        <w:spacing w:before="0" w:after="80" w:line="276" w:lineRule="auto"/>
        <w:ind w:right="374"/>
      </w:pPr>
      <w:r>
        <w:rPr>
          <w:rFonts w:ascii="Times New Roman" w:hAnsi="Times New Roman"/>
          <w:sz w:val="22"/>
        </w:rPr>
        <w:t>8.6A A Further Limitation: The Deployed Sensing and Adaptation Configuration</w:t>
        <w:tab/>
        <w:t>153</w:t>
      </w:r>
    </w:p>
    <w:p>
      <w:pPr>
        <w:pStyle w:val="TOC2"/>
        <w:keepNext w:val="0"/>
        <w:keepLines/>
        <w:tabs>
          <w:tab w:pos="8496" w:val="right" w:leader="dot"/>
        </w:tabs>
        <w:spacing w:before="0" w:after="80" w:line="276" w:lineRule="auto"/>
        <w:ind w:right="374"/>
      </w:pPr>
      <w:r>
        <w:rPr>
          <w:rFonts w:ascii="Times New Roman" w:hAnsi="Times New Roman"/>
          <w:sz w:val="22"/>
        </w:rPr>
        <w:t>8.6B Extending the Unit of Analysis: Abandonment as a Three-Party Decision</w:t>
        <w:tab/>
        <w:t>154</w:t>
      </w:r>
    </w:p>
    <w:p>
      <w:pPr>
        <w:pStyle w:val="TOC2"/>
        <w:keepNext w:val="0"/>
        <w:keepLines/>
        <w:tabs>
          <w:tab w:pos="8496" w:val="right" w:leader="dot"/>
        </w:tabs>
        <w:spacing w:before="0" w:after="80" w:line="276" w:lineRule="auto"/>
        <w:ind w:right="374"/>
      </w:pPr>
      <w:r>
        <w:rPr>
          <w:rFonts w:ascii="Times New Roman" w:hAnsi="Times New Roman"/>
          <w:sz w:val="22"/>
        </w:rPr>
        <w:t>8.7 Ethical Considerations</w:t>
        <w:tab/>
        <w:t>155</w:t>
      </w:r>
    </w:p>
    <w:p>
      <w:pPr>
        <w:pStyle w:val="TOC3"/>
        <w:keepNext w:val="0"/>
        <w:keepLines/>
        <w:tabs>
          <w:tab w:pos="8496" w:val="right" w:leader="dot"/>
        </w:tabs>
        <w:spacing w:before="0" w:after="80" w:line="276" w:lineRule="auto"/>
        <w:ind w:right="374"/>
      </w:pPr>
      <w:r>
        <w:rPr>
          <w:rFonts w:ascii="Times New Roman" w:hAnsi="Times New Roman"/>
          <w:sz w:val="22"/>
        </w:rPr>
        <w:t>8.7.1 Vulnerability of Frail Older Adults</w:t>
        <w:tab/>
        <w:t>155</w:t>
      </w:r>
    </w:p>
    <w:p>
      <w:pPr>
        <w:pStyle w:val="TOC3"/>
        <w:keepNext w:val="0"/>
        <w:keepLines/>
        <w:tabs>
          <w:tab w:pos="8496" w:val="right" w:leader="dot"/>
        </w:tabs>
        <w:spacing w:before="0" w:after="80" w:line="276" w:lineRule="auto"/>
        <w:ind w:right="374"/>
      </w:pPr>
      <w:r>
        <w:rPr>
          <w:rFonts w:ascii="Times New Roman" w:hAnsi="Times New Roman"/>
          <w:sz w:val="22"/>
        </w:rPr>
        <w:t>8.7.2 Decoupling and the Deception Question</w:t>
        <w:tab/>
        <w:t>156</w:t>
      </w:r>
    </w:p>
    <w:p>
      <w:pPr>
        <w:pStyle w:val="TOC3"/>
        <w:keepNext w:val="0"/>
        <w:keepLines/>
        <w:tabs>
          <w:tab w:pos="8496" w:val="right" w:leader="dot"/>
        </w:tabs>
        <w:spacing w:before="0" w:after="80" w:line="276" w:lineRule="auto"/>
        <w:ind w:right="374"/>
      </w:pPr>
      <w:r>
        <w:rPr>
          <w:rFonts w:ascii="Times New Roman" w:hAnsi="Times New Roman"/>
          <w:sz w:val="22"/>
        </w:rPr>
        <w:t>8.7.3 Autonomy, Dignity and the Right Not to Engage</w:t>
        <w:tab/>
        <w:t>156</w:t>
      </w:r>
    </w:p>
    <w:p>
      <w:pPr>
        <w:pStyle w:val="TOC3"/>
        <w:keepNext w:val="0"/>
        <w:keepLines/>
        <w:tabs>
          <w:tab w:pos="8496" w:val="right" w:leader="dot"/>
        </w:tabs>
        <w:spacing w:before="0" w:after="80" w:line="276" w:lineRule="auto"/>
        <w:ind w:right="374"/>
      </w:pPr>
      <w:r>
        <w:rPr>
          <w:rFonts w:ascii="Times New Roman" w:hAnsi="Times New Roman"/>
          <w:sz w:val="22"/>
        </w:rPr>
        <w:t>8.7.4 Equity, Access and Deployment Risks</w:t>
        <w:tab/>
        <w:t>156</w:t>
      </w:r>
    </w:p>
    <w:p>
      <w:pPr>
        <w:pStyle w:val="TOC3"/>
        <w:keepNext w:val="0"/>
        <w:keepLines/>
        <w:tabs>
          <w:tab w:pos="8496" w:val="right" w:leader="dot"/>
        </w:tabs>
        <w:spacing w:before="0" w:after="80" w:line="276" w:lineRule="auto"/>
        <w:ind w:right="374"/>
      </w:pPr>
      <w:r>
        <w:rPr>
          <w:rFonts w:ascii="Times New Roman" w:hAnsi="Times New Roman"/>
          <w:sz w:val="22"/>
        </w:rPr>
        <w:t>8.7.5 Embedded Researcher Bias</w:t>
        <w:tab/>
        <w:t>157</w:t>
      </w:r>
    </w:p>
    <w:p>
      <w:pPr>
        <w:pStyle w:val="TOC2"/>
        <w:keepNext w:val="0"/>
        <w:keepLines/>
        <w:tabs>
          <w:tab w:pos="8496" w:val="right" w:leader="dot"/>
        </w:tabs>
        <w:spacing w:before="0" w:after="80" w:line="276" w:lineRule="auto"/>
        <w:ind w:right="374"/>
      </w:pPr>
      <w:r>
        <w:rPr>
          <w:rFonts w:ascii="Times New Roman" w:hAnsi="Times New Roman"/>
          <w:sz w:val="22"/>
        </w:rPr>
        <w:t>8.8 Future Research</w:t>
        <w:tab/>
        <w:t>157</w:t>
      </w:r>
    </w:p>
    <w:p>
      <w:pPr>
        <w:pStyle w:val="TOC2"/>
        <w:keepNext w:val="0"/>
        <w:keepLines/>
        <w:tabs>
          <w:tab w:pos="8496" w:val="right" w:leader="dot"/>
        </w:tabs>
        <w:spacing w:before="0" w:after="80" w:line="276" w:lineRule="auto"/>
        <w:ind w:right="374"/>
      </w:pPr>
      <w:r>
        <w:rPr>
          <w:rFonts w:ascii="Times New Roman" w:hAnsi="Times New Roman"/>
          <w:sz w:val="22"/>
        </w:rPr>
        <w:t>8.9 Reproducibility and Data Availability</w:t>
        <w:tab/>
        <w:t>163</w:t>
      </w:r>
    </w:p>
    <w:p>
      <w:pPr>
        <w:pStyle w:val="TOC1"/>
        <w:keepNext w:val="0"/>
        <w:keepLines/>
        <w:tabs>
          <w:tab w:pos="8496" w:val="right" w:leader="dot"/>
        </w:tabs>
        <w:spacing w:before="0" w:after="80" w:line="276" w:lineRule="auto"/>
        <w:ind w:right="374"/>
      </w:pPr>
      <w:r>
        <w:rPr>
          <w:rFonts w:ascii="Times New Roman" w:hAnsi="Times New Roman"/>
          <w:sz w:val="22"/>
        </w:rPr>
        <w:t>Chapter 9 Conclusion</w:t>
        <w:tab/>
        <w:t>166</w:t>
      </w:r>
    </w:p>
    <w:p>
      <w:pPr>
        <w:pStyle w:val="TOC2"/>
        <w:keepNext w:val="0"/>
        <w:keepLines/>
        <w:tabs>
          <w:tab w:pos="8496" w:val="right" w:leader="dot"/>
        </w:tabs>
        <w:spacing w:before="0" w:after="80" w:line="276" w:lineRule="auto"/>
        <w:ind w:right="374"/>
      </w:pPr>
      <w:r>
        <w:rPr>
          <w:rFonts w:ascii="Times New Roman" w:hAnsi="Times New Roman"/>
          <w:sz w:val="22"/>
        </w:rPr>
        <w:t>9.1 What This Programme Set Out to Do</w:t>
        <w:tab/>
        <w:t>166</w:t>
      </w:r>
    </w:p>
    <w:p>
      <w:pPr>
        <w:pStyle w:val="TOC2"/>
        <w:keepNext w:val="0"/>
        <w:keepLines/>
        <w:tabs>
          <w:tab w:pos="8496" w:val="right" w:leader="dot"/>
        </w:tabs>
        <w:spacing w:before="0" w:after="80" w:line="276" w:lineRule="auto"/>
        <w:ind w:right="374"/>
      </w:pPr>
      <w:r>
        <w:rPr>
          <w:rFonts w:ascii="Times New Roman" w:hAnsi="Times New Roman"/>
          <w:sz w:val="22"/>
        </w:rPr>
        <w:t>9.2 The Three-Stage Empirical Arc</w:t>
        <w:tab/>
        <w:t>166</w:t>
      </w:r>
    </w:p>
    <w:p>
      <w:pPr>
        <w:pStyle w:val="TOC2"/>
        <w:keepNext w:val="0"/>
        <w:keepLines/>
        <w:tabs>
          <w:tab w:pos="8496" w:val="right" w:leader="dot"/>
        </w:tabs>
        <w:spacing w:before="0" w:after="80" w:line="276" w:lineRule="auto"/>
        <w:ind w:right="374"/>
      </w:pPr>
      <w:r>
        <w:rPr>
          <w:rFonts w:ascii="Times New Roman" w:hAnsi="Times New Roman"/>
          <w:sz w:val="22"/>
        </w:rPr>
        <w:t>9.2A The Programme Diary: How the Knowledge and Design Questions Evolved</w:t>
        <w:tab/>
        <w:t>168</w:t>
      </w:r>
    </w:p>
    <w:p>
      <w:pPr>
        <w:pStyle w:val="TOC2"/>
        <w:keepNext w:val="0"/>
        <w:keepLines/>
        <w:tabs>
          <w:tab w:pos="8496" w:val="right" w:leader="dot"/>
        </w:tabs>
        <w:spacing w:before="0" w:after="80" w:line="276" w:lineRule="auto"/>
        <w:ind w:right="374"/>
      </w:pPr>
      <w:r>
        <w:rPr>
          <w:rFonts w:ascii="Times New Roman" w:hAnsi="Times New Roman"/>
          <w:sz w:val="22"/>
        </w:rPr>
        <w:t>9.3 The Central Finding: Contrasting Engagement Patterns Across Deployment Contexts</w:t>
        <w:tab/>
        <w:t>174</w:t>
      </w:r>
    </w:p>
    <w:p>
      <w:pPr>
        <w:pStyle w:val="TOC2"/>
        <w:keepNext w:val="0"/>
        <w:keepLines/>
        <w:tabs>
          <w:tab w:pos="8496" w:val="right" w:leader="dot"/>
        </w:tabs>
        <w:spacing w:before="0" w:after="80" w:line="276" w:lineRule="auto"/>
        <w:ind w:right="374"/>
      </w:pPr>
      <w:r>
        <w:rPr>
          <w:rFonts w:ascii="Times New Roman" w:hAnsi="Times New Roman"/>
          <w:sz w:val="22"/>
        </w:rPr>
        <w:t>9.3A From Observations to a Testable Engineering Response</w:t>
        <w:tab/>
        <w:t>175</w:t>
      </w:r>
    </w:p>
    <w:p>
      <w:pPr>
        <w:pStyle w:val="TOC2"/>
        <w:keepNext w:val="0"/>
        <w:keepLines/>
        <w:tabs>
          <w:tab w:pos="8496" w:val="right" w:leader="dot"/>
        </w:tabs>
        <w:spacing w:before="0" w:after="80" w:line="276" w:lineRule="auto"/>
        <w:ind w:right="374"/>
      </w:pPr>
      <w:r>
        <w:rPr>
          <w:rFonts w:ascii="Times New Roman" w:hAnsi="Times New Roman"/>
          <w:sz w:val="22"/>
        </w:rPr>
        <w:t>9.4 Implications for Gamification in Older-Adult Assessment</w:t>
        <w:tab/>
        <w:t>178</w:t>
      </w:r>
    </w:p>
    <w:p>
      <w:pPr>
        <w:pStyle w:val="TOC2"/>
        <w:keepNext w:val="0"/>
        <w:keepLines/>
        <w:tabs>
          <w:tab w:pos="8496" w:val="right" w:leader="dot"/>
        </w:tabs>
        <w:spacing w:before="0" w:after="80" w:line="276" w:lineRule="auto"/>
        <w:ind w:right="374"/>
      </w:pPr>
      <w:r>
        <w:rPr>
          <w:rFonts w:ascii="Times New Roman" w:hAnsi="Times New Roman"/>
          <w:sz w:val="22"/>
        </w:rPr>
        <w:t>9.5 Adaptive Learning and Credible Improvement Under Change</w:t>
        <w:tab/>
        <w:t>178</w:t>
      </w:r>
    </w:p>
    <w:p>
      <w:pPr>
        <w:pStyle w:val="TOC2"/>
        <w:keepNext w:val="0"/>
        <w:keepLines/>
        <w:tabs>
          <w:tab w:pos="8496" w:val="right" w:leader="dot"/>
        </w:tabs>
        <w:spacing w:before="0" w:after="80" w:line="276" w:lineRule="auto"/>
        <w:ind w:right="374"/>
      </w:pPr>
      <w:r>
        <w:rPr>
          <w:rFonts w:ascii="Times New Roman" w:hAnsi="Times New Roman"/>
          <w:sz w:val="22"/>
        </w:rPr>
        <w:t>9.6 Competing Appraisal Regimes: Endowment Protection and Learning Trajectory</w:t>
        <w:tab/>
        <w:t>179</w:t>
      </w:r>
    </w:p>
    <w:p>
      <w:pPr>
        <w:pStyle w:val="TOC2"/>
        <w:keepNext w:val="0"/>
        <w:keepLines/>
        <w:tabs>
          <w:tab w:pos="8496" w:val="right" w:leader="dot"/>
        </w:tabs>
        <w:spacing w:before="0" w:after="80" w:line="276" w:lineRule="auto"/>
        <w:ind w:right="374"/>
      </w:pPr>
      <w:r>
        <w:rPr>
          <w:rFonts w:ascii="Times New Roman" w:hAnsi="Times New Roman"/>
          <w:sz w:val="22"/>
        </w:rPr>
        <w:t>9.7 Contributions to Engineering and Theory</w:t>
        <w:tab/>
        <w:t>180</w:t>
      </w:r>
    </w:p>
    <w:p>
      <w:pPr>
        <w:pStyle w:val="TOC2"/>
        <w:keepNext w:val="0"/>
        <w:keepLines/>
        <w:tabs>
          <w:tab w:pos="8496" w:val="right" w:leader="dot"/>
        </w:tabs>
        <w:spacing w:before="0" w:after="80" w:line="276" w:lineRule="auto"/>
        <w:ind w:right="374"/>
      </w:pPr>
      <w:r>
        <w:rPr>
          <w:rFonts w:ascii="Times New Roman" w:hAnsi="Times New Roman"/>
          <w:sz w:val="22"/>
        </w:rPr>
        <w:t>9.8 Practical Contributions for Industry and Practice</w:t>
        <w:tab/>
        <w:t>181</w:t>
      </w:r>
    </w:p>
    <w:p>
      <w:pPr>
        <w:pStyle w:val="TOC2"/>
        <w:keepNext w:val="0"/>
        <w:keepLines/>
        <w:tabs>
          <w:tab w:pos="8496" w:val="right" w:leader="dot"/>
        </w:tabs>
        <w:spacing w:before="0" w:after="80" w:line="276" w:lineRule="auto"/>
        <w:ind w:right="374"/>
      </w:pPr>
      <w:r>
        <w:rPr>
          <w:rFonts w:ascii="Times New Roman" w:hAnsi="Times New Roman"/>
          <w:sz w:val="22"/>
        </w:rPr>
        <w:t>9.8A A Secondary Contribution to Gamification: Agentic-AI-Driven Dynamic Game States</w:t>
        <w:tab/>
        <w:t>182</w:t>
      </w:r>
    </w:p>
    <w:p>
      <w:pPr>
        <w:pStyle w:val="TOC2"/>
        <w:keepNext w:val="0"/>
        <w:keepLines/>
        <w:tabs>
          <w:tab w:pos="8496" w:val="right" w:leader="dot"/>
        </w:tabs>
        <w:spacing w:before="0" w:after="80" w:line="276" w:lineRule="auto"/>
        <w:ind w:right="374"/>
      </w:pPr>
      <w:r>
        <w:rPr>
          <w:rFonts w:ascii="Times New Roman" w:hAnsi="Times New Roman"/>
          <w:sz w:val="22"/>
        </w:rPr>
        <w:t>9.8B Future Research Proposition: From Telemetry-Conditioned to Person-Conditioned Adaptation</w:t>
        <w:tab/>
        <w:t>183</w:t>
      </w:r>
    </w:p>
    <w:p>
      <w:pPr>
        <w:pStyle w:val="TOC2"/>
        <w:keepNext w:val="0"/>
        <w:keepLines/>
        <w:tabs>
          <w:tab w:pos="8496" w:val="right" w:leader="dot"/>
        </w:tabs>
        <w:spacing w:before="0" w:after="80" w:line="276" w:lineRule="auto"/>
        <w:ind w:right="374"/>
      </w:pPr>
      <w:r>
        <w:rPr>
          <w:rFonts w:ascii="Times New Roman" w:hAnsi="Times New Roman"/>
          <w:sz w:val="22"/>
        </w:rPr>
        <w:t>9.8C Bounded Implications for AI Evaluation</w:t>
        <w:tab/>
        <w:t>184</w:t>
      </w:r>
    </w:p>
    <w:p>
      <w:pPr>
        <w:pStyle w:val="TOC2"/>
        <w:keepNext w:val="0"/>
        <w:keepLines/>
        <w:tabs>
          <w:tab w:pos="8496" w:val="right" w:leader="dot"/>
        </w:tabs>
        <w:spacing w:before="0" w:after="80" w:line="276" w:lineRule="auto"/>
        <w:ind w:right="374"/>
      </w:pPr>
      <w:r>
        <w:rPr>
          <w:rFonts w:ascii="Times New Roman" w:hAnsi="Times New Roman"/>
          <w:sz w:val="22"/>
        </w:rPr>
        <w:t>9.9 Limits of What Has Been Shown</w:t>
        <w:tab/>
        <w:t>186</w:t>
      </w:r>
    </w:p>
    <w:p>
      <w:pPr>
        <w:pStyle w:val="TOC2"/>
        <w:keepNext w:val="0"/>
        <w:keepLines/>
        <w:tabs>
          <w:tab w:pos="8496" w:val="right" w:leader="dot"/>
        </w:tabs>
        <w:spacing w:before="0" w:after="80" w:line="276" w:lineRule="auto"/>
        <w:ind w:right="374"/>
      </w:pPr>
      <w:r>
        <w:rPr>
          <w:rFonts w:ascii="Times New Roman" w:hAnsi="Times New Roman"/>
          <w:sz w:val="22"/>
        </w:rPr>
        <w:t>9.10 Natural Extensions</w:t>
        <w:tab/>
        <w:t>187</w:t>
      </w:r>
    </w:p>
    <w:p>
      <w:pPr>
        <w:pStyle w:val="TOC2"/>
        <w:keepNext w:val="0"/>
        <w:keepLines/>
        <w:tabs>
          <w:tab w:pos="8496" w:val="right" w:leader="dot"/>
        </w:tabs>
        <w:spacing w:before="0" w:after="80" w:line="276" w:lineRule="auto"/>
        <w:ind w:right="374"/>
      </w:pPr>
      <w:r>
        <w:rPr>
          <w:rFonts w:ascii="Times New Roman" w:hAnsi="Times New Roman"/>
          <w:sz w:val="22"/>
        </w:rPr>
        <w:t>9.11 Returning to the Three F4 Residents</w:t>
        <w:tab/>
        <w:t>187</w:t>
      </w:r>
    </w:p>
    <w:p>
      <w:pPr>
        <w:pStyle w:val="TOC2"/>
        <w:keepNext w:val="0"/>
        <w:keepLines/>
        <w:tabs>
          <w:tab w:pos="8496" w:val="right" w:leader="dot"/>
        </w:tabs>
        <w:spacing w:before="0" w:after="80" w:line="276" w:lineRule="auto"/>
        <w:ind w:right="374"/>
      </w:pPr>
      <w:r>
        <w:rPr>
          <w:rFonts w:ascii="Times New Roman" w:hAnsi="Times New Roman"/>
          <w:sz w:val="22"/>
        </w:rPr>
        <w:t>9.12 Closing Synthesis</w:t>
        <w:tab/>
        <w:t>188</w:t>
      </w:r>
    </w:p>
    <w:p>
      <w:pPr>
        <w:pStyle w:val="TOC1"/>
        <w:keepNext w:val="0"/>
        <w:keepLines/>
        <w:tabs>
          <w:tab w:pos="8496" w:val="right" w:leader="dot"/>
        </w:tabs>
        <w:spacing w:before="0" w:after="80" w:line="276" w:lineRule="auto"/>
        <w:ind w:right="374"/>
      </w:pPr>
      <w:r>
        <w:rPr>
          <w:rFonts w:ascii="Times New Roman" w:hAnsi="Times New Roman"/>
          <w:sz w:val="22"/>
        </w:rPr>
        <w:t>References</w:t>
        <w:tab/>
        <w:t>191</w:t>
      </w:r>
    </w:p>
    <w:p>
      <w:pPr>
        <w:pStyle w:val="TOC1"/>
        <w:keepNext w:val="0"/>
        <w:keepLines/>
        <w:tabs>
          <w:tab w:pos="8496" w:val="right" w:leader="dot"/>
        </w:tabs>
        <w:spacing w:before="0" w:after="80" w:line="276" w:lineRule="auto"/>
        <w:ind w:right="374"/>
      </w:pPr>
      <w:r>
        <w:rPr>
          <w:rFonts w:ascii="Times New Roman" w:hAnsi="Times New Roman"/>
          <w:sz w:val="22"/>
        </w:rPr>
        <w:t>Appendices</w:t>
        <w:tab/>
        <w:t>199</w:t>
      </w:r>
    </w:p>
    <w:p>
      <w:pPr>
        <w:pStyle w:val="TOC2"/>
        <w:keepNext w:val="0"/>
        <w:keepLines/>
        <w:tabs>
          <w:tab w:pos="8496" w:val="right" w:leader="dot"/>
        </w:tabs>
        <w:spacing w:before="0" w:after="80" w:line="276" w:lineRule="auto"/>
        <w:ind w:right="374"/>
      </w:pPr>
      <w:r>
        <w:rPr>
          <w:rFonts w:ascii="Times New Roman" w:hAnsi="Times New Roman"/>
          <w:sz w:val="22"/>
        </w:rPr>
        <w:t>Appendix A · Stage-1 Survey Instrument</w:t>
        <w:tab/>
        <w:t>200</w:t>
      </w:r>
    </w:p>
    <w:p>
      <w:pPr>
        <w:pStyle w:val="TOC3"/>
        <w:keepNext w:val="0"/>
        <w:keepLines/>
        <w:tabs>
          <w:tab w:pos="8496" w:val="right" w:leader="dot"/>
        </w:tabs>
        <w:spacing w:before="0" w:after="80" w:line="276" w:lineRule="auto"/>
        <w:ind w:right="374"/>
      </w:pPr>
      <w:r>
        <w:rPr>
          <w:rFonts w:ascii="Times New Roman" w:hAnsi="Times New Roman"/>
          <w:sz w:val="22"/>
        </w:rPr>
        <w:t>A.1 · Survey Items</w:t>
        <w:tab/>
        <w:t>200</w:t>
      </w:r>
    </w:p>
    <w:p>
      <w:pPr>
        <w:pStyle w:val="TOC2"/>
        <w:keepNext w:val="0"/>
        <w:keepLines/>
        <w:tabs>
          <w:tab w:pos="8496" w:val="right" w:leader="dot"/>
        </w:tabs>
        <w:spacing w:before="0" w:after="80" w:line="276" w:lineRule="auto"/>
        <w:ind w:right="374"/>
      </w:pPr>
      <w:r>
        <w:rPr>
          <w:rFonts w:ascii="Times New Roman" w:hAnsi="Times New Roman"/>
          <w:sz w:val="22"/>
        </w:rPr>
        <w:t>Appendix B · Stage-2 FIAS Coding Scheme</w:t>
        <w:tab/>
        <w:t>201</w:t>
      </w:r>
    </w:p>
    <w:p>
      <w:pPr>
        <w:pStyle w:val="TOC2"/>
        <w:keepNext w:val="0"/>
        <w:keepLines/>
        <w:tabs>
          <w:tab w:pos="8496" w:val="right" w:leader="dot"/>
        </w:tabs>
        <w:spacing w:before="0" w:after="80" w:line="276" w:lineRule="auto"/>
        <w:ind w:right="374"/>
      </w:pPr>
      <w:r>
        <w:rPr>
          <w:rFonts w:ascii="Times New Roman" w:hAnsi="Times New Roman"/>
          <w:sz w:val="22"/>
        </w:rPr>
        <w:t>Appendix C · Stage-2 Qualitative Record and the F4 Interview Protocol (Designed, Not Administered)</w:t>
        <w:tab/>
        <w:t>202</w:t>
      </w:r>
    </w:p>
    <w:p>
      <w:pPr>
        <w:pStyle w:val="TOC3"/>
        <w:keepNext w:val="0"/>
        <w:keepLines/>
        <w:tabs>
          <w:tab w:pos="8496" w:val="right" w:leader="dot"/>
        </w:tabs>
        <w:spacing w:before="0" w:after="80" w:line="276" w:lineRule="auto"/>
        <w:ind w:right="374"/>
      </w:pPr>
      <w:r>
        <w:rPr>
          <w:rFonts w:ascii="Times New Roman" w:hAnsi="Times New Roman"/>
          <w:sz w:val="22"/>
        </w:rPr>
        <w:t>C.1 · Question Set</w:t>
        <w:tab/>
        <w:t>203</w:t>
      </w:r>
    </w:p>
    <w:p>
      <w:pPr>
        <w:pStyle w:val="TOC2"/>
        <w:keepNext w:val="0"/>
        <w:keepLines/>
        <w:tabs>
          <w:tab w:pos="8496" w:val="right" w:leader="dot"/>
        </w:tabs>
        <w:spacing w:before="0" w:after="80" w:line="276" w:lineRule="auto"/>
        <w:ind w:right="374"/>
      </w:pPr>
      <w:r>
        <w:rPr>
          <w:rFonts w:ascii="Times New Roman" w:hAnsi="Times New Roman"/>
          <w:sz w:val="22"/>
        </w:rPr>
        <w:t>Appendix D · Stage-3 Decoupling Questionnaire</w:t>
        <w:tab/>
        <w:t>205</w:t>
      </w:r>
    </w:p>
    <w:p>
      <w:pPr>
        <w:pStyle w:val="TOC3"/>
        <w:keepNext w:val="0"/>
        <w:keepLines/>
        <w:tabs>
          <w:tab w:pos="8496" w:val="right" w:leader="dot"/>
        </w:tabs>
        <w:spacing w:before="0" w:after="80" w:line="276" w:lineRule="auto"/>
        <w:ind w:right="374"/>
      </w:pPr>
      <w:r>
        <w:rPr>
          <w:rFonts w:ascii="Times New Roman" w:hAnsi="Times New Roman"/>
          <w:sz w:val="22"/>
        </w:rPr>
        <w:t>D.1 · Post-Session Items</w:t>
        <w:tab/>
        <w:t>205</w:t>
      </w:r>
    </w:p>
    <w:p>
      <w:pPr>
        <w:pStyle w:val="TOC3"/>
        <w:keepNext w:val="0"/>
        <w:keepLines/>
        <w:tabs>
          <w:tab w:pos="8496" w:val="right" w:leader="dot"/>
        </w:tabs>
        <w:spacing w:before="0" w:after="80" w:line="276" w:lineRule="auto"/>
        <w:ind w:right="374"/>
      </w:pPr>
      <w:r>
        <w:rPr>
          <w:rFonts w:ascii="Times New Roman" w:hAnsi="Times New Roman"/>
          <w:sz w:val="22"/>
        </w:rPr>
        <w:t>D.2 · Demographic Block (At Enrolment)</w:t>
        <w:tab/>
        <w:t>206</w:t>
      </w:r>
    </w:p>
    <w:p>
      <w:pPr>
        <w:pStyle w:val="TOC2"/>
        <w:keepNext w:val="0"/>
        <w:keepLines/>
        <w:tabs>
          <w:tab w:pos="8496" w:val="right" w:leader="dot"/>
        </w:tabs>
        <w:spacing w:before="0" w:after="80" w:line="276" w:lineRule="auto"/>
        <w:ind w:right="374"/>
      </w:pPr>
      <w:r>
        <w:rPr>
          <w:rFonts w:ascii="Times New Roman" w:hAnsi="Times New Roman"/>
          <w:sz w:val="22"/>
        </w:rPr>
        <w:t>Appendix E · Five-Layer Architecture and Adaptive-Learning Reference Stack</w:t>
        <w:tab/>
        <w:t>207</w:t>
      </w:r>
    </w:p>
    <w:p>
      <w:pPr>
        <w:pStyle w:val="TOC3"/>
        <w:keepNext w:val="0"/>
        <w:keepLines/>
        <w:tabs>
          <w:tab w:pos="8496" w:val="right" w:leader="dot"/>
        </w:tabs>
        <w:spacing w:before="0" w:after="80" w:line="276" w:lineRule="auto"/>
        <w:ind w:right="374"/>
      </w:pPr>
      <w:r>
        <w:rPr>
          <w:rFonts w:ascii="Times New Roman" w:hAnsi="Times New Roman"/>
          <w:sz w:val="22"/>
        </w:rPr>
        <w:t>E.1 · Layers L0–L4 (Stage-2 architecture as specified; operational status per build in item G.0A)</w:t>
        <w:tab/>
        <w:t>207</w:t>
      </w:r>
    </w:p>
    <w:p>
      <w:pPr>
        <w:pStyle w:val="TOC3"/>
        <w:keepNext w:val="0"/>
        <w:keepLines/>
        <w:tabs>
          <w:tab w:pos="8496" w:val="right" w:leader="dot"/>
        </w:tabs>
        <w:spacing w:before="0" w:after="80" w:line="276" w:lineRule="auto"/>
        <w:ind w:right="374"/>
      </w:pPr>
      <w:r>
        <w:rPr>
          <w:rFonts w:ascii="Times New Roman" w:hAnsi="Times New Roman"/>
          <w:sz w:val="22"/>
        </w:rPr>
        <w:t>E.2 · Layers L5–L7 (Adaptive-Learning Reference Stack)</w:t>
        <w:tab/>
        <w:t>208</w:t>
      </w:r>
    </w:p>
    <w:p>
      <w:pPr>
        <w:pStyle w:val="TOC3"/>
        <w:keepNext w:val="0"/>
        <w:keepLines/>
        <w:tabs>
          <w:tab w:pos="8496" w:val="right" w:leader="dot"/>
        </w:tabs>
        <w:spacing w:before="0" w:after="80" w:line="276" w:lineRule="auto"/>
        <w:ind w:right="374"/>
      </w:pPr>
      <w:r>
        <w:rPr>
          <w:rFonts w:ascii="Times New Roman" w:hAnsi="Times New Roman"/>
          <w:sz w:val="22"/>
        </w:rPr>
        <w:t>E.3 · AI Safety Provisions</w:t>
        <w:tab/>
        <w:t>208</w:t>
      </w:r>
    </w:p>
    <w:p>
      <w:pPr>
        <w:pStyle w:val="TOC2"/>
        <w:keepNext w:val="0"/>
        <w:keepLines/>
        <w:tabs>
          <w:tab w:pos="8496" w:val="right" w:leader="dot"/>
        </w:tabs>
        <w:spacing w:before="0" w:after="80" w:line="276" w:lineRule="auto"/>
        <w:ind w:right="374"/>
      </w:pPr>
      <w:r>
        <w:rPr>
          <w:rFonts w:ascii="Times New Roman" w:hAnsi="Times New Roman"/>
          <w:sz w:val="22"/>
        </w:rPr>
        <w:t>Appendix F · Glossary of Key Constructs</w:t>
        <w:tab/>
        <w:t>209</w:t>
      </w:r>
    </w:p>
    <w:p>
      <w:pPr>
        <w:pStyle w:val="TOC2"/>
        <w:keepNext w:val="0"/>
        <w:keepLines/>
        <w:tabs>
          <w:tab w:pos="8496" w:val="right" w:leader="dot"/>
        </w:tabs>
        <w:spacing w:before="0" w:after="80" w:line="276" w:lineRule="auto"/>
        <w:ind w:right="374"/>
      </w:pPr>
      <w:r>
        <w:rPr>
          <w:rFonts w:ascii="Times New Roman" w:hAnsi="Times New Roman"/>
          <w:sz w:val="22"/>
        </w:rPr>
        <w:t>Appendix G · Raw Data, Photographs and Supplementary Materials</w:t>
        <w:tab/>
        <w:t>211</w:t>
      </w:r>
    </w:p>
    <w:p>
      <w:pPr>
        <w:pStyle w:val="TOC2"/>
        <w:keepNext w:val="0"/>
        <w:keepLines/>
        <w:tabs>
          <w:tab w:pos="8496" w:val="right" w:leader="dot"/>
        </w:tabs>
        <w:spacing w:before="0" w:after="80" w:line="276" w:lineRule="auto"/>
        <w:ind w:right="374"/>
      </w:pPr>
      <w:r>
        <w:rPr>
          <w:rFonts w:ascii="Times New Roman" w:hAnsi="Times New Roman"/>
          <w:sz w:val="22"/>
        </w:rPr>
        <w:t>Appendix H · Expert Consultation Record</w:t>
        <w:tab/>
        <w:t>221</w:t>
      </w:r>
    </w:p>
    <w:p>
      <w:pPr>
        <w:pStyle w:val="TOC2"/>
        <w:keepNext w:val="0"/>
        <w:keepLines/>
        <w:tabs>
          <w:tab w:pos="8496" w:val="right" w:leader="dot"/>
        </w:tabs>
        <w:spacing w:before="0" w:after="80" w:line="276" w:lineRule="auto"/>
        <w:ind w:right="374"/>
      </w:pPr>
      <w:r>
        <w:rPr>
          <w:rFonts w:ascii="Times New Roman" w:hAnsi="Times New Roman"/>
          <w:sz w:val="22"/>
        </w:rPr>
        <w:t>Appendix I · Stage-3B Component Study: Record to the 30 September 2026 Cut-off</w:t>
        <w:tab/>
        <w:t>226</w:t>
      </w:r>
    </w:p>
    <w:p>
      <w:pPr>
        <w:pStyle w:val="TOC3"/>
        <w:keepNext w:val="0"/>
        <w:keepLines/>
        <w:tabs>
          <w:tab w:pos="8496" w:val="right" w:leader="dot"/>
        </w:tabs>
        <w:spacing w:before="0" w:after="80" w:line="276" w:lineRule="auto"/>
        <w:ind w:right="374"/>
      </w:pPr>
      <w:r>
        <w:rPr>
          <w:rFonts w:ascii="Times New Roman" w:hAnsi="Times New Roman"/>
          <w:sz w:val="22"/>
        </w:rPr>
        <w:t>I.1 · Status and Scope</w:t>
        <w:tab/>
        <w:t>226</w:t>
      </w:r>
    </w:p>
    <w:p>
      <w:pPr>
        <w:pStyle w:val="TOC3"/>
        <w:keepNext w:val="0"/>
        <w:keepLines/>
        <w:tabs>
          <w:tab w:pos="8496" w:val="right" w:leader="dot"/>
        </w:tabs>
        <w:spacing w:before="0" w:after="80" w:line="276" w:lineRule="auto"/>
        <w:ind w:right="374"/>
      </w:pPr>
      <w:r>
        <w:rPr>
          <w:rFonts w:ascii="Times New Roman" w:hAnsi="Times New Roman"/>
          <w:sz w:val="22"/>
        </w:rPr>
        <w:t>I.2 · Design as Pre-specified (Repository-dated 8–9 August 2026)</w:t>
        <w:tab/>
        <w:t>228</w:t>
      </w:r>
    </w:p>
    <w:p>
      <w:pPr>
        <w:pStyle w:val="TOC3"/>
        <w:keepNext w:val="0"/>
        <w:keepLines/>
        <w:tabs>
          <w:tab w:pos="8496" w:val="right" w:leader="dot"/>
        </w:tabs>
        <w:spacing w:before="0" w:after="80" w:line="276" w:lineRule="auto"/>
        <w:ind w:right="374"/>
      </w:pPr>
      <w:r>
        <w:rPr>
          <w:rFonts w:ascii="Times New Roman" w:hAnsi="Times New Roman"/>
          <w:sz w:val="22"/>
        </w:rPr>
        <w:t>I.3 · Build and Distribution Lineage</w:t>
        <w:tab/>
        <w:t>230</w:t>
      </w:r>
    </w:p>
    <w:p>
      <w:pPr>
        <w:pStyle w:val="TOC3"/>
        <w:keepNext w:val="0"/>
        <w:keepLines/>
        <w:tabs>
          <w:tab w:pos="8496" w:val="right" w:leader="dot"/>
        </w:tabs>
        <w:spacing w:before="0" w:after="80" w:line="276" w:lineRule="auto"/>
        <w:ind w:right="374"/>
      </w:pPr>
      <w:r>
        <w:rPr>
          <w:rFonts w:ascii="Times New Roman" w:hAnsi="Times New Roman"/>
          <w:sz w:val="22"/>
        </w:rPr>
        <w:t>I.4 · Returns on Record</w:t>
        <w:tab/>
        <w:t>233</w:t>
      </w:r>
    </w:p>
    <w:p>
      <w:pPr>
        <w:pStyle w:val="TOC3"/>
        <w:keepNext w:val="0"/>
        <w:keepLines/>
        <w:tabs>
          <w:tab w:pos="8496" w:val="right" w:leader="dot"/>
        </w:tabs>
        <w:spacing w:before="0" w:after="80" w:line="276" w:lineRule="auto"/>
        <w:ind w:right="374"/>
      </w:pPr>
      <w:r>
        <w:rPr>
          <w:rFonts w:ascii="Times New Roman" w:hAnsi="Times New Roman"/>
          <w:sz w:val="22"/>
        </w:rPr>
        <w:t>I.5 · Stage-3B Pro v4.1 Researcher Self-Test: Batch 01 and Two Later-Received Exports (19–20 September 2026)</w:t>
        <w:tab/>
        <w:t>237</w:t>
      </w:r>
    </w:p>
    <w:p>
      <w:pPr>
        <w:pStyle w:val="TOC3"/>
        <w:keepNext w:val="0"/>
        <w:keepLines/>
        <w:tabs>
          <w:tab w:pos="8496" w:val="right" w:leader="dot"/>
        </w:tabs>
        <w:spacing w:before="0" w:after="80" w:line="276" w:lineRule="auto"/>
        <w:ind w:right="374"/>
      </w:pPr>
      <w:r>
        <w:rPr>
          <w:rFonts w:ascii="Times New Roman" w:hAnsi="Times New Roman"/>
          <w:sz w:val="22"/>
        </w:rPr>
        <w:t>I.6 · Why the Learning Measurement Was Not Articulated to Adaptive Learning, and What a Later Study Needs</w:t>
        <w:tab/>
        <w:t>245</w:t>
      </w:r>
    </w:p>
    <w:p>
      <w:pPr>
        <w:pStyle w:val="TOC3"/>
        <w:keepNext w:val="0"/>
        <w:keepLines/>
        <w:tabs>
          <w:tab w:pos="8496" w:val="right" w:leader="dot"/>
        </w:tabs>
        <w:spacing w:before="0" w:after="80" w:line="276" w:lineRule="auto"/>
        <w:ind w:right="374"/>
      </w:pPr>
      <w:r>
        <w:rPr>
          <w:rFonts w:ascii="Times New Roman" w:hAnsi="Times New Roman"/>
          <w:sz w:val="22"/>
        </w:rPr>
        <w:t>I.7 · Ethics, Scope and Outstanding Author Records</w:t>
        <w:tab/>
        <w:t>247</w:t>
      </w:r>
    </w:p>
    <w:p>
      <w:pPr>
        <w:pStyle w:val="Heading1"/>
      </w:pPr>
      <w:r>
        <w:rPr>
          <w:lang w:val="en-US" w:eastAsia="en-US" w:bidi="ar-SA"/>
          <w:color w:val="000000"/>
          <w:szCs w:val="28"/>
        </w:rPr>
        <w:t>List of Figures</w:t>
      </w:r>
    </w:p>
    <w:p>
      <w:pPr>
        <w:pStyle w:val="TOC1"/>
        <w:keepNext w:val="0"/>
        <w:keepLines/>
        <w:tabs>
          <w:tab w:pos="8496" w:val="right" w:leader="dot"/>
        </w:tabs>
        <w:spacing w:before="0" w:after="80" w:line="276" w:lineRule="auto"/>
        <w:ind w:right="374"/>
      </w:pPr>
      <w:r>
        <w:rPr>
          <w:rFonts w:ascii="Times New Roman" w:hAnsi="Times New Roman"/>
          <w:sz w:val="22"/>
        </w:rPr>
        <w:t>Figure 1.1. Title-aligned structure of the thesis</w:t>
        <w:tab/>
        <w:t>12</w:t>
      </w:r>
    </w:p>
    <w:p>
      <w:pPr>
        <w:pStyle w:val="TOC1"/>
        <w:keepNext w:val="0"/>
        <w:keepLines/>
        <w:tabs>
          <w:tab w:pos="8496" w:val="right" w:leader="dot"/>
        </w:tabs>
        <w:spacing w:before="0" w:after="80" w:line="276" w:lineRule="auto"/>
        <w:ind w:right="374"/>
      </w:pPr>
      <w:r>
        <w:rPr>
          <w:rFonts w:ascii="Times New Roman" w:hAnsi="Times New Roman"/>
          <w:sz w:val="22"/>
        </w:rPr>
        <w:t>Figure 2.1. The five-part literature-to-design synthesis: conceptual rationale for gamification, continuous improvement and innovation enhancement</w:t>
        <w:tab/>
        <w:t>37</w:t>
      </w:r>
    </w:p>
    <w:p>
      <w:pPr>
        <w:pStyle w:val="TOC1"/>
        <w:keepNext w:val="0"/>
        <w:keepLines/>
        <w:tabs>
          <w:tab w:pos="8496" w:val="right" w:leader="dot"/>
        </w:tabs>
        <w:spacing w:before="0" w:after="80" w:line="276" w:lineRule="auto"/>
        <w:ind w:right="374"/>
      </w:pPr>
      <w:r>
        <w:rPr>
          <w:rFonts w:ascii="Times New Roman" w:hAnsi="Times New Roman"/>
          <w:sz w:val="22"/>
        </w:rPr>
        <w:t>Figure 3.1. Three-stage action-research logic model: Stage 1 supplies the retrospective field signal, Stage 2 examines the original design expectation in deployment, and Stage 3 provides a non-equivalent-cohort decoupling comparison</w:t>
        <w:tab/>
        <w:t>44</w:t>
      </w:r>
    </w:p>
    <w:p>
      <w:pPr>
        <w:pStyle w:val="TOC1"/>
        <w:keepNext w:val="0"/>
        <w:keepLines/>
        <w:tabs>
          <w:tab w:pos="8496" w:val="right" w:leader="dot"/>
        </w:tabs>
        <w:spacing w:before="0" w:after="80" w:line="276" w:lineRule="auto"/>
        <w:ind w:right="374"/>
      </w:pPr>
      <w:r>
        <w:rPr>
          <w:rFonts w:ascii="Times New Roman" w:hAnsi="Times New Roman"/>
          <w:sz w:val="22"/>
        </w:rPr>
        <w:t>Figure 4.1A. Fall Risk Assessment (FRA) system architecture as deployed at the Poly Group facility (InBody FRA510S)</w:t>
        <w:tab/>
        <w:t>55</w:t>
      </w:r>
    </w:p>
    <w:p>
      <w:pPr>
        <w:pStyle w:val="TOC1"/>
        <w:keepNext w:val="0"/>
        <w:keepLines/>
        <w:tabs>
          <w:tab w:pos="8496" w:val="right" w:leader="dot"/>
        </w:tabs>
        <w:spacing w:before="0" w:after="80" w:line="276" w:lineRule="auto"/>
        <w:ind w:right="374"/>
      </w:pPr>
      <w:r>
        <w:rPr>
          <w:rFonts w:ascii="Times New Roman" w:hAnsi="Times New Roman"/>
          <w:sz w:val="22"/>
        </w:rPr>
        <w:t>Figure 4.1B. The FRA balance station as deployed in the rehabilitation room of the Guangzhou facility (photograph by the author)</w:t>
        <w:tab/>
        <w:t>56</w:t>
      </w:r>
    </w:p>
    <w:p>
      <w:pPr>
        <w:pStyle w:val="TOC1"/>
        <w:keepNext w:val="0"/>
        <w:keepLines/>
        <w:tabs>
          <w:tab w:pos="8496" w:val="right" w:leader="dot"/>
        </w:tabs>
        <w:spacing w:before="0" w:after="80" w:line="276" w:lineRule="auto"/>
        <w:ind w:right="374"/>
      </w:pPr>
      <w:r>
        <w:rPr>
          <w:rFonts w:ascii="Times New Roman" w:hAnsi="Times New Roman"/>
          <w:sz w:val="22"/>
        </w:rPr>
        <w:t>Figure 5.0. Configurations compared across Stages 2 and 3</w:t>
        <w:tab/>
        <w:t>66</w:t>
      </w:r>
    </w:p>
    <w:p>
      <w:pPr>
        <w:pStyle w:val="TOC1"/>
        <w:keepNext w:val="0"/>
        <w:keepLines/>
        <w:tabs>
          <w:tab w:pos="8496" w:val="right" w:leader="dot"/>
        </w:tabs>
        <w:spacing w:before="0" w:after="80" w:line="276" w:lineRule="auto"/>
        <w:ind w:right="374"/>
      </w:pPr>
      <w:r>
        <w:rPr>
          <w:rFonts w:ascii="Times New Roman" w:hAnsi="Times New Roman"/>
          <w:sz w:val="22"/>
        </w:rPr>
        <w:t>Figure 5.1. Schematic illustration of the skiing-game display</w:t>
        <w:tab/>
        <w:t>72</w:t>
      </w:r>
    </w:p>
    <w:p>
      <w:pPr>
        <w:pStyle w:val="TOC1"/>
        <w:keepNext w:val="0"/>
        <w:keepLines/>
        <w:tabs>
          <w:tab w:pos="8496" w:val="right" w:leader="dot"/>
        </w:tabs>
        <w:spacing w:before="0" w:after="80" w:line="276" w:lineRule="auto"/>
        <w:ind w:right="374"/>
      </w:pPr>
      <w:r>
        <w:rPr>
          <w:rFonts w:ascii="Times New Roman" w:hAnsi="Times New Roman"/>
          <w:sz w:val="22"/>
        </w:rPr>
        <w:t>Figure 5.1A. The platform-game coupling demonstrated: one of two control persons steers the skiing-game prototype by weight shift on the balance platform (development office, 27 August 2024; frame from the archived video, Appendix G, item G.10; the written consent of the person shown is not on file at 30 September 2026)</w:t>
        <w:tab/>
        <w:t>73</w:t>
      </w:r>
    </w:p>
    <w:p>
      <w:pPr>
        <w:pStyle w:val="TOC1"/>
        <w:keepNext w:val="0"/>
        <w:keepLines/>
        <w:tabs>
          <w:tab w:pos="8496" w:val="right" w:leader="dot"/>
        </w:tabs>
        <w:spacing w:before="0" w:after="80" w:line="276" w:lineRule="auto"/>
        <w:ind w:right="374"/>
      </w:pPr>
      <w:r>
        <w:rPr>
          <w:rFonts w:ascii="Times New Roman" w:hAnsi="Times New Roman"/>
          <w:sz w:val="22"/>
        </w:rPr>
        <w:t>Figure 5.1B. Successor-build illustration of the game artefact across difficulty levels 1–5 (screenshots from the programme's archived successor build in the same design lineage as the Stage-2 deployment, not from the deployed Stage-2 build)</w:t>
        <w:tab/>
        <w:t>74</w:t>
      </w:r>
    </w:p>
    <w:p>
      <w:pPr>
        <w:pStyle w:val="TOC1"/>
        <w:keepNext w:val="0"/>
        <w:keepLines/>
        <w:tabs>
          <w:tab w:pos="8496" w:val="right" w:leader="dot"/>
        </w:tabs>
        <w:spacing w:before="0" w:after="80" w:line="276" w:lineRule="auto"/>
        <w:ind w:right="374"/>
      </w:pPr>
      <w:r>
        <w:rPr>
          <w:rFonts w:ascii="Times New Roman" w:hAnsi="Times New Roman"/>
          <w:sz w:val="22"/>
        </w:rPr>
        <w:t>Figure 5.2. Stage-2 architecture: the game's layers L0–L3 and the InBody measurement (L4) that ran in parallel</w:t>
        <w:tab/>
        <w:t>76</w:t>
      </w:r>
    </w:p>
    <w:p>
      <w:pPr>
        <w:pStyle w:val="TOC1"/>
        <w:keepNext w:val="0"/>
        <w:keepLines/>
        <w:tabs>
          <w:tab w:pos="8496" w:val="right" w:leader="dot"/>
        </w:tabs>
        <w:spacing w:before="0" w:after="80" w:line="276" w:lineRule="auto"/>
        <w:ind w:right="374"/>
      </w:pPr>
      <w:r>
        <w:rPr>
          <w:rFonts w:ascii="Times New Roman" w:hAnsi="Times New Roman"/>
          <w:sz w:val="22"/>
        </w:rPr>
        <w:t>Figure 5.3. Proposed dynamic game-state architecture for the FRA skiing game</w:t>
        <w:tab/>
        <w:t>83</w:t>
      </w:r>
    </w:p>
    <w:p>
      <w:pPr>
        <w:pStyle w:val="TOC1"/>
        <w:keepNext w:val="0"/>
        <w:keepLines/>
        <w:tabs>
          <w:tab w:pos="8496" w:val="right" w:leader="dot"/>
        </w:tabs>
        <w:spacing w:before="0" w:after="80" w:line="276" w:lineRule="auto"/>
        <w:ind w:right="374"/>
      </w:pPr>
      <w:r>
        <w:rPr>
          <w:rFonts w:ascii="Times New Roman" w:hAnsi="Times New Roman"/>
          <w:sz w:val="22"/>
        </w:rPr>
        <w:t>Figure 5.4. Participant-level pre/post recorded FRA index (standard-mode baseline to final play; provenance in §5.5) for the Stage-2 cohort (N = 30), by engagement group</w:t>
        <w:tab/>
        <w:t>90</w:t>
      </w:r>
    </w:p>
    <w:p>
      <w:pPr>
        <w:pStyle w:val="TOC1"/>
        <w:keepNext w:val="0"/>
        <w:keepLines/>
        <w:tabs>
          <w:tab w:pos="8496" w:val="right" w:leader="dot"/>
        </w:tabs>
        <w:spacing w:before="0" w:after="80" w:line="276" w:lineRule="auto"/>
        <w:ind w:right="374"/>
      </w:pPr>
      <w:r>
        <w:rPr>
          <w:rFonts w:ascii="Times New Roman" w:hAnsi="Times New Roman"/>
          <w:sz w:val="22"/>
        </w:rPr>
        <w:t>Figure 5.5. Participant flow diagram (Stage 2, N = 30): no re-engagement was observed among the twenty-one low-engagement participants during the eight-week study window (re-engagement branch drawn from the low-engagement group; F4 cluster membership per §5.6; the F4 counts shown, including the three with a recorded index increase, include S2-P015, the record that failed verification, §5.5)</w:t>
        <w:tab/>
        <w:t>91</w:t>
      </w:r>
    </w:p>
    <w:p>
      <w:pPr>
        <w:pStyle w:val="TOC1"/>
        <w:keepNext w:val="0"/>
        <w:keepLines/>
        <w:tabs>
          <w:tab w:pos="8496" w:val="right" w:leader="dot"/>
        </w:tabs>
        <w:spacing w:before="0" w:after="80" w:line="276" w:lineRule="auto"/>
        <w:ind w:right="374"/>
      </w:pPr>
      <w:r>
        <w:rPr>
          <w:rFonts w:ascii="Times New Roman" w:hAnsi="Times New Roman"/>
          <w:sz w:val="22"/>
        </w:rPr>
        <w:t>Figure 5.6. Observed non-return and candidate explanatory pathways</w:t>
        <w:tab/>
        <w:t>99</w:t>
      </w:r>
    </w:p>
    <w:p>
      <w:pPr>
        <w:pStyle w:val="TOC1"/>
        <w:keepNext w:val="0"/>
        <w:keepLines/>
        <w:tabs>
          <w:tab w:pos="8496" w:val="right" w:leader="dot"/>
        </w:tabs>
        <w:spacing w:before="0" w:after="80" w:line="276" w:lineRule="auto"/>
        <w:ind w:right="374"/>
      </w:pPr>
      <w:r>
        <w:rPr>
          <w:rFonts w:ascii="Times New Roman" w:hAnsi="Times New Roman"/>
          <w:sz w:val="22"/>
        </w:rPr>
        <w:t>Figure 6.1. Stage-3 continued or resumed play and observed non-return by the July 2026 compilation, by age band (N = 120)</w:t>
        <w:tab/>
        <w:t>111</w:t>
      </w:r>
    </w:p>
    <w:p>
      <w:pPr>
        <w:pStyle w:val="TOC1"/>
        <w:keepNext w:val="0"/>
        <w:keepLines/>
        <w:tabs>
          <w:tab w:pos="8496" w:val="right" w:leader="dot"/>
        </w:tabs>
        <w:spacing w:before="0" w:after="80" w:line="276" w:lineRule="auto"/>
        <w:ind w:right="374"/>
      </w:pPr>
      <w:r>
        <w:rPr>
          <w:rFonts w:ascii="Times New Roman" w:hAnsi="Times New Roman"/>
          <w:sz w:val="22"/>
        </w:rPr>
        <w:t>Figure 6.2. Return after initial dropout by age band in Stage 3, including 62.5% in the 65–80 band</w:t>
        <w:tab/>
        <w:t>112</w:t>
      </w:r>
    </w:p>
    <w:p>
      <w:pPr>
        <w:pStyle w:val="TOC1"/>
        <w:keepNext w:val="0"/>
        <w:keepLines/>
        <w:tabs>
          <w:tab w:pos="8496" w:val="right" w:leader="dot"/>
        </w:tabs>
        <w:spacing w:before="0" w:after="80" w:line="276" w:lineRule="auto"/>
        <w:ind w:right="374"/>
      </w:pPr>
      <w:r>
        <w:rPr>
          <w:rFonts w:ascii="Times New Roman" w:hAnsi="Times New Roman"/>
          <w:sz w:val="22"/>
        </w:rPr>
        <w:t>Figure 6.3. Continued or resumed play and regular-use intention by age band</w:t>
        <w:tab/>
        <w:t>115</w:t>
      </w:r>
    </w:p>
    <w:p>
      <w:pPr>
        <w:pStyle w:val="TOC1"/>
        <w:keepNext w:val="0"/>
        <w:keepLines/>
        <w:tabs>
          <w:tab w:pos="8496" w:val="right" w:leader="dot"/>
        </w:tabs>
        <w:spacing w:before="0" w:after="80" w:line="276" w:lineRule="auto"/>
        <w:ind w:right="374"/>
      </w:pPr>
      <w:r>
        <w:rPr>
          <w:rFonts w:ascii="Times New Roman" w:hAnsi="Times New Roman"/>
          <w:sz w:val="22"/>
        </w:rPr>
        <w:t>Figure 7.1. Proposed adaptive reference architecture</w:t>
        <w:tab/>
        <w:t>131</w:t>
      </w:r>
    </w:p>
    <w:p>
      <w:pPr>
        <w:pStyle w:val="TOC1"/>
        <w:keepNext w:val="0"/>
        <w:keepLines/>
        <w:tabs>
          <w:tab w:pos="8496" w:val="right" w:leader="dot"/>
        </w:tabs>
        <w:spacing w:before="0" w:after="80" w:line="276" w:lineRule="auto"/>
        <w:ind w:right="374"/>
      </w:pPr>
      <w:r>
        <w:rPr>
          <w:rFonts w:ascii="Times New Roman" w:hAnsi="Times New Roman"/>
          <w:sz w:val="22"/>
        </w:rPr>
        <w:t>Figure 7.2. Two linked improvement cycles proposed for the gamified service</w:t>
        <w:tab/>
        <w:t>140</w:t>
      </w:r>
    </w:p>
    <w:p>
      <w:pPr>
        <w:pStyle w:val="TOC1"/>
        <w:keepNext w:val="0"/>
        <w:keepLines/>
        <w:tabs>
          <w:tab w:pos="8496" w:val="right" w:leader="dot"/>
        </w:tabs>
        <w:spacing w:before="0" w:after="80" w:line="276" w:lineRule="auto"/>
        <w:ind w:right="374"/>
      </w:pPr>
      <w:r>
        <w:rPr>
          <w:rFonts w:ascii="Times New Roman" w:hAnsi="Times New Roman"/>
          <w:sz w:val="22"/>
        </w:rPr>
        <w:t>Figure 7.3. The gerontechnology design space as documented in this programme and the cited material</w:t>
        <w:tab/>
        <w:t>144</w:t>
      </w:r>
    </w:p>
    <w:p>
      <w:pPr>
        <w:pStyle w:val="TOC1"/>
        <w:keepNext w:val="0"/>
        <w:keepLines/>
        <w:tabs>
          <w:tab w:pos="8496" w:val="right" w:leader="dot"/>
        </w:tabs>
        <w:spacing w:before="0" w:after="80" w:line="276" w:lineRule="auto"/>
        <w:ind w:right="374"/>
      </w:pPr>
      <w:r>
        <w:rPr>
          <w:rFonts w:ascii="Times New Roman" w:hAnsi="Times New Roman"/>
          <w:sz w:val="22"/>
        </w:rPr>
        <w:t>Figure 9.1. Proposed person-conditioned adaptive loop</w:t>
        <w:tab/>
        <w:t>186</w:t>
      </w:r>
    </w:p>
    <w:p>
      <w:pPr>
        <w:pStyle w:val="TOC1"/>
        <w:keepNext w:val="0"/>
        <w:keepLines/>
        <w:tabs>
          <w:tab w:pos="8496" w:val="right" w:leader="dot"/>
        </w:tabs>
        <w:spacing w:before="0" w:after="80" w:line="276" w:lineRule="auto"/>
        <w:ind w:right="374"/>
      </w:pPr>
      <w:r>
        <w:rPr>
          <w:rFonts w:ascii="Times New Roman" w:hAnsi="Times New Roman"/>
          <w:sz w:val="22"/>
        </w:rPr>
        <w:t>Figure B.1. Distribution of provisional FIAS composite scores across all 30 participants</w:t>
        <w:tab/>
        <w:t>201</w:t>
      </w:r>
    </w:p>
    <w:p>
      <w:pPr>
        <w:pStyle w:val="TOC1"/>
        <w:keepNext w:val="0"/>
        <w:keepLines/>
        <w:tabs>
          <w:tab w:pos="8496" w:val="right" w:leader="dot"/>
        </w:tabs>
        <w:spacing w:before="0" w:after="80" w:line="276" w:lineRule="auto"/>
        <w:ind w:right="374"/>
      </w:pPr>
      <w:r>
        <w:rPr>
          <w:rFonts w:ascii="Times New Roman" w:hAnsi="Times New Roman"/>
          <w:sz w:val="22"/>
        </w:rPr>
        <w:t>Figure I.1. Repository-dated events for Stage 3B</w:t>
        <w:tab/>
        <w:t>233</w:t>
      </w:r>
    </w:p>
    <w:p>
      <w:pPr>
        <w:pStyle w:val="TOC1"/>
        <w:keepNext w:val="0"/>
        <w:keepLines/>
        <w:tabs>
          <w:tab w:pos="8496" w:val="right" w:leader="dot"/>
        </w:tabs>
        <w:spacing w:before="0" w:after="80" w:line="276" w:lineRule="auto"/>
        <w:ind w:right="374"/>
      </w:pPr>
      <w:r>
        <w:rPr>
          <w:rFonts w:ascii="Times New Roman" w:hAnsi="Times New Roman"/>
          <w:sz w:val="22"/>
        </w:rPr>
        <w:t>Figure I.2. Pace multiplier applied to successive practice runs after each feedback → proposal → decision chain (twelve chains, three codes, visit 1)</w:t>
        <w:tab/>
        <w:t>242</w:t>
      </w:r>
    </w:p>
    <w:p>
      <w:pPr>
        <w:pStyle w:val="TOC1"/>
        <w:keepNext w:val="0"/>
        <w:keepLines/>
        <w:tabs>
          <w:tab w:pos="8496" w:val="right" w:leader="dot"/>
        </w:tabs>
        <w:spacing w:before="0" w:after="80" w:line="276" w:lineRule="auto"/>
        <w:ind w:right="374"/>
      </w:pPr>
      <w:r>
        <w:rPr>
          <w:rFonts w:ascii="Times New Roman" w:hAnsi="Times New Roman"/>
          <w:sz w:val="22"/>
        </w:rPr>
        <w:t>Figure I.3. Obstacle-clearance rate on the opening and closing fixed-course checks, Pro record (six pairs, five stored codes, including PFWU9V received on 29 September 2026; pace ×0.85, 20 obstacles, 30 s)</w:t>
        <w:tab/>
        <w:t>243</w:t>
      </w:r>
    </w:p>
    <w:p>
      <w:pPr>
        <w:pStyle w:val="Normal"/>
      </w:pPr>
    </w:p>
    <w:p>
      <w:pPr>
        <w:pStyle w:val="Heading1"/>
      </w:pPr>
      <w:bookmarkStart w:id="3" w:name="_Toc232024494"/>
      <w:r>
        <w:rPr>
          <w:lang w:val="en-US" w:eastAsia="en-US" w:bidi="ar-SA"/>
          <w:color w:val="000000"/>
          <w:szCs w:val="28"/>
        </w:rPr>
        <w:t>List of Tables</w:t>
      </w:r>
      <w:bookmarkEnd w:id="3"/>
    </w:p>
    <w:p>
      <w:pPr>
        <w:pStyle w:val="TOC1"/>
        <w:keepNext w:val="0"/>
        <w:keepLines/>
        <w:tabs>
          <w:tab w:pos="8496" w:val="right" w:leader="dot"/>
        </w:tabs>
        <w:spacing w:before="0" w:after="80" w:line="276" w:lineRule="auto"/>
        <w:ind w:right="374"/>
      </w:pPr>
      <w:r>
        <w:rPr>
          <w:rFonts w:ascii="Times New Roman" w:hAnsi="Times New Roman"/>
          <w:sz w:val="22"/>
        </w:rPr>
        <w:t>Table 2.1. From the unmet design expectation to candidate mechanisms and prospective tests</w:t>
        <w:tab/>
        <w:t>21</w:t>
      </w:r>
    </w:p>
    <w:p>
      <w:pPr>
        <w:pStyle w:val="TOC1"/>
        <w:keepNext w:val="0"/>
        <w:keepLines/>
        <w:tabs>
          <w:tab w:pos="8496" w:val="right" w:leader="dot"/>
        </w:tabs>
        <w:spacing w:before="0" w:after="80" w:line="276" w:lineRule="auto"/>
        <w:ind w:right="374"/>
      </w:pPr>
      <w:r>
        <w:rPr>
          <w:rFonts w:ascii="Times New Roman" w:hAnsi="Times New Roman"/>
          <w:sz w:val="22"/>
        </w:rPr>
        <w:t>Table 2.2. The five-stage literature journey: what each stage establishes, the question it leaves open, and where the programme takes it up</w:t>
        <w:tab/>
        <w:t>32</w:t>
      </w:r>
    </w:p>
    <w:p>
      <w:pPr>
        <w:pStyle w:val="TOC1"/>
        <w:keepNext w:val="0"/>
        <w:keepLines/>
        <w:tabs>
          <w:tab w:pos="8496" w:val="right" w:leader="dot"/>
        </w:tabs>
        <w:spacing w:before="0" w:after="80" w:line="276" w:lineRule="auto"/>
        <w:ind w:right="374"/>
      </w:pPr>
      <w:r>
        <w:rPr>
          <w:rFonts w:ascii="Times New Roman" w:hAnsi="Times New Roman"/>
          <w:sz w:val="22"/>
        </w:rPr>
        <w:t>Table 2.3. From literature to research design: each empirical activity read against the literature stage it tests</w:t>
        <w:tab/>
        <w:t>35</w:t>
      </w:r>
    </w:p>
    <w:p>
      <w:pPr>
        <w:pStyle w:val="TOC1"/>
        <w:keepNext w:val="0"/>
        <w:keepLines/>
        <w:tabs>
          <w:tab w:pos="8496" w:val="right" w:leader="dot"/>
        </w:tabs>
        <w:spacing w:before="0" w:after="80" w:line="276" w:lineRule="auto"/>
        <w:ind w:right="374"/>
      </w:pPr>
      <w:r>
        <w:rPr>
          <w:rFonts w:ascii="Times New Roman" w:hAnsi="Times New Roman"/>
          <w:sz w:val="22"/>
        </w:rPr>
        <w:t>Table 3.1. The hypothesis architecture of the programme: where each claim originates, is stated, is tested, and stands</w:t>
        <w:tab/>
        <w:t>42</w:t>
      </w:r>
    </w:p>
    <w:p>
      <w:pPr>
        <w:pStyle w:val="TOC1"/>
        <w:keepNext w:val="0"/>
        <w:keepLines/>
        <w:tabs>
          <w:tab w:pos="8496" w:val="right" w:leader="dot"/>
        </w:tabs>
        <w:spacing w:before="0" w:after="80" w:line="276" w:lineRule="auto"/>
        <w:ind w:right="374"/>
      </w:pPr>
      <w:r>
        <w:rPr>
          <w:rFonts w:ascii="Times New Roman" w:hAnsi="Times New Roman"/>
          <w:sz w:val="22"/>
        </w:rPr>
        <w:t>Table 3.1A. Programme timeline: programme activities in programme order, 2023 – October 2026, with the chapter that reports each; the Stage-3B row is stated at the 30 September 2026 cut-off of that record</w:t>
        <w:tab/>
        <w:t>44</w:t>
      </w:r>
    </w:p>
    <w:p>
      <w:pPr>
        <w:pStyle w:val="TOC1"/>
        <w:keepNext w:val="0"/>
        <w:keepLines/>
        <w:tabs>
          <w:tab w:pos="8496" w:val="right" w:leader="dot"/>
        </w:tabs>
        <w:spacing w:before="0" w:after="80" w:line="276" w:lineRule="auto"/>
        <w:ind w:right="374"/>
      </w:pPr>
      <w:r>
        <w:rPr>
          <w:rFonts w:ascii="Times New Roman" w:hAnsi="Times New Roman"/>
          <w:sz w:val="22"/>
        </w:rPr>
        <w:t>Table 4.1. Stage-1 survey results (N = 200 residents surveyed, of a resident population of 280)</w:t>
        <w:tab/>
        <w:t>58</w:t>
      </w:r>
    </w:p>
    <w:p>
      <w:pPr>
        <w:pStyle w:val="TOC1"/>
        <w:keepNext w:val="0"/>
        <w:keepLines/>
        <w:tabs>
          <w:tab w:pos="8496" w:val="right" w:leader="dot"/>
        </w:tabs>
        <w:spacing w:before="0" w:after="80" w:line="276" w:lineRule="auto"/>
        <w:ind w:right="374"/>
      </w:pPr>
      <w:r>
        <w:rPr>
          <w:rFonts w:ascii="Times New Roman" w:hAnsi="Times New Roman"/>
          <w:sz w:val="22"/>
        </w:rPr>
        <w:t>Table 4.2. TAM limitations for older-adult FRA users</w:t>
        <w:tab/>
        <w:t>59</w:t>
      </w:r>
    </w:p>
    <w:p>
      <w:pPr>
        <w:pStyle w:val="TOC1"/>
        <w:keepNext w:val="0"/>
        <w:keepLines/>
        <w:tabs>
          <w:tab w:pos="8496" w:val="right" w:leader="dot"/>
        </w:tabs>
        <w:spacing w:before="0" w:after="80" w:line="276" w:lineRule="auto"/>
        <w:ind w:right="374"/>
      </w:pPr>
      <w:r>
        <w:rPr>
          <w:rFonts w:ascii="Times New Roman" w:hAnsi="Times New Roman"/>
          <w:sz w:val="22"/>
        </w:rPr>
        <w:t>Table 4.3. Octalysis drives contextualised against STAM characteristics</w:t>
        <w:tab/>
        <w:t>61</w:t>
      </w:r>
    </w:p>
    <w:p>
      <w:pPr>
        <w:pStyle w:val="TOC1"/>
        <w:keepNext w:val="0"/>
        <w:keepLines/>
        <w:tabs>
          <w:tab w:pos="8496" w:val="right" w:leader="dot"/>
        </w:tabs>
        <w:spacing w:before="0" w:after="80" w:line="276" w:lineRule="auto"/>
        <w:ind w:right="374"/>
      </w:pPr>
      <w:r>
        <w:rPr>
          <w:rFonts w:ascii="Times New Roman" w:hAnsi="Times New Roman"/>
          <w:sz w:val="22"/>
        </w:rPr>
        <w:t>Table 5.0. Parameters of the early Stage-3 build (index.html, Appendix G item G.18; extract from Game_States_and_Parameters.xlsx, item G.14)</w:t>
        <w:tab/>
        <w:t>68</w:t>
      </w:r>
    </w:p>
    <w:p>
      <w:pPr>
        <w:pStyle w:val="TOC1"/>
        <w:keepNext w:val="0"/>
        <w:keepLines/>
        <w:tabs>
          <w:tab w:pos="8496" w:val="right" w:leader="dot"/>
        </w:tabs>
        <w:spacing w:before="0" w:after="80" w:line="276" w:lineRule="auto"/>
        <w:ind w:right="374"/>
      </w:pPr>
      <w:r>
        <w:rPr>
          <w:rFonts w:ascii="Times New Roman" w:hAnsi="Times New Roman"/>
          <w:sz w:val="22"/>
        </w:rPr>
        <w:t>Table 5.1. Skiing game data structure summary</w:t>
        <w:tab/>
        <w:t>77</w:t>
      </w:r>
    </w:p>
    <w:p>
      <w:pPr>
        <w:pStyle w:val="TOC1"/>
        <w:keepNext w:val="0"/>
        <w:keepLines/>
        <w:tabs>
          <w:tab w:pos="8496" w:val="right" w:leader="dot"/>
        </w:tabs>
        <w:spacing w:before="0" w:after="80" w:line="276" w:lineRule="auto"/>
        <w:ind w:right="374"/>
      </w:pPr>
      <w:r>
        <w:rPr>
          <w:rFonts w:ascii="Times New Roman" w:hAnsi="Times New Roman"/>
          <w:sz w:val="22"/>
        </w:rPr>
        <w:t>Table 5.2. Stage-2 engagement pattern (N = 30)</w:t>
        <w:tab/>
        <w:t>88</w:t>
      </w:r>
    </w:p>
    <w:p>
      <w:pPr>
        <w:pStyle w:val="TOC1"/>
        <w:keepNext w:val="0"/>
        <w:keepLines/>
        <w:tabs>
          <w:tab w:pos="8496" w:val="right" w:leader="dot"/>
        </w:tabs>
        <w:spacing w:before="0" w:after="80" w:line="276" w:lineRule="auto"/>
        <w:ind w:right="374"/>
      </w:pPr>
      <w:r>
        <w:rPr>
          <w:rFonts w:ascii="Times New Roman" w:hAnsi="Times New Roman"/>
          <w:sz w:val="22"/>
        </w:rPr>
        <w:t>Table 5.3. Qualitative requirements mapping (QFD-style): user needs evidenced by the Stage-1 and Stage-2 data (the Stage-1 figure is an aggregate record whose per-respondent file is not archived, Table 4.1 and Appendix G item G.1), mapped onto the game's technical characteristics</w:t>
        <w:tab/>
        <w:t>93</w:t>
      </w:r>
    </w:p>
    <w:p>
      <w:pPr>
        <w:pStyle w:val="TOC1"/>
        <w:keepNext w:val="0"/>
        <w:keepLines/>
        <w:tabs>
          <w:tab w:pos="8496" w:val="right" w:leader="dot"/>
        </w:tabs>
        <w:spacing w:before="0" w:after="80" w:line="276" w:lineRule="auto"/>
        <w:ind w:right="374"/>
      </w:pPr>
      <w:r>
        <w:rPr>
          <w:rFonts w:ascii="Times New Roman" w:hAnsi="Times New Roman"/>
          <w:sz w:val="22"/>
        </w:rPr>
        <w:t>Table 6.1. Stage-3 overall engagement and dropout (N = 120)</w:t>
        <w:tab/>
        <w:t>108</w:t>
      </w:r>
    </w:p>
    <w:p>
      <w:pPr>
        <w:pStyle w:val="TOC1"/>
        <w:keepNext w:val="0"/>
        <w:keepLines/>
        <w:tabs>
          <w:tab w:pos="8496" w:val="right" w:leader="dot"/>
        </w:tabs>
        <w:spacing w:before="0" w:after="80" w:line="276" w:lineRule="auto"/>
        <w:ind w:right="374"/>
      </w:pPr>
      <w:r>
        <w:rPr>
          <w:rFonts w:ascii="Times New Roman" w:hAnsi="Times New Roman"/>
          <w:sz w:val="22"/>
        </w:rPr>
        <w:t>Table 6.2. Stage-3 age-stratified engagement</w:t>
        <w:tab/>
        <w:t>109</w:t>
      </w:r>
    </w:p>
    <w:p>
      <w:pPr>
        <w:pStyle w:val="TOC1"/>
        <w:keepNext w:val="0"/>
        <w:keepLines/>
        <w:tabs>
          <w:tab w:pos="8496" w:val="right" w:leader="dot"/>
        </w:tabs>
        <w:spacing w:before="0" w:after="80" w:line="276" w:lineRule="auto"/>
        <w:ind w:right="374"/>
      </w:pPr>
      <w:r>
        <w:rPr>
          <w:rFonts w:ascii="Times New Roman" w:hAnsi="Times New Roman"/>
          <w:sz w:val="22"/>
        </w:rPr>
        <w:t>Table 6.3. Stage-3 coordination endorsement and regular-use intention by age band</w:t>
        <w:tab/>
        <w:t>110</w:t>
      </w:r>
    </w:p>
    <w:p>
      <w:pPr>
        <w:pStyle w:val="TOC1"/>
        <w:keepNext w:val="0"/>
        <w:keepLines/>
        <w:tabs>
          <w:tab w:pos="8496" w:val="right" w:leader="dot"/>
        </w:tabs>
        <w:spacing w:before="0" w:after="80" w:line="276" w:lineRule="auto"/>
        <w:ind w:right="374"/>
      </w:pPr>
      <w:r>
        <w:rPr>
          <w:rFonts w:ascii="Times New Roman" w:hAnsi="Times New Roman"/>
          <w:sz w:val="22"/>
        </w:rPr>
        <w:t>Table 6.4. Three-tier nested model specification for the FIAS-vs-TAM/STAM quantitative comparison</w:t>
        <w:tab/>
        <w:t>118</w:t>
      </w:r>
    </w:p>
    <w:p>
      <w:pPr>
        <w:pStyle w:val="TOC1"/>
        <w:keepNext w:val="0"/>
        <w:keepLines/>
        <w:tabs>
          <w:tab w:pos="8496" w:val="right" w:leader="dot"/>
        </w:tabs>
        <w:spacing w:before="0" w:after="80" w:line="276" w:lineRule="auto"/>
        <w:ind w:right="374"/>
      </w:pPr>
      <w:r>
        <w:rPr>
          <w:rFonts w:ascii="Times New Roman" w:hAnsi="Times New Roman"/>
          <w:sz w:val="22"/>
        </w:rPr>
        <w:t>Table 6.5. Consolidated statistical results for the key contrasts of Stages 2 and 3</w:t>
        <w:tab/>
        <w:t>120</w:t>
      </w:r>
    </w:p>
    <w:p>
      <w:pPr>
        <w:pStyle w:val="TOC1"/>
        <w:keepNext w:val="0"/>
        <w:keepLines/>
        <w:tabs>
          <w:tab w:pos="8496" w:val="right" w:leader="dot"/>
        </w:tabs>
        <w:spacing w:before="0" w:after="80" w:line="276" w:lineRule="auto"/>
        <w:ind w:right="374"/>
      </w:pPr>
      <w:r>
        <w:rPr>
          <w:rFonts w:ascii="Times New Roman" w:hAnsi="Times New Roman"/>
          <w:sz w:val="22"/>
        </w:rPr>
        <w:t>Table 7.1. Adaptive-learning principles, function and empirical anchor</w:t>
        <w:tab/>
        <w:t>128</w:t>
      </w:r>
    </w:p>
    <w:p>
      <w:pPr>
        <w:pStyle w:val="TOC1"/>
        <w:keepNext w:val="0"/>
        <w:keepLines/>
        <w:tabs>
          <w:tab w:pos="8496" w:val="right" w:leader="dot"/>
        </w:tabs>
        <w:spacing w:before="0" w:after="80" w:line="276" w:lineRule="auto"/>
        <w:ind w:right="374"/>
      </w:pPr>
      <w:r>
        <w:rPr>
          <w:rFonts w:ascii="Times New Roman" w:hAnsi="Times New Roman"/>
          <w:sz w:val="22"/>
        </w:rPr>
        <w:t>Table 7.2. Adaptive-learning reference stack (L0–L7) mapped to adaptive-learning principles</w:t>
        <w:tab/>
        <w:t>130</w:t>
      </w:r>
    </w:p>
    <w:p>
      <w:pPr>
        <w:pStyle w:val="TOC1"/>
        <w:keepNext w:val="0"/>
        <w:keepLines/>
        <w:tabs>
          <w:tab w:pos="8496" w:val="right" w:leader="dot"/>
        </w:tabs>
        <w:spacing w:before="0" w:after="80" w:line="276" w:lineRule="auto"/>
        <w:ind w:right="374"/>
      </w:pPr>
      <w:r>
        <w:rPr>
          <w:rFonts w:ascii="Times New Roman" w:hAnsi="Times New Roman"/>
          <w:sz w:val="22"/>
        </w:rPr>
        <w:t>Table 7.3. Interpreting progress when an adaptive task changes</w:t>
        <w:tab/>
        <w:t>133</w:t>
      </w:r>
    </w:p>
    <w:p>
      <w:pPr>
        <w:pStyle w:val="TOC1"/>
        <w:keepNext w:val="0"/>
        <w:keepLines/>
        <w:tabs>
          <w:tab w:pos="8496" w:val="right" w:leader="dot"/>
        </w:tabs>
        <w:spacing w:before="0" w:after="80" w:line="276" w:lineRule="auto"/>
        <w:ind w:right="374"/>
      </w:pPr>
      <w:r>
        <w:rPr>
          <w:rFonts w:ascii="Times New Roman" w:hAnsi="Times New Roman"/>
          <w:sz w:val="22"/>
        </w:rPr>
        <w:t>Table 8.0. The four contribution registers and where each is stated</w:t>
        <w:tab/>
        <w:t>145</w:t>
      </w:r>
    </w:p>
    <w:p>
      <w:pPr>
        <w:pStyle w:val="TOC1"/>
        <w:keepNext w:val="0"/>
        <w:keepLines/>
        <w:tabs>
          <w:tab w:pos="8496" w:val="right" w:leader="dot"/>
        </w:tabs>
        <w:spacing w:before="0" w:after="80" w:line="276" w:lineRule="auto"/>
        <w:ind w:right="374"/>
      </w:pPr>
      <w:r>
        <w:rPr>
          <w:rFonts w:ascii="Times New Roman" w:hAnsi="Times New Roman"/>
          <w:sz w:val="22"/>
        </w:rPr>
        <w:t>Table 9.1. The programme diary: knowledge evolution in programme order, 2023 – October 2026</w:t>
        <w:tab/>
        <w:t>169</w:t>
      </w:r>
    </w:p>
    <w:p>
      <w:pPr>
        <w:pStyle w:val="TOC1"/>
        <w:keepNext w:val="0"/>
        <w:keepLines/>
        <w:tabs>
          <w:tab w:pos="8496" w:val="right" w:leader="dot"/>
        </w:tabs>
        <w:spacing w:before="0" w:after="80" w:line="276" w:lineRule="auto"/>
        <w:ind w:right="374"/>
      </w:pPr>
      <w:r>
        <w:rPr>
          <w:rFonts w:ascii="Times New Roman" w:hAnsi="Times New Roman"/>
          <w:sz w:val="22"/>
        </w:rPr>
        <w:t>Table 9.2. The sequence from empirical observations to candidate explanations and a proposed engineering response</w:t>
        <w:tab/>
        <w:t>175</w:t>
      </w:r>
    </w:p>
    <w:p>
      <w:pPr>
        <w:pStyle w:val="TOC1"/>
        <w:keepNext w:val="0"/>
        <w:keepLines/>
        <w:tabs>
          <w:tab w:pos="8496" w:val="right" w:leader="dot"/>
        </w:tabs>
        <w:spacing w:before="0" w:after="80" w:line="276" w:lineRule="auto"/>
        <w:ind w:right="374"/>
      </w:pPr>
      <w:r>
        <w:rPr>
          <w:rFonts w:ascii="Times New Roman" w:hAnsi="Times New Roman"/>
          <w:sz w:val="22"/>
        </w:rPr>
        <w:t>Table 9.3. Deployed Stage-2 adaptation configuration versus a proposed person-conditioned extension</w:t>
        <w:tab/>
        <w:t>185</w:t>
      </w:r>
    </w:p>
    <w:p>
      <w:pPr>
        <w:pStyle w:val="TOC1"/>
        <w:keepNext w:val="0"/>
        <w:keepLines/>
        <w:tabs>
          <w:tab w:pos="8496" w:val="right" w:leader="dot"/>
        </w:tabs>
        <w:spacing w:before="0" w:after="80" w:line="276" w:lineRule="auto"/>
        <w:ind w:right="374"/>
      </w:pPr>
      <w:r>
        <w:rPr>
          <w:rFonts w:ascii="Times New Roman" w:hAnsi="Times New Roman"/>
          <w:sz w:val="22"/>
        </w:rPr>
        <w:t>Table I.1. Status of the Stage-3B record at the 30 September 2026 cut-off (returns received to 30 September 2026)</w:t>
        <w:tab/>
        <w:t>227</w:t>
      </w:r>
    </w:p>
    <w:p>
      <w:pPr>
        <w:pStyle w:val="TOC1"/>
        <w:keepNext w:val="0"/>
        <w:keepLines/>
        <w:tabs>
          <w:tab w:pos="8496" w:val="right" w:leader="dot"/>
        </w:tabs>
        <w:spacing w:before="0" w:after="80" w:line="276" w:lineRule="auto"/>
        <w:ind w:right="374"/>
      </w:pPr>
      <w:r>
        <w:rPr>
          <w:rFonts w:ascii="Times New Roman" w:hAnsi="Times New Roman"/>
          <w:sz w:val="22"/>
        </w:rPr>
        <w:t>Table I.2. Stage-3B build parameters as coded in the frozen study edition (Alpine3B_STUDY_DEV1_FROZEN_2026-09-15.html; SHA-256 in CHECKSUMS.txt)</w:t>
        <w:tab/>
        <w:t>228</w:t>
      </w:r>
    </w:p>
    <w:p>
      <w:pPr>
        <w:pStyle w:val="TOC1"/>
        <w:keepNext w:val="0"/>
        <w:keepLines/>
        <w:tabs>
          <w:tab w:pos="8496" w:val="right" w:leader="dot"/>
        </w:tabs>
        <w:spacing w:before="0" w:after="80" w:line="276" w:lineRule="auto"/>
        <w:ind w:right="374"/>
      </w:pPr>
      <w:r>
        <w:rPr>
          <w:rFonts w:ascii="Times New Roman" w:hAnsi="Times New Roman"/>
          <w:sz w:val="22"/>
        </w:rPr>
        <w:t>Table I.3. Build and distribution lineage, 8 August – 30 September 2026 (dates UTC from the repository log; exposure only as recorded)</w:t>
        <w:tab/>
        <w:t>230</w:t>
      </w:r>
    </w:p>
    <w:p>
      <w:pPr>
        <w:pStyle w:val="TOC1"/>
        <w:keepNext w:val="0"/>
        <w:keepLines/>
        <w:tabs>
          <w:tab w:pos="8496" w:val="right" w:leader="dot"/>
        </w:tabs>
        <w:spacing w:before="0" w:after="80" w:line="276" w:lineRule="auto"/>
        <w:ind w:right="374"/>
      </w:pPr>
      <w:r>
        <w:rPr>
          <w:rFonts w:ascii="Times New Roman" w:hAnsi="Times New Roman"/>
          <w:sz w:val="22"/>
        </w:rPr>
        <w:t>Table I.4. Stage-3B participant returns on record at the 30 September 2026 cut-off (codes only; no names; no outcome values for excluded returns)</w:t>
        <w:tab/>
        <w:t>235</w:t>
      </w:r>
    </w:p>
    <w:p>
      <w:pPr>
        <w:pStyle w:val="TOC1"/>
        <w:keepNext w:val="0"/>
        <w:keepLines/>
        <w:tabs>
          <w:tab w:pos="8496" w:val="right" w:leader="dot"/>
        </w:tabs>
        <w:spacing w:before="0" w:after="80" w:line="276" w:lineRule="auto"/>
        <w:ind w:right="374"/>
      </w:pPr>
      <w:r>
        <w:rPr>
          <w:rFonts w:ascii="Times New Roman" w:hAnsi="Times New Roman"/>
          <w:sz w:val="22"/>
        </w:rPr>
        <w:t>Table I.5. Batch 01 deduplicated units (as stated in the Batch 01 Research Review of 20 September 2026), with seven-code totals including the two later-received exports (PFWU9V, PXG3R9)</w:t>
        <w:tab/>
        <w:t>239</w:t>
      </w:r>
    </w:p>
    <w:p>
      <w:pPr>
        <w:pStyle w:val="TOC1"/>
        <w:keepNext w:val="0"/>
        <w:keepLines/>
        <w:tabs>
          <w:tab w:pos="8496" w:val="right" w:leader="dot"/>
        </w:tabs>
        <w:spacing w:before="0" w:after="80" w:line="276" w:lineRule="auto"/>
        <w:ind w:right="374"/>
      </w:pPr>
      <w:r>
        <w:rPr>
          <w:rFonts w:ascii="Times New Roman" w:hAnsi="Times New Roman"/>
          <w:sz w:val="22"/>
        </w:rPr>
        <w:t>Table I.6. Record-level coverage per stored code (Batch 01 codes as reported; PFWU9V and PXG3R9 from their raw exports)</w:t>
        <w:tab/>
        <w:t>239</w:t>
      </w:r>
    </w:p>
    <w:p>
      <w:pPr>
        <w:pStyle w:val="TOC1"/>
        <w:keepNext w:val="0"/>
        <w:keepLines/>
        <w:tabs>
          <w:tab w:pos="8496" w:val="right" w:leader="dot"/>
        </w:tabs>
        <w:spacing w:before="0" w:after="80" w:line="276" w:lineRule="auto"/>
        <w:ind w:right="374"/>
      </w:pPr>
      <w:r>
        <w:rPr>
          <w:rFonts w:ascii="Times New Roman" w:hAnsi="Times New Roman"/>
          <w:sz w:val="22"/>
        </w:rPr>
        <w:t>Table I.7. Visit-by-visit routes (W = warm-up; Pre/Post = opening/closing fixed-course check; P = practice)</w:t>
        <w:tab/>
        <w:t>240</w:t>
      </w:r>
    </w:p>
    <w:p>
      <w:pPr>
        <w:pStyle w:val="TOC1"/>
        <w:keepNext w:val="0"/>
        <w:keepLines/>
        <w:tabs>
          <w:tab w:pos="8496" w:val="right" w:leader="dot"/>
        </w:tabs>
        <w:spacing w:before="0" w:after="80" w:line="276" w:lineRule="auto"/>
        <w:ind w:right="374"/>
      </w:pPr>
      <w:r>
        <w:rPr>
          <w:rFonts w:ascii="Times New Roman" w:hAnsi="Times New Roman"/>
          <w:sz w:val="22"/>
        </w:rPr>
        <w:t>Table I.8. Decision audit: the twelve feedback → proposal → applied-settings chains (three stored codes; transition numbers are exported Session_No values, which include warm-ups and checks; pace values are multipliers)</w:t>
        <w:tab/>
        <w:t>241</w:t>
      </w:r>
    </w:p>
    <w:p>
      <w:pPr>
        <w:pStyle w:val="TOC1"/>
        <w:keepNext w:val="0"/>
        <w:keepLines/>
        <w:tabs>
          <w:tab w:pos="8496" w:val="right" w:leader="dot"/>
        </w:tabs>
        <w:spacing w:before="0" w:after="80" w:line="276" w:lineRule="auto"/>
        <w:ind w:right="374"/>
      </w:pPr>
      <w:r>
        <w:rPr>
          <w:rFonts w:ascii="Times New Roman" w:hAnsi="Times New Roman"/>
          <w:sz w:val="22"/>
        </w:rPr>
        <w:t>Table I.9. Paired fixed-course checks (opening → closing, within visit; pace ×0.85, 20 obstacles, 30-s planned duration, same input mode within each pair; course forms differ within each pair)</w:t>
        <w:tab/>
        <w:t>242</w:t>
      </w:r>
    </w:p>
    <w:p>
      <w:pPr>
        <w:pStyle w:val="TOC1"/>
        <w:keepNext w:val="0"/>
        <w:keepLines/>
        <w:tabs>
          <w:tab w:pos="8496" w:val="right" w:leader="dot"/>
        </w:tabs>
        <w:spacing w:before="0" w:after="80" w:line="276" w:lineRule="auto"/>
        <w:ind w:right="374"/>
      </w:pPr>
      <w:r>
        <w:rPr>
          <w:rFonts w:ascii="Times New Roman" w:hAnsi="Times New Roman"/>
          <w:sz w:val="22"/>
        </w:rPr>
        <w:t>Table I.10. First-visit questionnaire, one record per stored code, seven codes (five-point scale, strongly disagree to strongly agree; as-administered wording from the deposited Pro v4.1 HTML)</w:t>
        <w:tab/>
        <w:t>243</w:t>
      </w:r>
    </w:p>
    <w:p>
      <w:pPr>
        <w:pStyle w:val="TOC1"/>
        <w:keepNext w:val="0"/>
        <w:keepLines/>
        <w:tabs>
          <w:tab w:pos="8496" w:val="right" w:leader="dot"/>
        </w:tabs>
        <w:spacing w:before="0" w:after="80" w:line="276" w:lineRule="auto"/>
        <w:ind w:right="374"/>
      </w:pPr>
      <w:r>
        <w:rPr>
          <w:rFonts w:ascii="Times New Roman" w:hAnsi="Times New Roman"/>
          <w:sz w:val="22"/>
        </w:rPr>
        <w:t>Table I.11. Exploratory paired statistics reproduced from the Learning Measurement addendum (conditional calculations; assumptions not verified; not confirmatory evidence of an effect or of its absence)</w:t>
        <w:tab/>
        <w:t>244</w:t>
      </w:r>
    </w:p>
    <w:p>
      <w:pPr>
        <w:pStyle w:val="TOC1"/>
        <w:keepNext w:val="0"/>
        <w:keepLines/>
        <w:tabs>
          <w:tab w:pos="8496" w:val="right" w:leader="dot"/>
        </w:tabs>
        <w:spacing w:before="0" w:after="80" w:line="276" w:lineRule="auto"/>
        <w:ind w:right="374"/>
      </w:pPr>
      <w:r>
        <w:rPr>
          <w:rFonts w:ascii="Times New Roman" w:hAnsi="Times New Roman"/>
          <w:sz w:val="22"/>
        </w:rPr>
        <w:t>Table I.12. Gap between the recorded measurement and the adaptive-learning construct</w:t>
        <w:tab/>
        <w:t>246</w:t>
      </w:r>
    </w:p>
    <w:p>
      <w:pPr>
        <w:pStyle w:val="Normal"/>
        <w:spacing w:after="200" w:line="276" w:lineRule="auto"/>
        <w:rPr>
          <w:rFonts w:asciiTheme="majorHAnsi" w:eastAsiaTheme="majorEastAsia" w:hAnsiTheme="majorHAnsi" w:cstheme="majorBidi"/>
          <w:b/>
          <w:bCs/>
          <w:color w:val="000000"/>
          <w:sz w:val="32"/>
          <w:szCs w:val="28"/>
        </w:rPr>
      </w:pPr>
    </w:p>
    <w:p>
      <w:pPr>
        <w:pStyle w:val="Heading1"/>
      </w:pPr>
      <w:r>
        <w:rPr>
          <w:lang w:val="en-US" w:eastAsia="en-US" w:bidi="ar-SA"/>
          <w:color w:val="000000"/>
          <w:szCs w:val="28"/>
        </w:rPr>
        <w:t>List of Abbreviations</w:t>
      </w:r>
    </w:p>
    <w:tbl>
      <w:tblPr>
        <w:tblStyle w:val="TableGrid"/>
        <w:tblW w:w="8505" w:type="dxa"/>
        <w:jc w:val="center"/>
        <w:tblLayout w:type="fixed"/>
        <w:tblLook w:val="04A0" w:firstRow="1" w:lastRow="0" w:firstColumn="1" w:lastColumn="0" w:noHBand="0" w:noVBand="1"/>
      </w:tblPr>
      <w:tblGrid>
        <w:gridCol w:w="2324"/>
        <w:gridCol w:w="6181"/>
      </w:tblGrid>
      <w:tr>
        <w:trPr>
          <w:jc w:val="center"/>
          <w:cantSplit/>
        </w:trPr>
        <w:tc>
          <w:tcPr>
            <w:tcW w:w="2324" w:type="dxa"/>
          </w:tcPr>
          <w:p>
            <w:pPr>
              <w:pStyle w:val="Normal"/>
              <w:keepNext w:val="0"/>
              <w:keepLines/>
            </w:pPr>
            <w:r>
              <w:rPr>
                <w:b w:val="0"/>
                <w:sz w:val="22"/>
                <w:szCs w:val="22"/>
                <w:lang w:val="en-US" w:eastAsia="en-US" w:bidi="ar-SA"/>
                <w:rFonts w:ascii="Times New Roman" w:hAnsi="Times New Roman" w:eastAsia="Times New Roman" w:cs="Times New Roman"/>
              </w:rPr>
              <w:t>AI</w:t>
            </w:r>
          </w:p>
        </w:tc>
        <w:tc>
          <w:tcPr>
            <w:tcW w:w="6181" w:type="dxa"/>
          </w:tcPr>
          <w:p>
            <w:pPr>
              <w:pStyle w:val="Normal"/>
              <w:keepNext w:val="0"/>
              <w:keepLines/>
            </w:pPr>
            <w:r>
              <w:rPr>
                <w:b w:val="0"/>
                <w:sz w:val="22"/>
                <w:szCs w:val="22"/>
                <w:lang w:val="en-US" w:eastAsia="en-US" w:bidi="ar-SA"/>
                <w:rFonts w:ascii="Times New Roman" w:hAnsi="Times New Roman" w:eastAsia="Times New Roman" w:cs="Times New Roman"/>
              </w:rPr>
              <w:t>Artificial Intelligence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AIC / BIC</w:t>
            </w:r>
          </w:p>
        </w:tc>
        <w:tc>
          <w:tcPr>
            <w:tcW w:w="6181" w:type="dxa"/>
          </w:tcPr>
          <w:p>
            <w:pPr>
              <w:pStyle w:val="Normal"/>
            </w:pPr>
            <w:r>
              <w:rPr>
                <w:sz w:val="20"/>
                <w:szCs w:val="22"/>
                <w:lang w:val="en-US" w:eastAsia="en-US" w:bidi="ar-SA"/>
                <w:rFonts w:ascii="Times New Roman" w:hAnsi="Times New Roman" w:eastAsia="Times New Roman" w:cs="Times New Roman"/>
              </w:rPr>
              <w:t>Akaike / Bayesian Information Criterion</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AUC</w:t>
            </w:r>
          </w:p>
        </w:tc>
        <w:tc>
          <w:tcPr>
            <w:tcW w:w="6181" w:type="dxa"/>
          </w:tcPr>
          <w:p>
            <w:pPr>
              <w:pStyle w:val="Normal"/>
            </w:pPr>
            <w:r>
              <w:rPr>
                <w:sz w:val="20"/>
                <w:szCs w:val="22"/>
                <w:lang w:val="en-US" w:eastAsia="en-US" w:bidi="ar-SA"/>
                <w:rFonts w:ascii="Times New Roman" w:hAnsi="Times New Roman" w:eastAsia="Times New Roman" w:cs="Times New Roman"/>
              </w:rPr>
              <w:t>Area Under the (ROC) Curve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BIA</w:t>
            </w:r>
          </w:p>
        </w:tc>
        <w:tc>
          <w:tcPr>
            <w:tcW w:w="6181" w:type="dxa"/>
          </w:tcPr>
          <w:p>
            <w:pPr>
              <w:pStyle w:val="Normal"/>
            </w:pPr>
            <w:r>
              <w:rPr>
                <w:sz w:val="20"/>
                <w:szCs w:val="22"/>
                <w:lang w:val="en-US" w:eastAsia="en-US" w:bidi="ar-SA"/>
                <w:rFonts w:ascii="Times New Roman" w:hAnsi="Times New Roman" w:eastAsia="Times New Roman" w:cs="Times New Roman"/>
              </w:rPr>
              <w:t>Bioelectrical-impedance analysis station (InBody BIA station, optionally linked to the FRA510S; §4.1A)</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CI</w:t>
            </w:r>
          </w:p>
        </w:tc>
        <w:tc>
          <w:tcPr>
            <w:tcW w:w="6181" w:type="dxa"/>
          </w:tcPr>
          <w:p>
            <w:pPr>
              <w:pStyle w:val="Normal"/>
            </w:pPr>
            <w:r>
              <w:rPr>
                <w:sz w:val="20"/>
                <w:szCs w:val="22"/>
                <w:lang w:val="en-US" w:eastAsia="en-US" w:bidi="ar-SA"/>
                <w:rFonts w:ascii="Times New Roman" w:hAnsi="Times New Roman" w:eastAsia="Times New Roman" w:cs="Times New Roman"/>
              </w:rPr>
              <w:t>Confidence Interval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COP</w:t>
            </w:r>
          </w:p>
        </w:tc>
        <w:tc>
          <w:tcPr>
            <w:tcW w:w="6181" w:type="dxa"/>
          </w:tcPr>
          <w:p>
            <w:pPr>
              <w:pStyle w:val="Normal"/>
            </w:pPr>
            <w:r>
              <w:rPr>
                <w:sz w:val="20"/>
                <w:szCs w:val="22"/>
                <w:lang w:val="en-US" w:eastAsia="en-US" w:bidi="ar-SA"/>
                <w:rFonts w:ascii="Times New Roman" w:hAnsi="Times New Roman" w:eastAsia="Times New Roman" w:cs="Times New Roman"/>
              </w:rPr>
              <w:t>Centre of Pressure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FES-I</w:t>
            </w:r>
          </w:p>
        </w:tc>
        <w:tc>
          <w:tcPr>
            <w:tcW w:w="6181" w:type="dxa"/>
          </w:tcPr>
          <w:p>
            <w:pPr>
              <w:pStyle w:val="Normal"/>
            </w:pPr>
            <w:r>
              <w:rPr>
                <w:sz w:val="20"/>
                <w:szCs w:val="22"/>
                <w:lang w:val="en-US" w:eastAsia="en-US" w:bidi="ar-SA"/>
                <w:rFonts w:ascii="Times New Roman" w:hAnsi="Times New Roman" w:eastAsia="Times New Roman" w:cs="Times New Roman"/>
              </w:rPr>
              <w:t>Falls Efficacy Scale – International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FIAS</w:t>
            </w:r>
          </w:p>
        </w:tc>
        <w:tc>
          <w:tcPr>
            <w:tcW w:w="6181" w:type="dxa"/>
          </w:tcPr>
          <w:p>
            <w:pPr>
              <w:pStyle w:val="Normal"/>
            </w:pPr>
            <w:r>
              <w:rPr>
                <w:sz w:val="20"/>
                <w:szCs w:val="22"/>
                <w:lang w:val="en-US" w:eastAsia="en-US" w:bidi="ar-SA"/>
                <w:rFonts w:ascii="Times New Roman" w:hAnsi="Times New Roman" w:eastAsia="Times New Roman" w:cs="Times New Roman"/>
              </w:rPr>
              <w:t>Failure-Induced Abandonment Syndrome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FIDS</w:t>
            </w:r>
          </w:p>
        </w:tc>
        <w:tc>
          <w:tcPr>
            <w:tcW w:w="6181" w:type="dxa"/>
          </w:tcPr>
          <w:p>
            <w:pPr>
              <w:pStyle w:val="Normal"/>
            </w:pPr>
            <w:r>
              <w:rPr>
                <w:sz w:val="20"/>
                <w:szCs w:val="22"/>
                <w:lang w:val="en-US" w:eastAsia="en-US" w:bidi="ar-SA"/>
                <w:rFonts w:ascii="Times New Roman" w:hAnsi="Times New Roman" w:eastAsia="Times New Roman" w:cs="Times New Roman"/>
              </w:rPr>
              <w:t>Failure-Induced Dropout Syndrome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F0–F4</w:t>
            </w:r>
          </w:p>
        </w:tc>
        <w:tc>
          <w:tcPr>
            <w:tcW w:w="6181" w:type="dxa"/>
          </w:tcPr>
          <w:p>
            <w:pPr>
              <w:pStyle w:val="Normal"/>
            </w:pPr>
            <w:r>
              <w:rPr>
                <w:sz w:val="20"/>
                <w:szCs w:val="22"/>
                <w:lang w:val="en-US" w:eastAsia="en-US" w:bidi="ar-SA"/>
                <w:rFonts w:ascii="Times New Roman" w:hAnsi="Times New Roman" w:eastAsia="Times New Roman" w:cs="Times New Roman"/>
              </w:rPr>
              <w:t>Stage-2 FIAS coding categories (Appendix B); F4 = observed non-return under the study definition (the F4 cluster, §5.6)</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FRA</w:t>
            </w:r>
          </w:p>
        </w:tc>
        <w:tc>
          <w:tcPr>
            <w:tcW w:w="6181" w:type="dxa"/>
          </w:tcPr>
          <w:p>
            <w:pPr>
              <w:pStyle w:val="Normal"/>
            </w:pPr>
            <w:r>
              <w:rPr>
                <w:sz w:val="20"/>
                <w:szCs w:val="22"/>
                <w:lang w:val="en-US" w:eastAsia="en-US" w:bidi="ar-SA"/>
                <w:rFonts w:ascii="Times New Roman" w:hAnsi="Times New Roman" w:eastAsia="Times New Roman" w:cs="Times New Roman"/>
              </w:rPr>
              <w:t>Fall Risk Assessment</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GO</w:t>
            </w:r>
          </w:p>
        </w:tc>
        <w:tc>
          <w:tcPr>
            <w:tcW w:w="6181" w:type="dxa"/>
          </w:tcPr>
          <w:p>
            <w:pPr>
              <w:pStyle w:val="Normal"/>
            </w:pPr>
            <w:r>
              <w:rPr>
                <w:sz w:val="20"/>
                <w:szCs w:val="22"/>
                <w:lang w:val="en-US" w:eastAsia="en-US" w:bidi="ar-SA"/>
                <w:rFonts w:ascii="Times New Roman" w:hAnsi="Times New Roman" w:eastAsia="Times New Roman" w:cs="Times New Roman"/>
              </w:rPr>
              <w:t>Game-over failure mode (Stage-3B component study): the third bump ends the run</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HSEARS</w:t>
            </w:r>
          </w:p>
        </w:tc>
        <w:tc>
          <w:tcPr>
            <w:tcW w:w="6181" w:type="dxa"/>
          </w:tcPr>
          <w:p>
            <w:pPr>
              <w:pStyle w:val="Normal"/>
            </w:pPr>
            <w:r>
              <w:rPr>
                <w:sz w:val="20"/>
                <w:szCs w:val="22"/>
                <w:lang w:val="en-US" w:eastAsia="en-US" w:bidi="ar-SA"/>
                <w:rFonts w:ascii="Times New Roman" w:hAnsi="Times New Roman" w:eastAsia="Times New Roman" w:cs="Times New Roman"/>
              </w:rPr>
              <w:t>PolyU Human Subjects Ethics Application Review System (the ethics approval reference, §3.4)</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M0 / M1 / M2</w:t>
            </w:r>
          </w:p>
        </w:tc>
        <w:tc>
          <w:tcPr>
            <w:tcW w:w="6181" w:type="dxa"/>
          </w:tcPr>
          <w:p>
            <w:pPr>
              <w:pStyle w:val="Normal"/>
            </w:pPr>
            <w:r>
              <w:rPr>
                <w:sz w:val="20"/>
                <w:szCs w:val="22"/>
                <w:lang w:val="en-US" w:eastAsia="en-US" w:bidi="ar-SA"/>
                <w:rFonts w:ascii="Times New Roman" w:hAnsi="Times New Roman" w:eastAsia="Times New Roman" w:cs="Times New Roman"/>
              </w:rPr>
              <w:t>Nested models of the proposed quantitative comparison (Table 6.4; §6.10.1): demographic baseline, STAM-only, STAM with FIAS operators</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NASSS</w:t>
            </w:r>
          </w:p>
        </w:tc>
        <w:tc>
          <w:tcPr>
            <w:tcW w:w="6181" w:type="dxa"/>
          </w:tcPr>
          <w:p>
            <w:pPr>
              <w:pStyle w:val="Normal"/>
            </w:pPr>
            <w:r>
              <w:rPr>
                <w:sz w:val="20"/>
                <w:szCs w:val="22"/>
                <w:lang w:val="en-US" w:eastAsia="en-US" w:bidi="ar-SA"/>
                <w:rFonts w:ascii="Times New Roman" w:hAnsi="Times New Roman" w:eastAsia="Times New Roman" w:cs="Times New Roman"/>
              </w:rPr>
              <w:t>Non-adoption, Abandonment, Scale-up, Spread and Sustainability framework (§2.7.2)</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PEOU</w:t>
            </w:r>
          </w:p>
        </w:tc>
        <w:tc>
          <w:tcPr>
            <w:tcW w:w="6181" w:type="dxa"/>
          </w:tcPr>
          <w:p>
            <w:pPr>
              <w:pStyle w:val="Normal"/>
            </w:pPr>
            <w:r>
              <w:rPr>
                <w:sz w:val="20"/>
                <w:szCs w:val="22"/>
                <w:lang w:val="en-US" w:eastAsia="en-US" w:bidi="ar-SA"/>
                <w:rFonts w:ascii="Times New Roman" w:hAnsi="Times New Roman" w:eastAsia="Times New Roman" w:cs="Times New Roman"/>
              </w:rPr>
              <w:t>Perceived Ease of Use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PIPL</w:t>
            </w:r>
          </w:p>
        </w:tc>
        <w:tc>
          <w:tcPr>
            <w:tcW w:w="6181" w:type="dxa"/>
          </w:tcPr>
          <w:p>
            <w:pPr>
              <w:pStyle w:val="Normal"/>
            </w:pPr>
            <w:r>
              <w:rPr>
                <w:sz w:val="20"/>
                <w:szCs w:val="22"/>
                <w:lang w:val="en-US" w:eastAsia="en-US" w:bidi="ar-SA"/>
                <w:rFonts w:ascii="Times New Roman" w:hAnsi="Times New Roman" w:eastAsia="Times New Roman" w:cs="Times New Roman"/>
              </w:rPr>
              <w:t>Personal Information Protection Law (PRC)</w:t>
            </w:r>
          </w:p>
        </w:tc>
      </w:tr>
      <w:tr>
        <w:trPr>
          <w:jc w:val="center"/>
          <w:cantSplit/>
        </w:trPr>
        <w:tc>
          <w:tcPr>
            <w:tcW w:w="2324" w:type="dxa"/>
          </w:tcPr>
          <w:p>
            <w:pPr>
              <w:pStyle w:val="Normal"/>
            </w:pPr>
            <w:r>
              <w:rPr>
                <w:szCs w:val="22"/>
                <w:lang w:val="en-US" w:eastAsia="en-US" w:bidi="ar-SA"/>
                <w:rFonts w:ascii="Times New Roman" w:hAnsi="Times New Roman" w:eastAsia="Times New Roman" w:cs="Times New Roman"/>
                <w:sz w:val="20"/>
              </w:rPr>
              <w:t>PU</w:t>
            </w:r>
          </w:p>
        </w:tc>
        <w:tc>
          <w:tcPr>
            <w:tcW w:w="6181" w:type="dxa"/>
          </w:tcPr>
          <w:p>
            <w:pPr>
              <w:pStyle w:val="Normal"/>
            </w:pPr>
            <w:r>
              <w:rPr>
                <w:sz w:val="20"/>
                <w:szCs w:val="22"/>
                <w:lang w:val="en-US" w:eastAsia="en-US" w:bidi="ar-SA"/>
                <w:rFonts w:ascii="Times New Roman" w:hAnsi="Times New Roman" w:eastAsia="Times New Roman" w:cs="Times New Roman"/>
              </w:rPr>
              <w:t>Perceived Usefulness</w:t>
            </w:r>
          </w:p>
        </w:tc>
      </w:tr>
      <w:tr>
        <w:trPr>
          <w:jc w:val="center"/>
          <w:cantSplit/>
        </w:trPr>
        <w:tc>
          <w:tcPr>
            <w:tcW w:w="2324" w:type="dxa"/>
          </w:tcPr>
          <w:p>
            <w:pPr>
              <w:pStyle w:val="Normal"/>
            </w:pPr>
            <w:r>
              <w:rPr>
                <w:szCs w:val="22"/>
                <w:lang w:val="en-US" w:eastAsia="en-US" w:bidi="ar-SA"/>
                <w:rFonts w:ascii="Times New Roman" w:hAnsi="Times New Roman" w:eastAsia="Times New Roman" w:cs="Times New Roman"/>
                <w:sz w:val="20"/>
              </w:rPr>
              <w:t>QFD</w:t>
            </w:r>
          </w:p>
        </w:tc>
        <w:tc>
          <w:tcPr>
            <w:tcW w:w="6181" w:type="dxa"/>
          </w:tcPr>
          <w:p>
            <w:pPr>
              <w:pStyle w:val="Normal"/>
            </w:pPr>
            <w:r>
              <w:rPr>
                <w:sz w:val="20"/>
                <w:szCs w:val="22"/>
                <w:lang w:val="en-US" w:eastAsia="en-US" w:bidi="ar-SA"/>
                <w:rFonts w:ascii="Times New Roman" w:hAnsi="Times New Roman" w:eastAsia="Times New Roman" w:cs="Times New Roman"/>
              </w:rPr>
              <w:t>Quality Function Deployment (§5.5A)</w:t>
            </w:r>
          </w:p>
        </w:tc>
      </w:tr>
      <w:tr>
        <w:trPr>
          <w:jc w:val="center"/>
          <w:cantSplit/>
        </w:trPr>
        <w:tc>
          <w:tcPr>
            <w:tcW w:w="2324" w:type="dxa"/>
          </w:tcPr>
          <w:p>
            <w:pPr>
              <w:pStyle w:val="Normal"/>
            </w:pPr>
            <w:r>
              <w:rPr>
                <w:szCs w:val="22"/>
                <w:lang w:val="en-US" w:eastAsia="en-US" w:bidi="ar-SA"/>
                <w:rFonts w:ascii="Times New Roman" w:hAnsi="Times New Roman" w:eastAsia="Times New Roman" w:cs="Times New Roman"/>
                <w:sz w:val="20"/>
              </w:rPr>
              <w:t>SDT</w:t>
            </w:r>
          </w:p>
        </w:tc>
        <w:tc>
          <w:tcPr>
            <w:tcW w:w="6181" w:type="dxa"/>
          </w:tcPr>
          <w:p>
            <w:pPr>
              <w:pStyle w:val="Normal"/>
            </w:pPr>
            <w:r>
              <w:rPr>
                <w:sz w:val="20"/>
                <w:szCs w:val="22"/>
                <w:lang w:val="en-US" w:eastAsia="en-US" w:bidi="ar-SA"/>
                <w:rFonts w:ascii="Times New Roman" w:hAnsi="Times New Roman" w:eastAsia="Times New Roman" w:cs="Times New Roman"/>
              </w:rPr>
              <w:t>Self-Determination Theory (§2.6.2B)</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STAM</w:t>
            </w:r>
          </w:p>
        </w:tc>
        <w:tc>
          <w:tcPr>
            <w:tcW w:w="6181" w:type="dxa"/>
          </w:tcPr>
          <w:p>
            <w:pPr>
              <w:pStyle w:val="Normal"/>
            </w:pPr>
            <w:r>
              <w:rPr>
                <w:sz w:val="20"/>
                <w:szCs w:val="22"/>
                <w:lang w:val="en-US" w:eastAsia="en-US" w:bidi="ar-SA"/>
                <w:rFonts w:ascii="Times New Roman" w:hAnsi="Times New Roman" w:eastAsia="Times New Roman" w:cs="Times New Roman"/>
              </w:rPr>
              <w:t>Senior Technology Acceptance Model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TAM</w:t>
            </w:r>
          </w:p>
        </w:tc>
        <w:tc>
          <w:tcPr>
            <w:tcW w:w="6181" w:type="dxa"/>
          </w:tcPr>
          <w:p>
            <w:pPr>
              <w:pStyle w:val="Normal"/>
            </w:pPr>
            <w:r>
              <w:rPr>
                <w:sz w:val="20"/>
                <w:szCs w:val="22"/>
                <w:lang w:val="en-US" w:eastAsia="en-US" w:bidi="ar-SA"/>
                <w:rFonts w:ascii="Times New Roman" w:hAnsi="Times New Roman" w:eastAsia="Times New Roman" w:cs="Times New Roman"/>
              </w:rPr>
              <w:t>Technology Acceptance Model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UTAUT</w:t>
            </w:r>
          </w:p>
        </w:tc>
        <w:tc>
          <w:tcPr>
            <w:tcW w:w="6181" w:type="dxa"/>
          </w:tcPr>
          <w:p>
            <w:pPr>
              <w:pStyle w:val="Normal"/>
            </w:pPr>
            <w:r>
              <w:rPr>
                <w:sz w:val="20"/>
                <w:szCs w:val="22"/>
                <w:lang w:val="en-US" w:eastAsia="en-US" w:bidi="ar-SA"/>
                <w:rFonts w:ascii="Times New Roman" w:hAnsi="Times New Roman" w:eastAsia="Times New Roman" w:cs="Times New Roman"/>
              </w:rPr>
              <w:t>Unified Theory of Acceptance and Use of Technology</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WTA</w:t>
            </w:r>
          </w:p>
        </w:tc>
        <w:tc>
          <w:tcPr>
            <w:tcW w:w="6181" w:type="dxa"/>
          </w:tcPr>
          <w:p>
            <w:pPr>
              <w:pStyle w:val="Normal"/>
            </w:pPr>
            <w:r>
              <w:rPr>
                <w:sz w:val="20"/>
                <w:szCs w:val="22"/>
                <w:lang w:val="en-US" w:eastAsia="en-US" w:bidi="ar-SA"/>
                <w:rFonts w:ascii="Times New Roman" w:hAnsi="Times New Roman" w:eastAsia="Times New Roman" w:cs="Times New Roman"/>
              </w:rPr>
              <w:t>Willingness To Accept</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WTP</w:t>
            </w:r>
          </w:p>
        </w:tc>
        <w:tc>
          <w:tcPr>
            <w:tcW w:w="6181" w:type="dxa"/>
          </w:tcPr>
          <w:p>
            <w:pPr>
              <w:pStyle w:val="Normal"/>
            </w:pPr>
            <w:r>
              <w:rPr>
                <w:sz w:val="20"/>
                <w:szCs w:val="22"/>
                <w:lang w:val="en-US" w:eastAsia="en-US" w:bidi="ar-SA"/>
                <w:rFonts w:ascii="Times New Roman" w:hAnsi="Times New Roman" w:eastAsia="Times New Roman" w:cs="Times New Roman"/>
              </w:rPr>
              <w:t>Willingness To Pay</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ZF</w:t>
            </w:r>
          </w:p>
        </w:tc>
        <w:tc>
          <w:tcPr>
            <w:tcW w:w="6181" w:type="dxa"/>
          </w:tcPr>
          <w:p>
            <w:pPr>
              <w:pStyle w:val="Normal"/>
            </w:pPr>
            <w:r>
              <w:rPr>
                <w:sz w:val="20"/>
                <w:szCs w:val="22"/>
                <w:lang w:val="en-US" w:eastAsia="en-US" w:bidi="ar-SA"/>
                <w:rFonts w:ascii="Times New Roman" w:hAnsi="Times New Roman" w:eastAsia="Times New Roman" w:cs="Times New Roman"/>
              </w:rPr>
              <w:t>Zero-failure failure mode (Stage-3B component study): non-terminal feedback; the run completes</w:t>
            </w:r>
          </w:p>
        </w:tc>
      </w:tr>
    </w:tbl>
    <w:p>
      <w:pPr>
        <w:pStyle w:val="Normal"/>
        <w:keepNext w:val="0"/>
        <w:keepLines w:val="0"/>
        <w:spacing w:after="0" w:before="0" w:line="20" w:lineRule="exact"/>
        <w:rPr>
          <w:sz w:val="2"/>
        </w:rPr>
      </w:pPr>
    </w:p>
    <w:p>
      <w:pPr>
        <w:pStyle w:val="Normal"/>
        <w:keepNext w:val="0"/>
        <w:keepLines w:val="0"/>
        <w:spacing w:after="0" w:before="0" w:line="20" w:lineRule="exact"/>
        <w:rPr>
          <w:sz w:val="2"/>
        </w:rPr>
        <w:sectPr w:rsidR="0062437E">
          <w:footerReference w:type="default" r:id="rId8"/>
          <w:pgSz w:w="11906" w:h="16838"/>
          <w:pgMar w:top="1417" w:right="1417" w:bottom="1417" w:left="1984" w:header="720" w:footer="720" w:gutter="0"/>
          <w:pgNumType w:fmt="lowerRoman" w:start="1"/>
          <w:cols w:space="720"/>
          <w:titlePg/>
          <w:docGrid w:linePitch="360"/>
        </w:sectPr>
      </w:pPr>
    </w:p>
    <w:p>
      <w:pPr>
        <w:pStyle w:val="Heading1"/>
        <w:pageBreakBefore/>
      </w:pPr>
      <w:bookmarkStart w:id="4" w:name="_Toc232024496"/>
      <w:r>
        <w:rPr>
          <w:lang w:val="en-US" w:eastAsia="en-US" w:bidi="ar-SA"/>
          <w:color w:val="000000"/>
          <w:szCs w:val="28"/>
        </w:rPr>
        <w:t>Chapter 1 Introduction</w:t>
      </w:r>
      <w:bookmarkEnd w:id="4"/>
    </w:p>
    <w:p>
      <w:pPr>
        <w:pStyle w:val="Heading2"/>
      </w:pPr>
      <w:bookmarkStart w:id="5" w:name="_Toc232024497"/>
      <w:r>
        <w:rPr>
          <w:lang w:val="en-US" w:eastAsia="en-US" w:bidi="ar-SA"/>
          <w:color w:val="000000"/>
          <w:szCs w:val="26"/>
        </w:rPr>
        <w:t>1.1 The Point of Departure: An Empty Station in a Busy Hall</w:t>
      </w:r>
      <w:bookmarkEnd w:id="5"/>
    </w:p>
    <w:p>
      <w:pPr>
        <w:pStyle w:val="Normal"/>
        <w:jc w:val="both"/>
      </w:pPr>
      <w:r>
        <w:rPr>
          <w:szCs w:val="22"/>
          <w:lang w:val="en-US" w:eastAsia="en-US" w:bidi="ar-SA"/>
          <w:rFonts w:ascii="Times New Roman" w:hAnsi="Times New Roman" w:eastAsia="Times New Roman" w:cs="Times New Roman"/>
          <w:sz w:val="24"/>
        </w:rPr>
        <w:t>This thesis began with a small observation in a large rehabilitation hall. The hall belongs to a Poly Group elderly housing facility in Guangzhou, in Mainland Southern China. The facility is large by regional standards, with several hundred residents living on a single campus and a dedicated rehabilitation hall furnished with nine on-site physical training systems. Eight of the nine were in regular use during the author's first site visits in 2023. One was not. The Fall Risk Assessment (FRA) station stood in its corner of the hall, switched on, calibrated, and waiting. Residents walked past it on their way to the cardiovascular machines, the resistance trainers and the gait belt. They did not stop.</w:t>
      </w:r>
    </w:p>
    <w:p>
      <w:pPr>
        <w:pStyle w:val="Normal"/>
        <w:jc w:val="both"/>
      </w:pPr>
      <w:r>
        <w:rPr>
          <w:szCs w:val="22"/>
          <w:lang w:val="en-US" w:eastAsia="en-US" w:bidi="ar-SA"/>
          <w:rFonts w:ascii="Times New Roman" w:hAnsi="Times New Roman" w:eastAsia="Times New Roman" w:cs="Times New Roman"/>
          <w:sz w:val="24"/>
        </w:rPr>
        <w:t>The pattern was not new. By the facility's account to the author, FRA had been the lowest-utilised system in the hall for ten consecutive years. New touchscreen interfaces had been installed in 2017. Bilingual on-screen instructions had been added in 2019. The nursing team had been briefed on FRA benefits in 2021. Each campaign had produced a brief rise in use, followed by a return to baseline within four to eight weeks. (This utilisation history and the campaign dates are reported as described to the author by the facility's management and care staff; no facility utilisation record or campaign documentation is archived with this thesis, Appendix G.) By June 2024, the cumulative campaign effort had not changed the basic shape of the curve. The clinical lead at the facility believed the residual problem was access or instruction. The author, on early site visits, formed a different impression. Residents were not drifting away from the device. They appeared to be actively avoiding it.</w:t>
      </w:r>
    </w:p>
    <w:p>
      <w:pPr>
        <w:jc w:val="both"/>
      </w:pPr>
      <w:r>
        <w:t>Nor is the empty station unique to this hall. The quiet isolation of health technology that users experience as too demanding is documented across three decades of literature: in the classic study of assistive devices, 29.3% were completely abandoned, with devices procured without regard to the user's opinion and poor perceived performance among the strongest predictors (Phillips &amp; Zhao, 1993); in the consumer era, users abandoned some 80% of smart health devices, citing burdensome upkeep, data they could not use — and, notably, devices that did not fit their conception of themselves, a foreshadowing of the mechanism this thesis will pursue (Lazar et al., 2015); and for older adults specifically, the systematic acceptance literature places perceived complexity and usability concerns among the recurring barriers to technology for ageing in place (Peek et al., 2014). What the literature records as rates and factors, the rehabilitation hall displayed as furniture: a validated device, present and switched on, around which daily life had simply learned to flow.</w:t>
      </w:r>
    </w:p>
    <w:p>
      <w:pPr>
        <w:pStyle w:val="Normal"/>
        <w:jc w:val="both"/>
      </w:pPr>
      <w:r>
        <w:rPr>
          <w:szCs w:val="22"/>
          <w:lang w:val="en-US" w:eastAsia="en-US" w:bidi="ar-SA"/>
          <w:rFonts w:ascii="Times New Roman" w:hAnsi="Times New Roman" w:eastAsia="Times New Roman" w:cs="Times New Roman"/>
          <w:sz w:val="24"/>
        </w:rPr>
        <w:t>The industrial problem is the gap between an available assessment service and residents’ willingness to use it repeatedly. The field setting offered installed equipment and local support, yet these provisions did not secure sustained use. This case therefore warrants examination of the encounter with assessment and of what follows an adverse experience. It does not establish that access, usability or clinical value are unimportant, or that all subsequent non-use reflects a single psychological mechanism.</w:t>
      </w:r>
    </w:p>
    <w:p>
      <w:pPr>
        <w:jc w:val="both"/>
      </w:pPr>
      <w:r>
        <w:rPr/>
        <w:t>The station's own history sharpens the puzzle. The FRA had been installed roughly twelve years before this research began, and</w:t>
      </w:r>
      <w:r>
        <w:rPr/>
      </w:r>
      <w:r/>
      <w:r>
        <w:rPr/>
      </w:r>
      <w:r/>
      <w:r>
        <w:rPr/>
      </w:r>
      <w:r/>
      <w:r>
        <w:rPr/>
      </w:r>
      <w:r/>
      <w:r>
        <w:rPr/>
      </w:r>
      <w:r>
        <w:t xml:space="preserve"> its decade of near-silence sat oddly beside the platform's standing in its Korean home market, where the system was introduced with an active clinical research base - a community validation study of 289 older adults at a Seoul senior welfare centre (W.-C. Park et al., 2019) and a reliability study (Kim et al., 2018). Whether home-market utilisation actually ran higher is not verifiable from the published record - the Korean literature validates the instrument but reports no uptake rates - and this thesis therefore makes no utilisation comparison between the two markets. What the contrast supplied instead was an assumption worth examining: that the station's silence reflected challenges local to its deployment - operational, cultural, or psychological - rather than a defect of the instrument itself. That assumption is examined from Chapter 4 onward, and the cross-cultural reference point is taken up at §4.7.</w:t>
      </w:r>
    </w:p>
    <w:p>
      <w:pPr>
        <w:jc w:val="both"/>
      </w:pPr>
      <w:r>
        <w:rPr/>
        <w:t>Nor was gamification foreign to the station. In 2022 InBody's own balance games were installed on the facility's FRA - the line ships a training mode of games tailored to test results (InBody Co., Ltd., 2022) - and the station stayed quiet. The evaluation that became this thesis began in late 2023, when the author - an industrial practitioner responsible for exactly such equipment - started to examine that silence systematically. The first working direction came from the author's supervisor: gamification, done differently, might still help. The direction was credible on the evidence then available - the literature reviewed in Chapter 2 documents game-based engagement effects for older adults - and a year after InBody's games arrived, the author began developing the skiing games for the Poly Group centres, taking InBody's installed games as their starting point (the design is reported in Chapter 5). The industrial signal, in other words, was already concrete before this programme deployed anything: a free, clinically beneficial, accessible station had been given games and was still being left alone. If people still leave such a station after their first failure, then what, exactly, is doing the leaving? The working conjecture formed at this point - failure-induced dropout, stated as the pre-research hypothesis in §1.5 - and what became of it is reported stage by stage in the chapters that follow.</w:t>
      </w:r>
      <w:r>
        <w:rPr/>
      </w:r>
      <w:r/>
      <w:r>
        <w:rPr/>
      </w:r>
      <w:r/>
    </w:p>
    <w:p>
      <w:pPr>
        <w:pStyle w:val="Heading2"/>
      </w:pPr>
      <w:bookmarkStart w:id="6" w:name="_Toc232024498"/>
      <w:r>
        <w:rPr>
          <w:lang w:val="en-US" w:eastAsia="en-US" w:bidi="ar-SA"/>
          <w:color w:val="000000"/>
          <w:szCs w:val="26"/>
        </w:rPr>
        <w:t>1.2 The Empty Station as a Service-Design Problem</w:t>
      </w:r>
      <w:bookmarkEnd w:id="6"/>
    </w:p>
    <w:p>
      <w:pPr>
        <w:pStyle w:val="Normal"/>
        <w:jc w:val="both"/>
      </w:pPr>
      <w:r>
        <w:rPr>
          <w:szCs w:val="22"/>
          <w:lang w:val="en-US" w:eastAsia="en-US" w:bidi="ar-SA"/>
          <w:rFonts w:ascii="Times New Roman" w:hAnsi="Times New Roman" w:eastAsia="Times New Roman" w:cs="Times New Roman"/>
          <w:sz w:val="24"/>
        </w:rPr>
        <w:t>The empty station is, in the first instance, an industrial puzzle rather than a literature gap. For the facility and the technology provider, an assessment system that is rarely used presents a service-design problem. Equipment availability is only one part of an effective offering: users must understand its purpose, find the interaction manageable and decide whether another encounter is worthwhile. This thesis investigates that practical relationship in one bounded programme. Its relevance to other organisations lies in the resulting questions and design propositions, whose transfer must be evaluated in their own settings.</w:t>
      </w:r>
    </w:p>
    <w:p>
      <w:pPr>
        <w:pStyle w:val="Normal"/>
        <w:jc w:val="both"/>
      </w:pPr>
      <w:r>
        <w:rPr>
          <w:szCs w:val="22"/>
          <w:lang w:val="en-US" w:eastAsia="en-US" w:bidi="ar-SA"/>
          <w:rFonts w:ascii="Times New Roman" w:hAnsi="Times New Roman" w:eastAsia="Times New Roman" w:cs="Times New Roman"/>
          <w:sz w:val="24"/>
        </w:rPr>
        <w:t>Repeated engagement can create opportunities for assessment, follow-up and appropriate support. It is therefore a relevant service outcome, but it is not a substitute for diagnostic validity or demonstrated reductions in falls. The present programme studies engagement and interaction design; it does not establish the clinical effectiveness of the FRA platform or the health effects of increased use.</w:t>
      </w:r>
    </w:p>
    <w:p>
      <w:pPr>
        <w:pStyle w:val="Heading2"/>
      </w:pPr>
      <w:bookmarkStart w:id="7" w:name="_Toc232024499"/>
      <w:r>
        <w:rPr>
          <w:lang w:val="en-US" w:eastAsia="en-US" w:bidi="ar-SA"/>
          <w:color w:val="000000"/>
          <w:szCs w:val="26"/>
        </w:rPr>
        <w:t>1.3 The Demographic Backdrop</w:t>
      </w:r>
      <w:bookmarkEnd w:id="7"/>
    </w:p>
    <w:p>
      <w:pPr>
        <w:pStyle w:val="Normal"/>
        <w:jc w:val="both"/>
      </w:pPr>
      <w:r>
        <w:rPr>
          <w:szCs w:val="22"/>
          <w:lang w:val="en-US" w:eastAsia="en-US" w:bidi="ar-SA"/>
          <w:rFonts w:ascii="Times New Roman" w:hAnsi="Times New Roman" w:eastAsia="Times New Roman" w:cs="Times New Roman"/>
          <w:sz w:val="24"/>
        </w:rPr>
        <w:t>Population ageing supplies the scale at which this problem operates. Global estimates anticipate 2.1 billion people aged 60 or older worldwide by 2050 (World Health Organization, 2024). China leads the transition: at the end of 2024, the population aged 60 or above in China was 310.31 million, 22.0% of the national population (National Bureau of Statistics of China, 2025), a figure that official projections expect to pass 400 million around 2035 (State Council of the People's Republic of China, 2025). Hong Kong sits further along the curve, with one of the highest life expectancies in the world; official projections anticipate that about one in three Hong Kong residents will be 65 or older by 2046 (Census and Statistics Department, 2023). The pressure on health and care services is structural, not cyclical.</w:t>
      </w:r>
    </w:p>
    <w:p>
      <w:pPr>
        <w:pStyle w:val="Normal"/>
        <w:jc w:val="both"/>
      </w:pPr>
      <w:r>
        <w:rPr>
          <w:szCs w:val="22"/>
          <w:lang w:val="en-US" w:eastAsia="en-US" w:bidi="ar-SA"/>
          <w:rFonts w:ascii="Times New Roman" w:hAnsi="Times New Roman" w:eastAsia="Times New Roman" w:cs="Times New Roman"/>
          <w:sz w:val="24"/>
        </w:rPr>
        <w:t xml:space="preserve">Two features of this transition matter for the present thesis. First, the cohort of older adults entering each new health technology is growing in absolute terms, which means that even modest abandonment rates produce large absolute populations of permanent non-users. Second, the cohort is becoming more demographically and educationally diverse, which means that any explanation of abandonment based on a stereotyped picture of older users will fit fewer of them with each passing year. The Stage-1 survey reported in Chapter 4 is administered to residents who, by the qualifying criteria, are not the popular caricature of older non-users: secondary educated or above, no significant cognitive impairment, capable of unsupported standing, sufficiently sighted to read screen instructions, and free of acute mental-health conditions. Whatever drives their abandonment is operating within a population that the standard non-use framings do not reach.</w:t>
      </w:r>
    </w:p>
    <w:p>
      <w:pPr>
        <w:pStyle w:val="Heading2"/>
      </w:pPr>
      <w:bookmarkStart w:id="8" w:name="_Toc232024500"/>
      <w:r>
        <w:rPr>
          <w:lang w:val="en-US" w:eastAsia="en-US" w:bidi="ar-SA"/>
          <w:color w:val="000000"/>
          <w:szCs w:val="26"/>
        </w:rPr>
        <w:t>1.4 Falls, the Cascade, and the Fall Risk Assessment Technology</w:t>
      </w:r>
      <w:bookmarkEnd w:id="8"/>
    </w:p>
    <w:p>
      <w:pPr>
        <w:pStyle w:val="Normal"/>
        <w:jc w:val="both"/>
      </w:pPr>
      <w:r>
        <w:rPr>
          <w:szCs w:val="22"/>
          <w:lang w:val="en-US" w:eastAsia="en-US" w:bidi="ar-SA"/>
          <w:rFonts w:ascii="Times New Roman" w:hAnsi="Times New Roman" w:eastAsia="Times New Roman" w:cs="Times New Roman"/>
          <w:sz w:val="24"/>
        </w:rPr>
        <w:t>Falls supply the clinical backdrop. They are the leading cause of injury-related hospital admission among adults aged 65 and above (Centers for Disease Control and Prevention, 2023; World Health Organization, 2023). World Health Organization estimates indicate that approximately 28–35% of people aged 65 and over fall each year, rising to 32–42% for those over 70 years of age (World Health Organization, 2007, 2023). The cascade beyond the fall itself is what makes the problem distinctive. Fear of falling, measured by the Falls Efficacy Scale-International (Yardley et al., 2005), is itself a major risk factor for further falls. After a near-miss or a first fall, older adults often reduce activity, weakening balance further and raising the probability of the next fall. The cascade closes on itself.</w:t>
      </w:r>
    </w:p>
    <w:p>
      <w:pPr>
        <w:pStyle w:val="Normal"/>
        <w:jc w:val="both"/>
      </w:pPr>
      <w:r>
        <w:rPr>
          <w:szCs w:val="22"/>
          <w:lang w:val="en-US" w:eastAsia="en-US" w:bidi="ar-SA"/>
          <w:rFonts w:ascii="Times New Roman" w:hAnsi="Times New Roman" w:eastAsia="Times New Roman" w:cs="Times New Roman"/>
          <w:sz w:val="24"/>
        </w:rPr>
        <w:t>FRA technology was developed to identify balance-related risk factors before a fall and to support targeted intervention. The InBody pressure-panel platform used in this programme measures centre-of-pressure shifts through a calibrated force-plate system. The cited validation and field studies provide the technical and clinical context for using the platform; the present thesis does not independently validate the device, its diagnostic accuracy or the clinical significance of short-term score change. Its intervention boundary is behavioural and engineering-focused: how the user experiences, interprets and returns to the technology. The station's disuse is therefore treated as a service-design problem local to the deployment studied (§1.2), not as evidence that FRA systems in general fail for any single reason; whether the behavioural consequences of an adverse first experience were insufficiently accommodated in this service's design is a question the empirical programme examines rather than a premise it asserts. This thesis examines that disengagement and proposes adaptive interaction design as a candidate means of reducing it while preserving clinical validity; that proposal is specified for future study rather than tested here.</w:t>
      </w:r>
    </w:p>
    <w:p>
      <w:pPr>
        <w:pStyle w:val="Heading2"/>
      </w:pPr>
      <w:bookmarkStart w:id="9" w:name="_Toc232024501"/>
      <w:r>
        <w:rPr>
          <w:lang w:val="en-US" w:eastAsia="en-US" w:bidi="ar-SA"/>
          <w:color w:val="000000"/>
          <w:szCs w:val="26"/>
        </w:rPr>
        <w:t>1.5 The Working Hypothesis Formed Before the Research Began</w:t>
      </w:r>
      <w:bookmarkEnd w:id="9"/>
    </w:p>
    <w:p>
      <w:pPr>
        <w:pStyle w:val="Normal"/>
        <w:jc w:val="both"/>
      </w:pPr>
      <w:r>
        <w:rPr>
          <w:szCs w:val="22"/>
          <w:lang w:val="en-US" w:eastAsia="en-US" w:bidi="ar-SA"/>
          <w:rFonts w:ascii="Times New Roman" w:hAnsi="Times New Roman" w:eastAsia="Times New Roman" w:cs="Times New Roman"/>
          <w:sz w:val="24"/>
        </w:rPr>
        <w:t>By late 2023, after several months of site observation and informal conversations with residents, nursing staff and the management office, the author had formed a working hypothesis. The hypothesis preceded the empirical programme. It was not a finding. It was a conjecture that the empirical programme was designed to test. Naming it as a conjecture, rather than presenting it as something the data uncovered, is part of the honest reconstruction of the research journey.</w:t>
      </w:r>
    </w:p>
    <w:p>
      <w:pPr>
        <w:pStyle w:val="Normal"/>
        <w:jc w:val="both"/>
      </w:pPr>
      <w:r>
        <w:rPr>
          <w:szCs w:val="22"/>
          <w:lang w:val="en-US" w:eastAsia="en-US" w:bidi="ar-SA"/>
          <w:rFonts w:ascii="Times New Roman" w:hAnsi="Times New Roman" w:eastAsia="Times New Roman" w:cs="Times New Roman"/>
          <w:sz w:val="24"/>
        </w:rPr>
        <w:t xml:space="preserve">The conjecture had three parts. First, residents who avoided the FRA station might be responding not only to awareness, access or expected benefit, but also to what an unfavourable result could mean about them. Second, the first adverse experience might operate as a discrete behavioural event rather than as one point in a gradual decline in acceptance. Third, the combination of non-use among some never-tried residents and rapid non-return among some prior users appeared to describe a post-contact behaviour that standard adoption models do not represent explicitly. These propositions were hypotheses to be refined, not findings established before data collection.</w:t>
      </w:r>
    </w:p>
    <w:p>
      <w:pPr>
        <w:pStyle w:val="Normal"/>
        <w:jc w:val="both"/>
      </w:pPr>
      <w:r>
        <w:rPr>
          <w:szCs w:val="22"/>
          <w:lang w:val="en-US" w:eastAsia="en-US" w:bidi="ar-SA"/>
          <w:rFonts w:ascii="Times New Roman" w:hAnsi="Times New Roman" w:eastAsia="Times New Roman" w:cs="Times New Roman"/>
          <w:sz w:val="24"/>
        </w:rPr>
        <w:t>The initial design expectation was that familiar acceptance and gamification considerations would support participation in the FRA activity. The thesis formalises that expectation retrospectively as H0 (§2.3.5), so that its assumptions and limitations can be examined explicitly. Adverse deployment outcomes challenge the adequacy of that expectation in this setting; they do not constitute a statistical rejection of TAM, STAM or gamification as a whole. The author initially named the conjecture Failure-Induced Dropout Syndrome (FIDS), a label that captured its hypothesised timing and direction; whether the name and definition would survive contact with the field was treated as an empirical question.</w:t>
      </w:r>
    </w:p>
    <w:p>
      <w:pPr>
        <w:pStyle w:val="Heading2"/>
      </w:pPr>
      <w:bookmarkStart w:id="10" w:name="_Toc232024502"/>
      <w:r>
        <w:rPr>
          <w:lang w:val="en-US" w:eastAsia="en-US" w:bidi="ar-SA"/>
          <w:color w:val="000000"/>
          <w:szCs w:val="26"/>
        </w:rPr>
        <w:t>1.6 The Initial Survey: Building the Foundation of the Programme</w:t>
      </w:r>
      <w:bookmarkEnd w:id="10"/>
    </w:p>
    <w:p>
      <w:pPr>
        <w:pStyle w:val="Normal"/>
        <w:jc w:val="both"/>
      </w:pPr>
      <w:r>
        <w:rPr>
          <w:szCs w:val="22"/>
          <w:lang w:val="en-US" w:eastAsia="en-US" w:bidi="ar-SA"/>
          <w:rFonts w:ascii="Times New Roman" w:hAnsi="Times New Roman" w:eastAsia="Times New Roman" w:cs="Times New Roman"/>
          <w:sz w:val="24"/>
        </w:rPr>
        <w:t>Stage 1 was designed to determine whether the FIDS conjecture was consistent with residents' reports of their own experience. A six-item Yes/No survey was administered face-to-face by nursing staff in July and August 2024. The full instrument is reproduced in Appendix A. Five qualifying criteria were checked by the management office before invitation. Face-to-face administration was selected to reduce literacy and digital-skill barriers. Of the facility's 280 residents, 200 eligible residents were interviewed, and the interviewed sample of 200 is the base sample for all Stage-1 results; items conditional on prior use are computed on the corresponding subgroups of the 200, with the denominator structure set out in §4.2.</w:t>
      </w:r>
    </w:p>
    <w:p>
      <w:pPr>
        <w:pStyle w:val="Normal"/>
        <w:jc w:val="both"/>
      </w:pPr>
      <w:r>
        <w:rPr>
          <w:szCs w:val="22"/>
          <w:lang w:val="en-US" w:eastAsia="en-US" w:bidi="ar-SA"/>
          <w:rFonts w:ascii="Times New Roman" w:hAnsi="Times New Roman" w:eastAsia="Times New Roman" w:cs="Times New Roman"/>
          <w:sz w:val="24"/>
        </w:rPr>
        <w:t>The six-item instrument reproduced in Appendix A measured awareness, prior use, whether the first result was understood and accepted, subsequent return, discomfort or discouragement, and willingness to use a friendlier version. The aggregate headline records from this survey provide the programme's descriptive problem signature; they are reported and analysed in Chapter 4, which also states their provenance limit: the per-respondent response file is not archived (Appendix G, item G.1), so the conditional figures survive only as rounded aggregate percentages and cannot be reproduced as item-level counts (Table 4.1). Working tables from the survey period also suggested favourable physical-access and perceived-benefit estimates; because those figures cannot be traced to items in the archived six-item instrument (Appendix A), they are not reported as survey results in this thesis. The survey's wording does not allow every negative first experience to be treated unambiguously as task failure — a limitation carried into the design of Stage 2.</w:t>
      </w:r>
    </w:p>
    <w:p>
      <w:pPr>
        <w:pStyle w:val="Normal"/>
        <w:jc w:val="both"/>
      </w:pPr>
      <w:r>
        <w:rPr>
          <w:szCs w:val="22"/>
          <w:lang w:val="en-US" w:eastAsia="en-US" w:bidi="ar-SA"/>
          <w:rFonts w:ascii="Times New Roman" w:hAnsi="Times New Roman" w:eastAsia="Times New Roman" w:cs="Times New Roman"/>
          <w:sz w:val="24"/>
        </w:rPr>
        <w:t>What the survey could establish, and what it could not, defined the next step. A retrospective instrument cannot establish the timing of a psychological collapse, irreversible abandonment, or the mechanism of non-return; whatever pattern it recorded would require direct prospective investigation. Stage 1's role in the architecture was therefore to test whether residents' reports were consistent with the FIDS conjecture and to generate the questions Stage 2 would examine prospectively; whether the conjecture's own name would require revision in the light of the field evidence is taken up in Chapter 4.</w:t>
      </w:r>
    </w:p>
    <w:p>
      <w:pPr>
        <w:pStyle w:val="Heading2"/>
      </w:pPr>
      <w:r>
        <w:rPr>
          <w:lang w:val="en-US" w:eastAsia="en-US" w:bidi="ar-SA"/>
          <w:color w:val="000000"/>
          <w:szCs w:val="26"/>
        </w:rPr>
        <w:t>1.7 Stage Two and the Score-Improvement/Non-Return Question</w:t>
      </w:r>
    </w:p>
    <w:p w14:paraId="39A8D831" w14:textId="77777777" w:rsidR="0062437E" w:rsidRDefault="00000000">
      <w:pPr>
        <w:jc w:val="both"/>
      </w:pPr>
      <w:r>
        <w:t>Stage 2 prospectively observed thirty residents over eight weeks in an action-research deployment of a dual-purpose AI-assisted skiing game on the InBody pressure panel. The analysis examines recorded score change alongside subsequent return. These outcomes need not move together: perceived value, enjoyment, burden and appraisal may influence engagement independently of a short-term score. A single-session change may include measurement variation, familiarisation, practice effects or short-term motor adaptation, and is not interpreted as clinical benefit without an appropriate measurement-error and clinical-significance basis. Chapter 5 reports the available scores and behavioural outcomes.</w:t>
      </w:r>
    </w:p>
    <w:p w14:paraId="1D7A94AA" w14:textId="77777777" w:rsidR="0062437E" w:rsidRDefault="00000000">
      <w:pPr>
        <w:jc w:val="both"/>
      </w:pPr>
      <w:r>
        <w:t>Whether a recorded score increase can coexist with non-return - and what would follow if it does - is examined in Chapter 5; any such coexistence would motivate comparison among appraisal, continuance and practical-burden explanations. It does not establish that conventional acceptance perspectives cannot accommodate the observation. Behavioural economics offers candidate interpretations, but the deployment did not directly measure mental accounting, identity protection, endowment or stereotype threat. Chapter 5 therefore treats the score–engagement discrepancy as a problem requiring explanation rather than a decisive test of a particular mechanism.</w:t>
      </w:r>
    </w:p>
    <w:p w14:paraId="02A5EE77" w14:textId="77777777" w:rsidR="0062437E" w:rsidRDefault="00000000">
      <w:pPr>
        <w:pStyle w:val="Heading2"/>
      </w:pPr>
      <w:bookmarkStart w:id="11" w:name="_Toc232024504"/>
      <w:r>
        <w:rPr>
          <w:color w:val="000000"/>
        </w:rPr>
        <w:lastRenderedPageBreak/>
        <w:t>1.8 The Learn-to-Earn Philosophy: A Thread Running Through the Journey</w:t>
      </w:r>
      <w:bookmarkEnd w:id="11"/>
    </w:p>
    <w:p w14:paraId="32BA0141" w14:textId="77777777" w:rsidR="0062437E" w:rsidRDefault="00000000">
      <w:pPr>
        <w:jc w:val="both"/>
      </w:pPr>
      <w:r>
        <w:t>The learn-to-earn proposition introduces a possible reason to return: the opportunity to develop a useful skill and recognise what to attempt next. Learning theory motivates feedback, appropriate support and opportunities to revisit difficulty, but short-term success is not equivalent to durable learning (Kapur, 2008; Soderstrom &amp; Bjork, 2015). The design must therefore make participation rewarding without presenting every assisted success as evidence of increased capability. This distinction becomes central when an adaptive system changes the conditions under which performance is observed.</w:t>
      </w:r>
    </w:p>
    <w:p w14:paraId="24CEF308" w14:textId="77777777" w:rsidR="0062437E" w:rsidRDefault="00000000">
      <w:pPr>
        <w:jc w:val="both"/>
      </w:pPr>
      <w:r>
        <w:t>Each stage examined the learn-to-earn philosophy from a different angle: Stage 1 asked whether favourable expectations alone could sustain engagement past an adverse first experience; Stage 2 embedded coins and level progression in the skiing game under the coupled clinical condition, with an adaptive-difficulty layer specified at Layer 2 (operational status per build in Appendix G, item G.0A; §5.3.5); and Stage 3 implemented participant-facing decoupling in a separate Hong Kong cohort, so that the philosophy could be observed with and without the clinical attachment. Because the Stage-2 and Stage-3 cohorts and contexts differ, any between-stage change is interpreted as convergent quasi-experimental evidence rather than a within-cohort causal effect; the stage-by-stage outcomes are reported in Chapters 4 to 6.</w:t>
      </w:r>
    </w:p>
    <w:p w14:paraId="324E5146" w14:textId="77777777" w:rsidR="0062437E" w:rsidRDefault="00000000">
      <w:pPr>
        <w:jc w:val="both"/>
      </w:pPr>
      <w:r>
        <w:t>The learn-to-earn philosophy is therefore the design orientation that links the prototype to the adaptive-learning framework specification. Adaptive learning is proposed as its theoretical and engineering formalisation: performance is presented as movement on a personal trajectory, and challenge is calibrated to the user's evolving capability. The empirical programme motivates this design response but does not demonstrate that the complete adaptive-learning framework can close any gap between what participants endorse and what they sustain; that question is taken up as a design and future-study question from Chapter 6 onward. Its incremental effectiveness is a subject for future controlled study.</w:t>
      </w:r>
    </w:p>
    <w:p w14:paraId="0190BC55" w14:textId="77777777" w:rsidR="0062437E" w:rsidRDefault="00000000">
      <w:pPr>
        <w:pStyle w:val="Heading2"/>
      </w:pPr>
      <w:bookmarkStart w:id="12" w:name="_Toc232024505"/>
      <w:r>
        <w:rPr>
          <w:color w:val="000000"/>
        </w:rPr>
        <w:t>1.9 The Decoupling Test and the Closure of the Empirical Arc</w:t>
      </w:r>
      <w:bookmarkEnd w:id="12"/>
    </w:p>
    <w:p w14:paraId="2895AA73" w14:textId="77777777" w:rsidR="0062437E" w:rsidRDefault="00000000">
      <w:pPr>
        <w:jc w:val="both"/>
      </w:pPr>
      <w:r>
        <w:t>Stage 3 examined a decoupled game in a separate cohort and setting. Its purpose in the thesis is to explore whether an engagement pattern consistent with the framing hypothesis appears when participant-facing clinical attachment is reduced. The comparison also changes input, delivery and recruitment conditions, so it cannot determine whether framing, physical demands, selection or other contextual differences account for the contrast. Its contribution is directional evidence for a candidate redesign and a clearer controlled-study question, rather than a test that adjudicates between the validity and failure of gamification theory.</w:t>
      </w:r>
    </w:p>
    <w:p w14:paraId="10B8BFA5" w14:textId="77777777" w:rsidR="0062437E" w:rsidRDefault="00000000">
      <w:pPr>
        <w:jc w:val="both"/>
      </w:pPr>
      <w:r>
        <w:t>One hundred and twenty adults aged 25–80 were recruited through the author's Hong Kong-based networks — family and personal contacts, work contacts, a charity community network, university support channels and working peers in medical centres. Stage 3 was a remote deployment: the game was re-implemented as a separate, distributable HTML build (the Stage-2 game was itself a browser game, played at the station; §5.3); most participants received it by e-mail and played on their own computers, using arrow keys or a foot-pad sensor where one was available, while some older participants played on an iPad on which the build had been pre-installed, with an external keyboard (§6.4). The skiing mechanic and the three-to-five-play session structure were carried into the Stage-3 build, which added an in-game five-attempt counter; the pressure-panel apparatus, the clinical setting and in-person supervision were not, and in-run difficulty adaptation operated through the build's built-in rule agent rather than the large-language-model layer specified for Stage 2 (Appendix E.1; operational status per build in Appendix G, item G.0A). Stage 3 thereby changed a package of participant-facing clinical cues: no clinical pre-scan was conducted; the in-game interface carried no clinical labels, scores or risk outputs; the participant invitation on file (a 4 August 2026 reconstruction of the invitation, headed with a study period of March to April 2026, although recruitment began on 3 April 2026 by the research assistant's account, Appendix G, item G.5) opened with falls and balance training, disclosed the game's origin in an FRA balance platform and offered a browser version with that platform decoupled, while distributor e-mails presented the activity as a purely-fun coordination game; and the interface was re-skinned. The invitation e-mail itself openly disclosed the doctoral research context, including the programme's fall-risk origin — the decoupling operated at the artefact level, not by concealment. The stage's outcomes — participation, dropout and return by age band, positive-coded responses to the coordination item, and stated regular-use intention — are reported in Chapter 6.</w:t>
      </w:r>
    </w:p>
    <w:p w14:paraId="1A9CCEF5" w14:textId="77777777" w:rsidR="0062437E" w:rsidRDefault="00000000">
      <w:pPr>
        <w:jc w:val="both"/>
      </w:pPr>
      <w:r>
        <w:t>Whatever pattern Stage 3 produced would be read against both candidate explanations, with the design's limits stated in advance: a between-cohort quasi-experimental decoupling study cannot rule out cohort self-selection, setting, recruitment, health-status, staff-interaction or observation-window differences, and it is described accordingly rather than as a single-variable experiment. Chapter 6 reports the outcomes; Chapter 7 develops the design response the programme's evidence motivated — adaptive learning, formalised as the adaptive-learning framework, proposed as a candidate driver that could make returning worthwhile and eventually carry the clinical purpose back into the experience.</w:t>
      </w:r>
    </w:p>
    <w:p w14:paraId="1A9CCEF5" w14:textId="77777777" w:rsidR="0062437E" w:rsidRDefault="00000000">
      <w:pPr>
        <w:jc w:val="both"/>
      </w:pPr>
      <w:r>
        <w:t>A subsequent component study, designated Stage 3B, was specified after the Stage-3 result (the decoupled study is designated Stage 3A in programme documents; §6.1) and is reported as a descriptive record at a stated cut-off of 30 September 2026, inside its clean-run window (§8.8; Appendix I). Its learning measurement was not articulated to the adaptive-learning construct, so the study is not used as a test of the adaptive-learning claim; the empirical arc closes on the Stage 1–3A evidence, and adaptive learning is carried forward as a design direction for future study.</w:t>
      </w:r>
    </w:p>
    <w:p w14:paraId="0CBC5D11" w14:textId="77777777" w:rsidR="0062437E" w:rsidRDefault="00000000">
      <w:pPr>
        <w:pStyle w:val="Heading2"/>
      </w:pPr>
      <w:bookmarkStart w:id="13" w:name="_Toc232024506"/>
      <w:r>
        <w:rPr>
          <w:color w:val="000000"/>
        </w:rPr>
        <w:t>1.10 The Researcher's Position</w:t>
      </w:r>
      <w:bookmarkEnd w:id="13"/>
    </w:p>
    <w:p w14:paraId="314B1F05" w14:textId="77777777" w:rsidR="0062437E" w:rsidRDefault="00000000">
      <w:pPr>
        <w:jc w:val="both"/>
      </w:pPr>
      <w:r>
        <w:t>This thesis is conducted as action research (Lewin, 1946; Stringer, 2014; Reason &amp; Bradbury, 2008). The researcher's interaction with the field is treated as constitutive of the inquiry. Two features of the author's position bear on how the work was conducted. First, the author is over 60 years of age. The dual researcher-participant perspective is therefore not a methodological pose but a fact of the work. The author played the skiing game on the InBody panel many times during the design phase. The author has personal experience of the threshold moments at which a clinical frame can convert a measurement into a verdict. This experience informed the participant-facing wording of the Stage-3 decoupling package and the design of the interview protocol for the F4 category (observed non-return under the Stage-2 coding scheme; Appendix B), which was designed but not administered (Appendix C).</w:t>
      </w:r>
    </w:p>
    <w:p w14:paraId="29F1C9BD" w14:textId="77777777" w:rsidR="0062437E" w:rsidRDefault="00000000">
      <w:pPr>
        <w:jc w:val="both"/>
      </w:pPr>
      <w:r>
        <w:t>Second, the action-research relationship with the Poly Group facility was sustained across Stages 1 and 2. The same management office and nursing team supported the work, and some residents contributed across overlapping observation periods. Stage 3, by contrast, was conducted remotely with a separate cohort recruited through the author's Hong Kong-based networks, playing an HTML build of the game, mostly e-mailed and played on their own computers and, for some older participants, pre-installed on an iPad (§6.4). The action-research cycle therefore involved continuity of problem setting and design learning, not a single repeated cohort across all three stages. The principal theoretical revisions were the renaming and re-specification of the initial FIDS conjecture in the light of the retrospective Stage-1 reports (Chapter 4, §4.6), with its temporal and mechanistic questions then examined prospectively in Stage 2, the shift from a predominantly dispositional reading toward a frame-sensitive account after Stage 3, and the formulation of adaptive learning as a design hypothesis expressed through the adaptive-learning framework.</w:t>
      </w:r>
    </w:p>
    <w:p w14:paraId="3BD51B5C" w14:textId="77777777" w:rsidR="0062437E" w:rsidRDefault="00000000">
      <w:pPr>
        <w:pStyle w:val="Heading2"/>
      </w:pPr>
      <w:bookmarkStart w:id="14" w:name="_Toc232024507"/>
      <w:r>
        <w:rPr>
          <w:color w:val="000000"/>
        </w:rPr>
        <w:t>1.11 Aim and Research Questions</w:t>
      </w:r>
      <w:bookmarkEnd w:id="14"/>
    </w:p>
    <w:p w14:paraId="79876362" w14:textId="77777777" w:rsidR="0062437E" w:rsidRDefault="00000000">
      <w:pPr>
        <w:jc w:val="both"/>
      </w:pPr>
      <w:commentRangeStart w:id="2"/>
      <w:r>
        <w:t>The aim of this thesis is to examine how gamification can support proactive continuous improvement and innovation enhancement in an older-adult FRA service that encounters persistent non-use. The inquiry characterises failure-associated non-return, examines a between-cohort decoupling comparison, and translates the findings into a testable adaptive-learning framework. The adaptive system is the proposed means of delivering and evaluating a revised interaction; gamification, engagement and evidence-led service improvement remain the organising subjects. The exploratory action-research programme is guided by four questions, with the retrospectively formalised design expectation H0 providing an explicit account of the expectation challenged by the field observations (§2.3.5; Table 3.1).</w:t>
      </w:r>
      <w:commentRangeEnd w:id="2"/>
      <w:r>
        <w:rPr>
          <w:rStyle w:val="CommentReference"/>
        </w:rPr>
        <w:commentReference w:id="2"/>
      </w:r>
    </w:p>
    <w:p w14:paraId="59FCAFB8" w14:textId="77777777" w:rsidR="0062437E" w:rsidRDefault="00000000">
      <w:pPr>
        <w:jc w:val="both"/>
      </w:pPr>
      <w:r>
        <w:t>RQ1, addressed in Stage 1: What do residents’ accounts of prior FRA encounters reveal about adverse experiences and subsequent non-return, and which features of that pattern are not explicitly represented in acceptance and gamification models?</w:t>
      </w:r>
    </w:p>
    <w:p w14:paraId="4DEE0F1E" w14:textId="77777777" w:rsidR="0062437E" w:rsidRDefault="00000000">
      <w:pPr>
        <w:jc w:val="both"/>
      </w:pPr>
      <w:r>
        <w:t>RQ2, addressed in Stage 2: How does failure-associated non-return manifest during the eight-week gamified FRA deployment with thirty residents, and what design questions arise when recorded score improvement coexists with non-return?</w:t>
      </w:r>
    </w:p>
    <w:p w14:paraId="40C6D39B" w14:textId="77777777" w:rsidR="0062437E" w:rsidRDefault="00000000">
      <w:pPr>
        <w:jc w:val="both"/>
      </w:pPr>
      <w:r>
        <w:t>RQ3, addressed in Stage 3: Is participant-facing decoupling associated with lower observed non-return and higher post-failure return in the predicted direction, and how far can that association be distinguished from cohort, delivery and contextual alternatives?</w:t>
      </w:r>
    </w:p>
    <w:p w14:paraId="26B0B5C1" w14:textId="77777777" w:rsidR="0062437E" w:rsidRDefault="00000000">
      <w:pPr>
        <w:jc w:val="both"/>
      </w:pPr>
      <w:r>
        <w:t>RQ4, addressed in Chapters 7–9: How can the combined evidence inform a gamified adaptive design that responds proactively to difficulty, represents improvement credibly when task conditions change, and makes each subsequent design revision separately evaluable? Which propositions are empirically motivated, and which require prospective validation?</w:t>
      </w:r>
    </w:p>
    <w:p w14:paraId="64397BC9" w14:textId="77777777" w:rsidR="0062437E" w:rsidRDefault="00000000">
      <w:pPr>
        <w:pStyle w:val="Heading2"/>
      </w:pPr>
      <w:bookmarkStart w:id="15" w:name="_Toc232024508"/>
      <w:r>
        <w:rPr>
          <w:color w:val="000000"/>
        </w:rPr>
        <w:t>1.12 Original Contributions</w:t>
      </w:r>
      <w:bookmarkEnd w:id="15"/>
    </w:p>
    <w:p w14:paraId="0C4EC396" w14:textId="77777777" w:rsidR="0062437E" w:rsidRDefault="00000000">
      <w:pPr>
        <w:jc w:val="both"/>
      </w:pPr>
      <w:r>
        <w:t>The contribution has three connected parts, which Chapter 8 restates in its four contribution registers (engineering; empirical and theoretical; industrial; methodological). First, the field programme characterises failure-associated non-return in a gamified FRA setting and develops a provisional descriptive construct for it, introduced in Chapter 4. Behavioural accounts involving identity, loss appraisal and information avoidance supply competing explanations, rather than mechanisms directly measured by the studies. Second, the between-cohort decoupling findings motivate a candidate boundary concerning clinical framing, while leaving substantial alternative explanations unresolved. Third, the thesis translates these observations into an adaptive-learning framework for gamified service improvement. Its contextual engineering contribution is the integration of truthful trajectory feedback, calibrated challenge and learning from unsuccessful design, rather than the invention of adaptive learning itself. The framework distinguishes participant support from system redesign and specifies how each should be evaluated. The dual-purpose mechanic, staged inquiry, qualitative requirements mapping and descriptive comparison of continued or resumed play with stated regular-use intention support that translation. The AI-assisted development workflow enables the artefact but is not evidence of behavioural effectiveness. Figure 1.1 links the observed problem, the proposed response and the outcomes that a future evaluation must establish.</w:t>
      </w:r>
    </w:p>
    <w:p>
      <w:pPr>
        <w:keepNext/>
        <w:jc w:val="center"/>
      </w:pPr>
      <w:r>
        <w:drawing>
          <wp:inline>
            <wp:extent cx="5358384" cy="3394734"/>
            <wp:docPr id="33" name="Picture 33" descr="Figure 1.1. Title-aligned structure of the thesis."/>
            <wp:cNvGraphicFramePr>
              <a:graphicFrameLocks noChangeAspect="1"/>
            </wp:cNvGraphicFramePr>
            <a:graphic>
              <a:graphicData uri="http://schemas.openxmlformats.org/drawingml/2006/picture">
                <pic:pic>
                  <pic:nvPicPr>
                    <pic:cNvPr id="0" name="figure_P0320.png"/>
                    <pic:cNvPicPr/>
                  </pic:nvPicPr>
                  <pic:blipFill>
                    <a:blip r:embed="rId42"/>
                    <a:stretch>
                      <a:fillRect/>
                    </a:stretch>
                  </pic:blipFill>
                  <pic:spPr>
                    <a:xfrm>
                      <a:off x="0" y="0"/>
                      <a:ext cx="5358384" cy="3394734"/>
                    </a:xfrm>
                    <a:prstGeom prst="rect"/>
                  </pic:spPr>
                </pic:pic>
              </a:graphicData>
            </a:graphic>
          </wp:inline>
        </w:drawing>
      </w:r>
    </w:p>
    <w:p>
      <w:pPr>
        <w:pStyle w:val="FigureCaption"/>
        <w:keepLines/>
        <w:jc w:val="center"/>
      </w:pPr>
      <w:r>
        <w:rPr/>
        <w:t>Figure 1.1. Title-aligned structure of the thesis. Observed engagement difficulty motivates a proposed adaptive design within a gamified service. Participant support and system redesign are distinct improvement targets; sustained capability, engagement and clinical benefit require their respective evaluations.</w:t>
      </w:r>
    </w:p>
    <w:p w14:paraId="44B204BE" w14:textId="77777777" w:rsidR="0062437E" w:rsidRDefault="00000000">
      <w:pPr>
        <w:pStyle w:val="Heading2"/>
      </w:pPr>
      <w:bookmarkStart w:id="16" w:name="_Toc232024509"/>
      <w:r>
        <w:rPr>
          <w:color w:val="000000"/>
        </w:rPr>
        <w:t>1.13 Scope, Boundaries, and What This Thesis Does Not Claim</w:t>
      </w:r>
      <w:bookmarkEnd w:id="16"/>
    </w:p>
    <w:p w14:paraId="7C6CD026" w14:textId="77777777" w:rsidR="0062437E" w:rsidRDefault="00000000">
      <w:pPr>
        <w:jc w:val="both"/>
      </w:pPr>
      <w:r>
        <w:t>The empirical claims are restricted to the cohorts and observation windows studied. Stage 2 involved a Southern Chinese residential-facility cohort; Stage 3 involved a Hong Kong network-recruited cohort playing remotely, mostly on their own computers and, for some older participants, on a pre-installed iPad with a research assistant beside them (§6.4). Both were Chinese-cultural in language and cultural context, and cross-cultural generalisation is not asserted. The FRA system is an established commercial assessment platform, but this thesis does not validate its diagnostic accuracy, clinical effectiveness or the clinical significance of short-term score changes. It evaluates engagement behaviour and the engineering design of the user interaction. The abandonment construct developed in Chapters 4 and 5 is not claimed to explain all non-adoption or abandonment of health technology, and "syndrome" is used there as a conceptual, non-diagnostic term. Cross-domain application to glucose monitoring, sleep tracking, cognitive screening and other systems remains a design hypothesis.</w:t>
      </w:r>
    </w:p>
    <w:p w14:paraId="757A4DEB" w14:textId="77777777" w:rsidR="0062437E" w:rsidRDefault="00000000">
      <w:pPr>
        <w:jc w:val="both"/>
      </w:pPr>
      <w:r>
        <w:t>The thesis does not claim that adaptive learning is the only design lever capable of reducing failure-associated non-return. Adaptive learning is proposed because trajectory framing, mastery-oriented feedback and calibrated challenge are theoretically suited to changing how failure is interpreted. Should the field stages observe gaps between what participants endorse and what they commit to, such gaps would not by themselves identify adaptive learning as their cause; fatigue, physical capacity, access, session burden and other motivational factors would remain viable alternatives. Direct comparison of design levers and controlled evaluation of the complete adaptive-learning framework lie beyond this thesis's scope and are specified as future confirmatory work. The Stage-3B component study and the researcher self-test batch of its later Pro v4.1 build are documented as a descriptive record to the 30 September 2026 cut-off (§8.8; Appendix I); no confirmatory analysis is reported from them, and no claim about adaptive learning, durable learning or reduced abandonment rests on them.</w:t>
      </w:r>
    </w:p>
    <w:p w14:paraId="700C23D5" w14:textId="77777777" w:rsidR="0062437E" w:rsidRDefault="00000000">
      <w:pPr>
        <w:pStyle w:val="Heading2"/>
      </w:pPr>
      <w:bookmarkStart w:id="17" w:name="_Toc232024510"/>
      <w:r>
        <w:rPr>
          <w:color w:val="000000"/>
        </w:rPr>
        <w:t>1.14 Structure of the Thesis</w:t>
      </w:r>
      <w:bookmarkEnd w:id="17"/>
    </w:p>
    <w:p w14:paraId="1CC79F23" w14:textId="77777777" w:rsidR="0062437E" w:rsidRDefault="00000000">
      <w:pPr>
        <w:jc w:val="both"/>
      </w:pPr>
      <w:r>
        <w:t>Chapter 2 reviews acceptance, gamification, continuance and learning perspectives and formalises the initial design expectation retrospectively. Chapter 3 explains the exploratory action-research design and the evidential role of each stage. Chapters 4–6 report the retrospective field signal, prospective deployment observations and between-cohort decoupling comparison. Chapter 7 translates those findings into a proposed adaptive-learning framework, specifies credible progress under changing task conditions and connects participant support to iterative service redesign. Chapter 8 evaluates the contribution alongside rival explanations and limitations, and records the Stage-3B component study as an achieved, descriptive record at its stated cut-off of 30 September 2026 (§8.8), with its design parameters, builds and returns on record compiled in Appendix I. Chapter 9 answers the research questions, distinguishes achieved design learning from untested benefits, and sets out the prospective programme needed to evaluate the framework.</w:t>
      </w:r>
    </w:p>
    <w:p w14:paraId="3130C5D3"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8" w:name="_Toc232024511"/>
      <w:r>
        <w:br w:type="page"/>
      </w:r>
    </w:p>
    <w:p w14:paraId="37220DC3" w14:textId="77777777" w:rsidR="0062437E" w:rsidRDefault="00000000">
      <w:pPr>
        <w:pStyle w:val="Heading1"/>
        <w:pageBreakBefore/>
      </w:pPr>
      <w:r>
        <w:rPr>
          <w:color w:val="000000"/>
        </w:rPr>
        <w:lastRenderedPageBreak/>
        <w:t>Chapter 2 Literature Review and Theoretical Foundation</w:t>
      </w:r>
      <w:bookmarkEnd w:id="18"/>
    </w:p>
    <w:p w14:paraId="3076D113" w14:textId="77777777" w:rsidR="0062437E" w:rsidRDefault="00000000">
      <w:pPr>
        <w:pStyle w:val="Heading2"/>
      </w:pPr>
      <w:bookmarkStart w:id="19" w:name="_Toc232024512"/>
      <w:r>
        <w:rPr>
          <w:color w:val="000000"/>
        </w:rPr>
        <w:t>2.1 The Transformative Logic of the Literature Review</w:t>
      </w:r>
      <w:bookmarkEnd w:id="19"/>
    </w:p>
    <w:p w14:paraId="593F9A92" w14:textId="77777777" w:rsidR="0062437E" w:rsidRDefault="00000000">
      <w:pPr>
        <w:jc w:val="both"/>
      </w:pPr>
      <w:r>
        <w:t>This chapter develops the theoretical basis for using gamification proactively to support continuous improvement in an assessment service. It begins with a literature-informed expectation that acceptance-sensitive game design should encourage use, examines the limits of transferring that expectation to the present setting, and develops candidate explanations and engineering responses. The argument distinguishes what established theories predict, what the completed studies observed, and what the proposed adaptive system still requires testing.</w:t>
      </w:r>
    </w:p>
    <w:p w14:paraId="7819B69E" w14:textId="77777777" w:rsidR="0062437E" w:rsidRDefault="00000000">
      <w:pPr>
        <w:jc w:val="both"/>
      </w:pPr>
      <w:r>
        <w:t>Stages one and two develop the initial design expectation. Stage one examines the technology acceptance lineage: the Technology Acceptance Model (Davis, 1989), its extensions (TAM2, TAM3 and UTAUT), and the Senior Technology Acceptance Model (Chen &amp; Chan, 2014). These models connect users' perceptions and circumstances with intention and use. Stage two examines gamification through Deterding et al. (2011), Chou's Octalysis Framework (2015), and the An–Cheung studies of older adults' technology adoption (An, Cheung &amp; Willoughby, 2024; An, Cheung &amp; Lo, 2025). These sources motivate the expectation labelled H0 in §2.3.5; they do not jointly guarantee sustained engagement or supply a retention threshold for FRA. Chapters 4 and 5 examine how this expectation fared in the studied deployments.</w:t>
      </w:r>
    </w:p>
    <w:p w14:paraId="0D7FB49A" w14:textId="77777777" w:rsidR="0062437E" w:rsidRDefault="00000000">
      <w:pPr>
        <w:jc w:val="both"/>
      </w:pPr>
      <w:r>
        <w:t>Stage three considers self-efficacy theory (Bandura, 1977, 1997) and research on older adults' engagement with computers and related technologies (Hawthorn, 2007; Broady, Chan &amp; Caputi, 2010; Tsai et al., 2020). These sources identify perceived capability and anxiety as plausible influences on persistence. A favourable recorded score change need not produce a corresponding change in confidence, satisfaction or willingness to return. Self-efficacy therefore remains a competing or complementary explanation for the observed non-return, rather than a theory excluded by it.</w:t>
      </w:r>
    </w:p>
    <w:p w14:paraId="77402C51" w14:textId="77777777" w:rsidR="0062437E" w:rsidRDefault="00000000">
      <w:pPr>
        <w:jc w:val="both"/>
      </w:pPr>
      <w:r>
        <w:t>Stage four develops an additional appraisal account. Prospect theory and loss aversion (Kahneman &amp; Tversky, 1979), the proposed extension of endowment to identity-relevant self-concepts, mental accounting (Thaler, 1985), and stereotype threat (Steele &amp; Aronson, 1995) are organised in Table 2.1 as distinguishable candidate mechanisms. Their integration is developed in Chapter 5, alongside the provisional descriptive construct that Chapter 4 introduces. None of these operators was directly measured in the empirical stages, and their explanatory value must be assessed against self-efficacy, satisfaction-based continuance and medical-information avoidance.</w:t>
      </w:r>
    </w:p>
    <w:p w14:paraId="73F11E5A" w14:textId="77777777" w:rsidR="0062437E" w:rsidRDefault="00000000">
      <w:pPr>
        <w:jc w:val="both"/>
      </w:pPr>
      <w:r>
        <w:t>Stage five translates these possibilities into a design proposition. Participant-facing decoupling was examined as part of the Stage-3 deployment package; learning-oriented adaptation is proposed for prospective evaluation. The latter links gamification to the thesis title by making difficulty a prompt for support, review and a testable next action. Continuous improvement concerns the refinement of both the service and the participant's opportunities to learn; it does not imply that every participant's scores will rise. The chapter closes by explaining why credible feedback must distinguish changed task conditions from evidence of changed capability.</w:t>
      </w:r>
    </w:p>
    <w:p w14:paraId="0426575D" w14:textId="77777777" w:rsidR="0062437E" w:rsidRDefault="00000000">
      <w:pPr>
        <w:pStyle w:val="Heading2"/>
      </w:pPr>
      <w:bookmarkStart w:id="20" w:name="_Toc232024513"/>
      <w:r>
        <w:rPr>
          <w:color w:val="000000"/>
        </w:rPr>
        <w:t>2.2 Stage One: The Technology Acceptance Lineage</w:t>
      </w:r>
      <w:bookmarkEnd w:id="20"/>
    </w:p>
    <w:p w14:paraId="4DF23738" w14:textId="77777777" w:rsidR="0062437E" w:rsidRDefault="00000000">
      <w:pPr>
        <w:pStyle w:val="Heading3"/>
      </w:pPr>
      <w:bookmarkStart w:id="21" w:name="_Toc232024514"/>
      <w:r>
        <w:rPr>
          <w:color w:val="000000"/>
        </w:rPr>
        <w:t>2.2.1 TAM and the Two-Construct Core</w:t>
      </w:r>
      <w:bookmarkEnd w:id="21"/>
    </w:p>
    <w:p w14:paraId="603D2E2B" w14:textId="77777777" w:rsidR="0062437E" w:rsidRDefault="00000000">
      <w:pPr>
        <w:jc w:val="both"/>
      </w:pPr>
      <w:r>
        <w:t>Davis (1989) proposed Perceived Usefulness (PU) and Perceived Ease of Use (PEOU) as central determinants of technology acceptance. King and He (2006) reviewed the model across 88 studies, supporting its broad relevance while documenting variation across applications. TAM is useful here because it directs attention to how participants understand the value and effort of the system. It does not, however, provide a detailed event-level account of how an adverse assessment encounter changes subsequent use. This is a question of explanatory granularity, rather than evidence that acceptance models cannot address identity-relevant technologies or post-adoption behaviour. Continuance theory also addresses use after initial acceptance through satisfaction, confirmed expectations and perceived usefulness (Bhattacherjee, 2001; §2.7).</w:t>
      </w:r>
    </w:p>
    <w:p w14:paraId="262104C2" w14:textId="77777777" w:rsidR="0062437E" w:rsidRDefault="00000000">
      <w:pPr>
        <w:pStyle w:val="Heading3"/>
      </w:pPr>
      <w:bookmarkStart w:id="22" w:name="_Toc232024515"/>
      <w:r>
        <w:rPr>
          <w:color w:val="000000"/>
        </w:rPr>
        <w:t>2.2.2 TAM2, TAM3 and UTAUT</w:t>
      </w:r>
      <w:bookmarkEnd w:id="22"/>
    </w:p>
    <w:p w14:paraId="5BC057D9" w14:textId="77777777" w:rsidR="0062437E" w:rsidRDefault="00000000">
      <w:pPr>
        <w:jc w:val="both"/>
      </w:pPr>
      <w:r>
        <w:t>Venkatesh and Davis (2000) extended TAM through social influence and cognitive instrumental processes in TAM2. Venkatesh and Bala (2008) developed TAM3, and Venkatesh, Morris, Davis and Davis (2003) integrated eight models in the Unified Theory of Acceptance and Use of Technology (UTAUT). These developments broaden the treatment of intention and use, including effort, social influence and facilitating conditions. They remain relevant to the present programme. The specific question pursued here is how an adverse assessment event may alter perceived competence, anticipated consequences and the personal meaning of continued participation; that sequence is not specified as a distinct mechanism in the models reviewed.</w:t>
      </w:r>
    </w:p>
    <w:p w14:paraId="7CF703B5" w14:textId="77777777" w:rsidR="0062437E" w:rsidRDefault="00000000">
      <w:pPr>
        <w:pStyle w:val="Heading3"/>
      </w:pPr>
      <w:bookmarkStart w:id="23" w:name="_Toc232024516"/>
      <w:r>
        <w:rPr>
          <w:color w:val="000000"/>
        </w:rPr>
        <w:lastRenderedPageBreak/>
        <w:t>2.2.3 The Senior Technology Acceptance Model (STAM)</w:t>
      </w:r>
      <w:bookmarkEnd w:id="23"/>
    </w:p>
    <w:p w14:paraId="2B563BD4" w14:textId="77777777" w:rsidR="0062437E" w:rsidRDefault="00000000">
      <w:pPr>
        <w:jc w:val="both"/>
      </w:pPr>
      <w:r>
        <w:t>Chen and Chan (2014) developed STAM in a study of 1,012 Hong Kong Chinese adults aged 55 and above. Their model explained 68% of the variance in gerontechnology usage and highlighted the relevance of health and ability characteristics, facilitating conditions, anxiety and self-efficacy. STAM therefore supplies an age-sensitive baseline for this thesis, extending attention beyond conventional usefulness and ease-of-use beliefs. Recent mapping reviews likewise identify a broad range of factors associated with older adults' intention to adopt digital technologies (Schroeder et al., 2023). Selected STAM-related attributes inform the coding scheme in Chapter 5 and Appendix B; such coding does not reproduce or independently validate the complete STAM model.</w:t>
      </w:r>
    </w:p>
    <w:p w14:paraId="2641FE45" w14:textId="77777777" w:rsidR="0062437E" w:rsidRDefault="00000000">
      <w:pPr>
        <w:jc w:val="both"/>
      </w:pPr>
      <w:r>
        <w:t>STAM addresses usage as well as intention, so abandonment cannot be positioned as wholly outside its scope. The narrower question is whether an event-specific appraisal of an adverse assessment adds explanatory value beyond the factors STAM already identifies. Chapter 4 introduces a provisional label for the observed pattern of failure-associated non-return; the label describes the pattern and does not itself identify the process producing it. The present stages motivate an appraisal hypothesis but do not demonstrate its incremental predictive value over a fitted STAM or continuance model.</w:t>
      </w:r>
    </w:p>
    <w:p w14:paraId="4CC47721" w14:textId="77777777" w:rsidR="0062437E" w:rsidRDefault="00000000">
      <w:pPr>
        <w:pStyle w:val="Heading2"/>
      </w:pPr>
      <w:bookmarkStart w:id="24" w:name="_Toc232024517"/>
      <w:r>
        <w:rPr>
          <w:color w:val="000000"/>
        </w:rPr>
        <w:t>2.3 Stage Two: Gamification, Octalysis and the An–Cheung Demonstration</w:t>
      </w:r>
      <w:bookmarkEnd w:id="24"/>
    </w:p>
    <w:p w14:paraId="281B1391" w14:textId="77777777" w:rsidR="0062437E" w:rsidRDefault="00000000">
      <w:pPr>
        <w:pStyle w:val="Heading3"/>
      </w:pPr>
      <w:bookmarkStart w:id="25" w:name="_Toc232024518"/>
      <w:r>
        <w:rPr>
          <w:color w:val="000000"/>
        </w:rPr>
        <w:t>2.3.1 Defining Gamification</w:t>
      </w:r>
      <w:bookmarkEnd w:id="25"/>
    </w:p>
    <w:p w14:paraId="31CA6EB4" w14:textId="77777777" w:rsidR="0062437E" w:rsidRDefault="00000000">
      <w:pPr>
        <w:jc w:val="both"/>
      </w:pPr>
      <w:r>
        <w:t>Deterding, Dixon, Khaled and Nacke (2011) defined gamification as the use of game design elements in non-game contexts. Such elements include points, levels, challenges, narratives and feedback structures. A complete game is conceptually distinct from this definition. The present intervention is therefore described more precisely as a serious game, with an embodied exercise component in the pressure-panel configuration, used within a gamified assessment service. The thesis retains gamification as the broader service-design term. Within game studies, failure can be a valued part of play (Juul, 2013); the question here is how its meaning may change when play is associated with assessment. The gameplay and measurement functions can be driven by the same bodily movement, but no equivalence between game performance and validated clinical FRA outcomes should be assumed without protocol-level validation.</w:t>
      </w:r>
    </w:p>
    <w:p w14:paraId="3E05BEBD" w14:textId="77777777" w:rsidR="0062437E" w:rsidRDefault="00000000">
      <w:pPr>
        <w:pStyle w:val="Heading3"/>
      </w:pPr>
      <w:bookmarkStart w:id="26" w:name="_Toc232024519"/>
      <w:r>
        <w:rPr>
          <w:color w:val="000000"/>
        </w:rPr>
        <w:lastRenderedPageBreak/>
        <w:t>2.3.2 The Octalysis Framework</w:t>
      </w:r>
      <w:bookmarkEnd w:id="26"/>
    </w:p>
    <w:p w14:paraId="7D734035" w14:textId="77777777" w:rsidR="0062437E" w:rsidRDefault="00000000">
      <w:pPr>
        <w:jc w:val="both"/>
      </w:pPr>
      <w:r>
        <w:t>Chou (2015) organises Octalysis around eight motivational drives: D1 Epic Meaning and Calling, D2 Development and Accomplishment, D3 Empowerment of Creativity and Feedback, D4 Ownership and Possession, D5 Social Influence and Relatedness, D6 Scarcity and Impatience, D7 Unpredictability and Curiosity, and D8 Loss and Avoidance. The framework supplies a practitioner vocabulary for the present design. Its own guidance recognises that excessive loss-based motivation can demoralise users and cause dropout, and recommends moderation and alternative drives (Beerda, 2015). The thesis therefore does not claim to discover that loss can undermine engagement. Its narrower proposition is that an assessment context may add personally consequential meanings to loss that are insufficiently addressed by manipulating in-game rewards alone. Section 2.6.2C develops non-terminal feedback as one testable response to that contextual problem.</w:t>
      </w:r>
    </w:p>
    <w:p w14:paraId="49733281" w14:textId="77777777" w:rsidR="0062437E" w:rsidRDefault="00000000">
      <w:pPr>
        <w:pStyle w:val="Heading3"/>
      </w:pPr>
      <w:r>
        <w:rPr>
          <w:color w:val="000000"/>
        </w:rPr>
        <w:t>2.3.3 An, Cheung and Willoughby (2024): Evidence for Gamified Technology Learning with Older Adults</w:t>
      </w:r>
    </w:p>
    <w:p>
      <w:pPr>
        <w:pStyle w:val="Normal"/>
        <w:jc w:val="both"/>
      </w:pPr>
      <w:r>
        <w:rPr>
          <w:szCs w:val="22"/>
          <w:lang w:val="en-US" w:eastAsia="en-US" w:bidi="ar-SA"/>
          <w:rFonts w:ascii="Times New Roman" w:hAnsi="Times New Roman" w:eastAsia="Times New Roman" w:cs="Times New Roman"/>
          <w:sz w:val="24"/>
        </w:rPr>
        <w:t>An, Cheung and Willoughby (2024) examined a gamification approach to older adults' mobile-payment adoption and knowledge transfer in Hong Kong. Their one-group pre/post study reported gains in knowledge and adoption-related outcomes, providing a relevant example of game-informed technology learning. An, Cheung and Lo (2025) examined a related approach to mobile maps. These studies support investigating gamification with older adults, but their domains and designs do not establish that a selected set of acceptance and game-design features will sustain use in a clinical assessment service.</w:t>
      </w:r>
    </w:p>
    <w:p>
      <w:pPr>
        <w:pStyle w:val="Normal"/>
        <w:jc w:val="both"/>
      </w:pPr>
      <w:r>
        <w:rPr>
          <w:szCs w:val="22"/>
          <w:lang w:val="en-US" w:eastAsia="en-US" w:bidi="ar-SA"/>
          <w:rFonts w:ascii="Times New Roman" w:hAnsi="Times New Roman" w:eastAsia="Times New Roman" w:cs="Times New Roman"/>
          <w:sz w:val="24"/>
        </w:rPr>
        <w:t>Two transfer questions are particularly relevant. Mobile payments and mobile maps differ from assessment in their purpose and the possible personal consequences of feedback. Their adoption findings also do not supply a benchmark for the longitudinal non-return examined in this thesis. These differences motivate study of the FRA setting; they do not establish a categorical clinical/non-clinical boundary or imply that identity concerns cannot arise in other technologies.</w:t>
      </w:r>
    </w:p>
    <w:p>
      <w:pPr>
        <w:pStyle w:val="Heading3"/>
      </w:pPr>
      <w:bookmarkStart w:id="27" w:name="_Toc232024521"/>
      <w:r>
        <w:rPr>
          <w:color w:val="000000"/>
          <w:szCs w:val="22"/>
          <w:lang w:val="en-US" w:eastAsia="en-US" w:bidi="ar-SA"/>
        </w:rPr>
        <w:t>2.3.4 The Boundary: When the Technology is Attached to FRA</w:t>
      </w:r>
      <w:bookmarkEnd w:id="27"/>
    </w:p>
    <w:p>
      <w:pPr>
        <w:pStyle w:val="Normal"/>
        <w:jc w:val="both"/>
      </w:pPr>
      <w:r>
        <w:rPr>
          <w:szCs w:val="22"/>
          <w:lang w:val="en-US" w:eastAsia="en-US" w:bidi="ar-SA"/>
          <w:rFonts w:ascii="Times New Roman" w:hAnsi="Times New Roman" w:eastAsia="Times New Roman" w:cs="Times New Roman"/>
          <w:sz w:val="24"/>
        </w:rPr>
        <w:t>The present thesis examines what happens when the same theoretical stack is applied to older users of FRA, a clinical health technology. Two Octalysis drives may operate differently in this setting. D8 (Loss and Avoidance) usually refers to loss of in-game assets; in a diagnostic frame, an adverse event may instead be interpreted as information about personal decline. D5 (Social Influence and Relatedness) may also become double-edged if peer comparison increases age-related self-awareness. These are context-dependent propositions, not universal inversions of the framework. Whether social-comparison framing reduces engagement in this population was not isolated as a test in the present programme; it is recorded as a question for future controlled study (§6.8A; §8.8).</w:t>
      </w:r>
    </w:p>
    <w:p>
      <w:pPr>
        <w:pStyle w:val="Normal"/>
        <w:jc w:val="both"/>
      </w:pPr>
      <w:r>
        <w:rPr>
          <w:szCs w:val="22"/>
          <w:lang w:val="en-US" w:eastAsia="en-US" w:bidi="ar-SA"/>
          <w:rFonts w:ascii="Times New Roman" w:hAnsi="Times New Roman" w:eastAsia="Times New Roman" w:cs="Times New Roman"/>
          <w:sz w:val="24"/>
        </w:rPr>
        <w:t>The Stage-1 survey, reported in Chapter 4, supplies the corresponding population-level signature: it records a pattern of prior use, adverse first experiences and subsequent non-return that motivated the boundary question; among prior users, most first experiences were coded as adverse, unacceptable or unsuccessful, and most of that subgroup reported no subsequent return; the figures are reported in Chapter 4 (Table 4.1) as aggregate percentages; the per-respondent response file is not archived (Appendix G, item G.1), so the conditional figures cannot be reproduced as item-level counts. These labels require item-level reconciliation because the reproduced survey item asks whether the first result was understood and accepted rather than directly measuring task failure. The favourable physical-access and perceived-benefit estimates that appeared in working tables from the survey period are not reported as survey results, because they cannot be traced to items in the archived six-item instrument (Appendix A; §4.2). The pattern motivates prospective study of the first experience, but it does not by itself establish task failure, irreversible abandonment or a specific psychological mechanism. Stage two of the transformative chain therefore reaches a boundary and motivates an additional explanatory layer.</w:t>
      </w:r>
    </w:p>
    <w:p>
      <w:pPr>
        <w:pStyle w:val="Heading3"/>
      </w:pPr>
      <w:r>
        <w:rPr>
          <w:color w:val="000000"/>
          <w:szCs w:val="22"/>
          <w:lang w:val="en-US" w:eastAsia="en-US" w:bidi="ar-SA"/>
        </w:rPr>
        <w:t>2.3.5 The Initial Design Expectation from Stages One and Two</w:t>
      </w:r>
    </w:p>
    <w:p>
      <w:pPr>
        <w:pStyle w:val="Normal"/>
        <w:jc w:val="both"/>
      </w:pPr>
      <w:r>
        <w:rPr>
          <w:szCs w:val="22"/>
          <w:lang w:val="en-US" w:eastAsia="en-US" w:bidi="ar-SA"/>
          <w:rFonts w:ascii="Times New Roman" w:hAnsi="Times New Roman" w:eastAsia="Times New Roman" w:cs="Times New Roman"/>
          <w:sz w:val="24"/>
        </w:rPr>
        <w:t>The acceptance and gamification literatures motivate an initial design expectation: a useful, accessible and engaging FRA interaction should encourage participation and return (Davis, 1989; Chen &amp; Chan, 2014; An, Cheung &amp; Willoughby, 2024). The H0 notation is retained to connect this expectation with the programme's later discussion, but it denotes a qualitative working proposition formalised retrospectively, not a preregistered statistical null hypothesis. The cited sources provide neither a numerical retention threshold nor a guarantee that adverse experiences will have no effect. Consequently, an unmet expectation identifies a shortfall in this implementation and setting; it cannot by itself falsify TAM, STAM or gamification research.</w:t>
      </w:r>
    </w:p>
    <w:p>
      <w:pPr>
        <w:pStyle w:val="Normal"/>
        <w:jc w:val="both"/>
      </w:pPr>
      <w:r>
        <w:rPr>
          <w:szCs w:val="22"/>
          <w:lang w:val="en-US" w:eastAsia="en-US" w:bidi="ar-SA"/>
          <w:rFonts w:ascii="Times New Roman" w:hAnsi="Times New Roman" w:eastAsia="Times New Roman" w:cs="Times New Roman"/>
          <w:sz w:val="24"/>
        </w:rPr>
        <w:t>H0 — The initial design expectation is that an FRA interaction informed by TAM/STAM and selected Octalysis drives will encourage acceptance and sustained participation, including willingness to retry after difficulty. Whether the implemented design meets that expectation is an empirical question for this programme.</w:t>
      </w:r>
    </w:p>
    <w:p>
      <w:pPr>
        <w:pStyle w:val="Normal"/>
        <w:jc w:val="both"/>
      </w:pPr>
      <w:r>
        <w:rPr>
          <w:szCs w:val="22"/>
          <w:lang w:val="en-US" w:eastAsia="en-US" w:bidi="ar-SA"/>
          <w:rFonts w:ascii="Times New Roman" w:hAnsi="Times New Roman" w:eastAsia="Times New Roman" w:cs="Times New Roman"/>
          <w:sz w:val="24"/>
        </w:rPr>
        <w:t>The Stage-2 game included an acceptance-oriented entry flow, challenge calibration, coin rewards, levels, feedback and a natural control mapping, with AI assistance used in development (§5.3.9). These features document the intended design response; they do not establish that every participant experienced the corresponding usefulness, ease, competence or motivation. Stage 1 provides retrospective context; whether the implemented design realised that expectation is examined prospectively in Chapter 5, including cases with favourable recorded score change. Chapter 5 records that the initial expectation was not realised in this deployment. Implementation quality, task demands and contextual influences remain explanations requiring examination (§8.5.7); AI-assisted construction does not eliminate them.</w:t>
      </w:r>
    </w:p>
    <w:p>
      <w:pPr>
        <w:pStyle w:val="Normal"/>
        <w:jc w:val="both"/>
      </w:pPr>
      <w:r>
        <w:rPr>
          <w:szCs w:val="22"/>
          <w:lang w:val="en-US" w:eastAsia="en-US" w:bidi="ar-SA"/>
          <w:rFonts w:ascii="Times New Roman" w:hAnsi="Times New Roman" w:eastAsia="Times New Roman" w:cs="Times New Roman"/>
          <w:sz w:val="24"/>
        </w:rPr>
        <w:t>The remainder of the chapter considers why the implemented intervention may not have sustained participation and develops alternative responses. Established acceptance and continuance explanations remain relevant, while additional appraisal accounts motivate changes to feedback, challenge and support that Chapters 5 to 7 translate into prospective engineering questions.</w:t>
      </w:r>
    </w:p>
    <w:p>
      <w:pPr>
        <w:pStyle w:val="Heading2"/>
      </w:pPr>
      <w:bookmarkStart w:id="28" w:name="_Toc232024522"/>
      <w:r>
        <w:rPr>
          <w:lang w:val="en-US" w:eastAsia="en-US" w:bidi="ar-SA"/>
          <w:color w:val="000000"/>
          <w:szCs w:val="26"/>
        </w:rPr>
        <w:t>2.4 Stage Three: Self-Efficacy as the First Diagnostic Layer</w:t>
      </w:r>
      <w:bookmarkEnd w:id="28"/>
    </w:p>
    <w:p>
      <w:pPr>
        <w:pStyle w:val="Heading3"/>
      </w:pPr>
      <w:bookmarkStart w:id="29" w:name="_Toc232024523"/>
      <w:r>
        <w:rPr>
          <w:color w:val="000000"/>
          <w:szCs w:val="22"/>
          <w:lang w:val="en-US" w:eastAsia="en-US" w:bidi="ar-SA"/>
        </w:rPr>
        <w:t>2.4.1 Bandura's Self-Efficacy</w:t>
      </w:r>
      <w:bookmarkEnd w:id="29"/>
    </w:p>
    <w:p>
      <w:pPr>
        <w:pStyle w:val="Normal"/>
        <w:jc w:val="both"/>
      </w:pPr>
      <w:r>
        <w:rPr>
          <w:szCs w:val="22"/>
          <w:lang w:val="en-US" w:eastAsia="en-US" w:bidi="ar-SA"/>
          <w:rFonts w:ascii="Times New Roman" w:hAnsi="Times New Roman" w:eastAsia="Times New Roman" w:cs="Times New Roman"/>
          <w:sz w:val="24"/>
        </w:rPr>
        <w:t>Self-efficacy is a person's belief in their capacity to succeed at a specific task (Bandura, 1977, 1997). It is task-specific, responsive to experience and relevant to persistence under difficulty. An adverse experience can lower perceived capability and reduce willingness to continue, although its effect depends on how the person interprets the event and the support available. Self-efficacy therefore supplies an established candidate explanation for withdrawal that the present appraisal account must address.</w:t>
      </w:r>
    </w:p>
    <w:p>
      <w:pPr>
        <w:pStyle w:val="Heading3"/>
      </w:pPr>
      <w:bookmarkStart w:id="30" w:name="_Toc232024524"/>
      <w:r>
        <w:rPr>
          <w:color w:val="000000"/>
          <w:szCs w:val="22"/>
          <w:lang w:val="en-US" w:eastAsia="en-US" w:bidi="ar-SA"/>
        </w:rPr>
        <w:t>2.4.2 Computer Self-Efficacy Among Older Adults</w:t>
      </w:r>
      <w:bookmarkEnd w:id="30"/>
    </w:p>
    <w:p>
      <w:pPr>
        <w:pStyle w:val="Normal"/>
        <w:jc w:val="both"/>
      </w:pPr>
      <w:r>
        <w:rPr>
          <w:szCs w:val="22"/>
          <w:lang w:val="en-US" w:eastAsia="en-US" w:bidi="ar-SA"/>
          <w:rFonts w:ascii="Times New Roman" w:hAnsi="Times New Roman" w:eastAsia="Times New Roman" w:cs="Times New Roman"/>
          <w:sz w:val="24"/>
        </w:rPr>
        <w:t>Computer self-efficacy, developed as a domain-specific construct by Compeau and Higgins (1995), concerns confidence in using computing technology. Research on older users highlights the importance of prior experience, support and perceived capability, while also showing why age alone is an incomplete explanation of engagement (Hawthorn, 2007; Broady, Chan &amp; Caputi, 2010). In the present setting, difficulty may undermine confidence for some participants, but a smaller confidence reserve cannot be inferred from age or non-return alone. The relevant proposition is that perceived capability and its change after the encounter should be measured alongside recorded performance.</w:t>
      </w:r>
    </w:p>
    <w:p>
      <w:pPr>
        <w:pStyle w:val="Heading3"/>
      </w:pPr>
      <w:bookmarkStart w:id="31" w:name="_Toc232024525"/>
      <w:bookmarkEnd w:id="31"/>
      <w:r>
        <w:rPr>
          <w:color w:val="000000"/>
          <w:szCs w:val="22"/>
          <w:lang w:val="en-US" w:eastAsia="en-US" w:bidi="ar-SA"/>
        </w:rPr>
        <w:t>2.4.3 Technology Anxiety and Perceived Acceptance</w:t>
      </w:r>
    </w:p>
    <w:p>
      <w:pPr>
        <w:pStyle w:val="Normal"/>
        <w:jc w:val="both"/>
      </w:pPr>
      <w:r>
        <w:rPr>
          <w:szCs w:val="22"/>
          <w:lang w:val="en-US" w:eastAsia="en-US" w:bidi="ar-SA"/>
          <w:rFonts w:ascii="Times New Roman" w:hAnsi="Times New Roman" w:eastAsia="Times New Roman" w:cs="Times New Roman"/>
          <w:sz w:val="24"/>
        </w:rPr>
        <w:t>Tsai et al. (2020) examined older adults' perceptions of a wearable cardiac warming system after a demonstration, using an extended technology-acceptance model. Technology anxiety was associated with perceived ease of use and perceived ubiquity in their overall sample, whereas the proposed resistance-to-change relationships were unsupported. The study makes anxiety relevant to the present design problem, but it did not follow repeated adverse encounters or everyday device use. It therefore cannot establish a temporal sequence from early difficulty to declining confidence and permanent withdrawal.</w:t>
      </w:r>
    </w:p>
    <w:p>
      <w:pPr>
        <w:pStyle w:val="Heading3"/>
      </w:pPr>
      <w:bookmarkStart w:id="32" w:name="_Toc232024526"/>
      <w:r>
        <w:rPr>
          <w:color w:val="000000"/>
          <w:szCs w:val="22"/>
          <w:lang w:val="en-US" w:eastAsia="en-US" w:bidi="ar-SA"/>
        </w:rPr>
        <w:t>2.4.4 What Self-Efficacy Explains and What It Does Not</w:t>
      </w:r>
      <w:bookmarkEnd w:id="32"/>
    </w:p>
    <w:p>
      <w:pPr>
        <w:pStyle w:val="Normal"/>
        <w:jc w:val="both"/>
      </w:pPr>
      <w:r>
        <w:rPr>
          <w:szCs w:val="22"/>
          <w:lang w:val="en-US" w:eastAsia="en-US" w:bidi="ar-SA"/>
          <w:rFonts w:ascii="Times New Roman" w:hAnsi="Times New Roman" w:eastAsia="Times New Roman" w:cs="Times New Roman"/>
          <w:sz w:val="24"/>
        </w:rPr>
        <w:t>Self-efficacy provides a plausible mechanism for withdrawal after failure. A user who begins with limited confidence, experiences difficulty and updates their task-specific self-belief downward may be less likely to persist. Importantly, self-efficacy theory also allows recovery through mastery experience, support and successful re-engagement. It therefore does not, on its own, require an irreversible or absorbing state.</w:t>
      </w:r>
    </w:p>
    <w:p>
      <w:pPr>
        <w:pStyle w:val="Normal"/>
        <w:jc w:val="both"/>
      </w:pPr>
      <w:r>
        <w:rPr>
          <w:szCs w:val="22"/>
          <w:lang w:val="en-US" w:eastAsia="en-US" w:bidi="ar-SA"/>
          <w:rFonts w:ascii="Times New Roman" w:hAnsi="Times New Roman" w:eastAsia="Times New Roman" w:cs="Times New Roman"/>
          <w:sz w:val="24"/>
        </w:rPr>
        <w:t>Chapter 5 examines whether recorded index change and return move together; a subgroup in which they diverge is not easily predicted from a simple capability-improves-confidence account. However, the observation rests on the six-member F4 cluster, all of whom played a single session and none of whom returned during the observation window; the divergence itself concerns the three of the six who recorded a positive index change, one of whom is the record that failed verification (S2-P015; §5.5, §5.6). Positive single-session score change is also not equivalent to mastery or clinical benefit. The pattern therefore motivates an additional explanatory layer; it does not by itself falsify self-efficacy theory.</w:t>
      </w:r>
    </w:p>
    <w:p>
      <w:pPr>
        <w:pStyle w:val="Heading2"/>
      </w:pPr>
      <w:r>
        <w:rPr>
          <w:lang w:val="en-US" w:eastAsia="en-US" w:bidi="ar-SA"/>
          <w:color w:val="000000"/>
          <w:szCs w:val="26"/>
        </w:rPr>
        <w:t>2.5 Stage Four: Behavioural Science as a Candidate Account of Failure-Associated Non-Return</w:t>
      </w:r>
    </w:p>
    <w:p>
      <w:pPr>
        <w:pStyle w:val="Heading3"/>
      </w:pPr>
      <w:r>
        <w:rPr>
          <w:color w:val="000000"/>
          <w:szCs w:val="22"/>
          <w:lang w:val="en-US" w:eastAsia="en-US" w:bidi="ar-SA"/>
        </w:rPr>
        <w:t>2.5.1 Why an Additional Appraisal Account Is Considered</w:t>
      </w:r>
    </w:p>
    <w:p>
      <w:pPr>
        <w:pStyle w:val="Normal"/>
        <w:jc w:val="both"/>
      </w:pPr>
      <w:r>
        <w:rPr>
          <w:szCs w:val="22"/>
          <w:lang w:val="en-US" w:eastAsia="en-US" w:bidi="ar-SA"/>
          <w:rFonts w:ascii="Times New Roman" w:hAnsi="Times New Roman" w:eastAsia="Times New Roman" w:cs="Times New Roman"/>
          <w:sz w:val="24"/>
        </w:rPr>
        <w:t>The proposed appraisal account extends the questions raised by the unmet design expectation. Three features warrant investigation: the concentration of exits around adverse experiences, non-return alongside favourable recorded score change, and different engagement patterns across the clinically framed and remote gameplay deployments. None uniquely identifies a behavioural-economic mechanism, and self-efficacy remains compatible with non-return even though it allows recovery. Table 2.1 maps these observations to candidate explanations and predictions that could distinguish them in future work. The psychological operators were not directly measured; the table guides the prospective measurement programme (§3.6) rather than reporting a validated causal sequence.</w:t>
      </w:r>
    </w:p>
    <w:p>
      <w:pPr>
        <w:pStyle w:val="FigureCaption"/>
        <w:keepNext/>
        <w:keepLines/>
        <w:jc w:val="center"/>
      </w:pPr>
      <w:r>
        <w:rPr>
          <w:sz w:val="22"/>
          <w:szCs w:val="22"/>
          <w:lang w:val="en-US" w:eastAsia="en-US" w:bidi="ar-SA"/>
          <w:rFonts w:ascii="Times New Roman" w:hAnsi="Times New Roman" w:eastAsia="Times New Roman" w:cs="Times New Roman"/>
          <w:i/>
        </w:rPr>
        <w:t>Table 2.1. From the unmet design expectation to candidate mechanisms and prospective tests.</w:t>
      </w:r>
    </w:p>
    <w:tbl>
      <w:tblPr>
        <w:tblStyle w:val="TableGrid"/>
        <w:tblW w:type="dxa" w:w="8505"/>
        <w:tblLayout w:type="fixed"/>
        <w:tblLook w:firstColumn="1" w:firstRow="1" w:lastColumn="0" w:lastRow="0" w:noHBand="0" w:noVBand="1" w:val="04A0"/>
      </w:tblPr>
      <w:tblGrid>
        <w:gridCol w:w="2039"/>
        <w:gridCol w:w="1850"/>
        <w:gridCol w:w="2183"/>
        <w:gridCol w:w="2433"/>
      </w:tblGrid>
      <w:tr>
        <w:trPr>
          <w:tblHeader/>
          <w:cantSplit/>
        </w:trPr>
        <w:tc>
          <w:tcPr>
            <w:tcW w:type="dxa" w:w="2039"/>
          </w:tcPr>
          <w:p>
            <w:pPr>
              <w:keepNext w:val="0"/>
              <w:keepLines/>
            </w:pPr>
            <w:r>
              <w:rPr>
                <w:rFonts w:ascii="Times New Roman" w:hAnsi="Times New Roman"/>
                <w:b/>
                <w:sz w:val="18"/>
              </w:rPr>
              <w:t>Observation motivating investigation</w:t>
            </w:r>
          </w:p>
        </w:tc>
        <w:tc>
          <w:tcPr>
            <w:tcW w:type="dxa" w:w="1850"/>
          </w:tcPr>
          <w:p>
            <w:pPr>
              <w:pStyle w:val="Normal"/>
              <w:keepNext w:val="0"/>
              <w:keepLines/>
            </w:pPr>
            <w:r>
              <w:rPr>
                <w:b/>
                <w:sz w:val="18"/>
                <w:szCs w:val="22"/>
                <w:lang w:val="en-US" w:eastAsia="en-US" w:bidi="ar-SA"/>
                <w:rFonts w:ascii="Times New Roman" w:hAnsi="Times New Roman" w:eastAsia="Times New Roman" w:cs="Times New Roman"/>
              </w:rPr>
              <w:t>Behavioural theory</w:t>
            </w:r>
          </w:p>
        </w:tc>
        <w:tc>
          <w:tcPr>
            <w:tcW w:type="dxa" w:w="2183"/>
          </w:tcPr>
          <w:p>
            <w:pPr>
              <w:keepNext w:val="0"/>
              <w:keepLines/>
            </w:pPr>
            <w:r>
              <w:rPr>
                <w:rFonts w:ascii="Times New Roman" w:hAnsi="Times New Roman"/>
                <w:b/>
                <w:sz w:val="18"/>
              </w:rPr>
              <w:t>Construct contributed to the account</w:t>
            </w:r>
          </w:p>
        </w:tc>
        <w:tc>
          <w:tcPr>
            <w:tcW w:type="dxa" w:w="2433"/>
          </w:tcPr>
          <w:p>
            <w:pPr>
              <w:pStyle w:val="Normal"/>
              <w:keepNext w:val="0"/>
              <w:keepLines/>
            </w:pPr>
            <w:r>
              <w:rPr>
                <w:b/>
                <w:sz w:val="18"/>
                <w:szCs w:val="22"/>
                <w:lang w:val="en-US" w:eastAsia="en-US" w:bidi="ar-SA"/>
                <w:rFonts w:ascii="Times New Roman" w:hAnsi="Times New Roman" w:eastAsia="Times New Roman" w:cs="Times New Roman"/>
              </w:rPr>
              <w:t>Prediction generated</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An adverse first experience precedes early disengagement</w:t>
            </w:r>
          </w:p>
        </w:tc>
        <w:tc>
          <w:tcPr>
            <w:tcW w:type="dxa" w:w="1850"/>
          </w:tcPr>
          <w:p>
            <w:pPr>
              <w:pStyle w:val="Normal"/>
            </w:pPr>
            <w:r>
              <w:rPr>
                <w:sz w:val="20"/>
                <w:szCs w:val="22"/>
                <w:lang w:val="en-US" w:eastAsia="en-US" w:bidi="ar-SA"/>
                <w:rFonts w:ascii="Times New Roman" w:hAnsi="Times New Roman" w:eastAsia="Times New Roman" w:cs="Times New Roman"/>
              </w:rPr>
              <w:t>Prospect theory / loss aversion (Kahneman &amp; Tversky, 1979)</w:t>
            </w:r>
          </w:p>
        </w:tc>
        <w:tc>
          <w:tcPr>
            <w:tcW w:type="dxa" w:w="2183"/>
          </w:tcPr>
          <w:p>
            <w:pPr>
              <w:pStyle w:val="Normal"/>
            </w:pPr>
            <w:r>
              <w:rPr>
                <w:sz w:val="20"/>
                <w:szCs w:val="22"/>
                <w:lang w:val="en-US" w:eastAsia="en-US" w:bidi="ar-SA"/>
                <w:rFonts w:ascii="Times New Roman" w:hAnsi="Times New Roman" w:eastAsia="Times New Roman" w:cs="Times New Roman"/>
              </w:rPr>
              <w:t>Asymmetric weighting of an adverse result against a valued reference point</w:t>
            </w:r>
          </w:p>
        </w:tc>
        <w:tc>
          <w:tcPr>
            <w:tcW w:type="dxa" w:w="2433"/>
          </w:tcPr>
          <w:p>
            <w:pPr>
              <w:pStyle w:val="Normal"/>
            </w:pPr>
            <w:r>
              <w:rPr>
                <w:sz w:val="20"/>
                <w:szCs w:val="22"/>
                <w:lang w:val="en-US" w:eastAsia="en-US" w:bidi="ar-SA"/>
                <w:rFonts w:ascii="Times New Roman" w:hAnsi="Times New Roman" w:eastAsia="Times New Roman" w:cs="Times New Roman"/>
              </w:rPr>
              <w:t>Reference-dependent appraisal predicts disengagement beyond perceived competence and satisfaction (H1, Chapter 5; prospective measurement)</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Non-return coexists with favourable recorded score change</w:t>
            </w:r>
          </w:p>
        </w:tc>
        <w:tc>
          <w:tcPr>
            <w:tcW w:type="dxa" w:w="1850"/>
          </w:tcPr>
          <w:p>
            <w:pPr>
              <w:pStyle w:val="Normal"/>
            </w:pPr>
            <w:r>
              <w:rPr>
                <w:sz w:val="20"/>
                <w:szCs w:val="22"/>
                <w:lang w:val="en-US" w:eastAsia="en-US" w:bidi="ar-SA"/>
                <w:rFonts w:ascii="Times New Roman" w:hAnsi="Times New Roman" w:eastAsia="Times New Roman" w:cs="Times New Roman"/>
              </w:rPr>
              <w:t>Endowment effect (Thaler, 1980; Kahneman, Knetsch &amp; Thaler, 1990)</w:t>
            </w:r>
          </w:p>
        </w:tc>
        <w:tc>
          <w:tcPr>
            <w:tcW w:type="dxa" w:w="2183"/>
          </w:tcPr>
          <w:p>
            <w:pPr>
              <w:pStyle w:val="Normal"/>
            </w:pPr>
            <w:r>
              <w:rPr>
                <w:sz w:val="20"/>
                <w:szCs w:val="22"/>
                <w:lang w:val="en-US" w:eastAsia="en-US" w:bidi="ar-SA"/>
                <w:rFonts w:ascii="Times New Roman" w:hAnsi="Times New Roman" w:eastAsia="Times New Roman" w:cs="Times New Roman"/>
              </w:rPr>
              <w:t>Proposed identity-related endowment: avoidance may protect a valued self-description</w:t>
            </w:r>
          </w:p>
        </w:tc>
        <w:tc>
          <w:tcPr>
            <w:tcW w:type="dxa" w:w="2433"/>
          </w:tcPr>
          <w:p>
            <w:pPr>
              <w:pStyle w:val="Normal"/>
            </w:pPr>
            <w:r>
              <w:rPr>
                <w:sz w:val="20"/>
                <w:szCs w:val="22"/>
                <w:lang w:val="en-US" w:eastAsia="en-US" w:bidi="ar-SA"/>
                <w:rFonts w:ascii="Times New Roman" w:hAnsi="Times New Roman" w:eastAsia="Times New Roman" w:cs="Times New Roman"/>
              </w:rPr>
              <w:t>Identity-related appraisal predicts return beyond recorded performance and perceived capability (H4; prospective measurement)</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Engagement differs across assessment and remote gameplay contexts</w:t>
            </w:r>
          </w:p>
        </w:tc>
        <w:tc>
          <w:tcPr>
            <w:tcW w:type="dxa" w:w="1850"/>
          </w:tcPr>
          <w:p>
            <w:pPr>
              <w:pStyle w:val="Normal"/>
            </w:pPr>
            <w:r>
              <w:rPr>
                <w:sz w:val="20"/>
                <w:szCs w:val="22"/>
                <w:lang w:val="en-US" w:eastAsia="en-US" w:bidi="ar-SA"/>
                <w:rFonts w:ascii="Times New Roman" w:hAnsi="Times New Roman" w:eastAsia="Times New Roman" w:cs="Times New Roman"/>
              </w:rPr>
              <w:t>Mental accounting (Thaler, 1985)</w:t>
            </w:r>
          </w:p>
        </w:tc>
        <w:tc>
          <w:tcPr>
            <w:tcW w:type="dxa" w:w="2183"/>
          </w:tcPr>
          <w:p>
            <w:pPr>
              <w:pStyle w:val="Normal"/>
            </w:pPr>
            <w:r>
              <w:rPr>
                <w:sz w:val="20"/>
                <w:szCs w:val="22"/>
                <w:lang w:val="en-US" w:eastAsia="en-US" w:bidi="ar-SA"/>
                <w:rFonts w:ascii="Times New Roman" w:hAnsi="Times New Roman" w:eastAsia="Times New Roman" w:cs="Times New Roman"/>
              </w:rPr>
              <w:t>Clinical framing may assign the encounter greater personal stakes</w:t>
            </w:r>
          </w:p>
        </w:tc>
        <w:tc>
          <w:tcPr>
            <w:tcW w:type="dxa" w:w="2433"/>
          </w:tcPr>
          <w:p>
            <w:pPr>
              <w:pStyle w:val="Normal"/>
            </w:pPr>
            <w:r>
              <w:rPr>
                <w:sz w:val="20"/>
                <w:szCs w:val="22"/>
                <w:lang w:val="en-US" w:eastAsia="en-US" w:bidi="ar-SA"/>
                <w:rFonts w:ascii="Times New Roman" w:hAnsi="Times New Roman" w:eastAsia="Times New Roman" w:cs="Times New Roman"/>
              </w:rPr>
              <w:t>Controlled changes to framing alter appraisals and return; the Stage-3 contrast motivates this test (H5)</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Clinical and age-related cues may affect the interpretation of difficulty</w:t>
            </w:r>
          </w:p>
        </w:tc>
        <w:tc>
          <w:tcPr>
            <w:tcW w:type="dxa" w:w="1850"/>
          </w:tcPr>
          <w:p>
            <w:pPr>
              <w:pStyle w:val="Normal"/>
            </w:pPr>
            <w:r>
              <w:rPr>
                <w:sz w:val="20"/>
                <w:szCs w:val="22"/>
                <w:lang w:val="en-US" w:eastAsia="en-US" w:bidi="ar-SA"/>
                <w:rFonts w:ascii="Times New Roman" w:hAnsi="Times New Roman" w:eastAsia="Times New Roman" w:cs="Times New Roman"/>
              </w:rPr>
              <w:t>Stereotype threat (Steele &amp; Aronson, 1995; Barber, 2017)</w:t>
            </w:r>
          </w:p>
        </w:tc>
        <w:tc>
          <w:tcPr>
            <w:tcW w:type="dxa" w:w="2183"/>
          </w:tcPr>
          <w:p>
            <w:pPr>
              <w:pStyle w:val="Normal"/>
            </w:pPr>
            <w:r>
              <w:rPr>
                <w:sz w:val="20"/>
                <w:szCs w:val="22"/>
                <w:lang w:val="en-US" w:eastAsia="en-US" w:bidi="ar-SA"/>
                <w:rFonts w:ascii="Times New Roman" w:hAnsi="Times New Roman" w:eastAsia="Times New Roman" w:cs="Times New Roman"/>
              </w:rPr>
              <w:t>Salience of a relevant negative age stereotype as one possible trigger</w:t>
            </w:r>
          </w:p>
        </w:tc>
        <w:tc>
          <w:tcPr>
            <w:tcW w:type="dxa" w:w="2433"/>
          </w:tcPr>
          <w:p>
            <w:pPr>
              <w:pStyle w:val="Normal"/>
            </w:pPr>
            <w:r>
              <w:rPr>
                <w:sz w:val="20"/>
                <w:szCs w:val="22"/>
                <w:lang w:val="en-US" w:eastAsia="en-US" w:bidi="ar-SA"/>
                <w:rFonts w:ascii="Times New Roman" w:hAnsi="Times New Roman" w:eastAsia="Times New Roman" w:cs="Times New Roman"/>
              </w:rPr>
              <w:t>Measured stereotype activation mediates a framing effect; threat-reduced coaching is a prospective response (Chapter 7)</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Abandonment persisted although the Stage-2 build had already softened in-game loss (lives, forgiving hits)</w:t>
            </w:r>
          </w:p>
        </w:tc>
        <w:tc>
          <w:tcPr>
            <w:tcW w:type="dxa" w:w="1850"/>
          </w:tcPr>
          <w:p>
            <w:pPr>
              <w:pStyle w:val="Normal"/>
            </w:pPr>
            <w:r>
              <w:rPr>
                <w:sz w:val="20"/>
                <w:szCs w:val="22"/>
                <w:lang w:val="en-US" w:eastAsia="en-US" w:bidi="ar-SA"/>
                <w:rFonts w:ascii="Times New Roman" w:hAnsi="Times New Roman" w:eastAsia="Times New Roman" w:cs="Times New Roman"/>
              </w:rPr>
              <w:t>Octalysis loss-moderation guidance (Beerda, 2015); proposed non-terminal feedback (§2.6.2C)</w:t>
            </w:r>
          </w:p>
        </w:tc>
        <w:tc>
          <w:tcPr>
            <w:tcW w:type="dxa" w:w="2183"/>
          </w:tcPr>
          <w:p>
            <w:pPr>
              <w:pStyle w:val="Normal"/>
            </w:pPr>
            <w:r>
              <w:rPr>
                <w:sz w:val="20"/>
                <w:szCs w:val="22"/>
                <w:lang w:val="en-US" w:eastAsia="en-US" w:bidi="ar-SA"/>
                <w:rFonts w:ascii="Times New Roman" w:hAnsi="Times New Roman" w:eastAsia="Times New Roman" w:cs="Times New Roman"/>
              </w:rPr>
              <w:t>Personally consequential appraisal may outweigh softened in-game loss; mechanism unmeasured</w:t>
            </w:r>
          </w:p>
        </w:tc>
        <w:tc>
          <w:tcPr>
            <w:tcW w:type="dxa" w:w="2433"/>
          </w:tcPr>
          <w:p>
            <w:pPr>
              <w:pStyle w:val="Normal"/>
            </w:pPr>
            <w:r>
              <w:rPr>
                <w:sz w:val="20"/>
                <w:szCs w:val="22"/>
                <w:lang w:val="en-US" w:eastAsia="en-US" w:bidi="ar-SA"/>
                <w:rFonts w:ascii="Times New Roman" w:hAnsi="Times New Roman" w:eastAsia="Times New Roman" w:cs="Times New Roman"/>
              </w:rPr>
              <w:t>Non-terminal feedback adds benefit beyond decoupling or ordinary coaching; specified as a factor of the Stage-3B component design and recorded descriptively, without confirmatory analysis (§8.8); the test remains prospective</w:t>
            </w:r>
          </w:p>
        </w:tc>
      </w:tr>
    </w:tbl>
    <w:p>
      <w:pPr>
        <w:pStyle w:val="Heading3"/>
      </w:pPr>
      <w:bookmarkStart w:id="33" w:name="_Toc232024529"/>
      <w:r>
        <w:rPr>
          <w:color w:val="000000"/>
          <w:szCs w:val="22"/>
          <w:lang w:val="en-US" w:eastAsia="en-US" w:bidi="ar-SA"/>
        </w:rPr>
        <w:t>2.5.2 Prospect Theory and Loss Aversion</w:t>
      </w:r>
      <w:bookmarkEnd w:id="33"/>
    </w:p>
    <w:p>
      <w:pPr>
        <w:pStyle w:val="Normal"/>
        <w:jc w:val="both"/>
      </w:pPr>
      <w:r>
        <w:rPr>
          <w:szCs w:val="22"/>
          <w:lang w:val="en-US" w:eastAsia="en-US" w:bidi="ar-SA"/>
          <w:rFonts w:ascii="Times New Roman" w:hAnsi="Times New Roman" w:eastAsia="Times New Roman" w:cs="Times New Roman"/>
          <w:sz w:val="24"/>
        </w:rPr>
        <w:t>Kahneman and Tversky (1979) introduced prospect theory, in which outcomes are evaluated relative to reference points and losses are often weighted more heavily than equivalent gains. Tversky and Kahneman (1991) extended the framework to riskless choice. In an FRA context, an older user may compare an adverse result with a valued reference point such as continued independence or adequate balance. The thesis hypothesises that this appraisal can increase the subjective weight of failure. The participant-specific reference point and loss valuation were not measured in the present studies.</w:t>
      </w:r>
    </w:p>
    <w:p>
      <w:pPr>
        <w:pStyle w:val="Heading3"/>
      </w:pPr>
      <w:bookmarkStart w:id="34" w:name="_Toc232024530"/>
      <w:r>
        <w:rPr>
          <w:color w:val="000000"/>
          <w:szCs w:val="22"/>
          <w:lang w:val="en-US" w:eastAsia="en-US" w:bidi="ar-SA"/>
        </w:rPr>
        <w:t>2.5.3 The Endowment Effect on Identity-Level Assets</w:t>
      </w:r>
      <w:bookmarkEnd w:id="34"/>
    </w:p>
    <w:p>
      <w:pPr>
        <w:pStyle w:val="Normal"/>
        <w:jc w:val="both"/>
      </w:pPr>
      <w:r>
        <w:rPr>
          <w:szCs w:val="22"/>
          <w:lang w:val="en-US" w:eastAsia="en-US" w:bidi="ar-SA"/>
          <w:rFonts w:ascii="Times New Roman" w:hAnsi="Times New Roman" w:eastAsia="Times New Roman" w:cs="Times New Roman"/>
          <w:sz w:val="24"/>
        </w:rPr>
        <w:t>Thaler (1980) introduced the endowment effect, and Kahneman, Knetsch and Thaler (1990) studied differences between Willingness To Accept (WTA) and Willingness To Pay (WTP) for owned goods. These experiments motivate questions about reference-dependent valuation. Their interpretation is sensitive to elicitation procedures: Plott and Zeiler (2005), for example, found no WTA–WTP gap under modified procedures designed to address participant misconceptions. The present thesis therefore avoids treating an identity-relevant preference as an established endowment effect merely because the preference is strongly held.</w:t>
      </w:r>
    </w:p>
    <w:p>
      <w:pPr>
        <w:pStyle w:val="Normal"/>
        <w:jc w:val="both"/>
      </w:pPr>
      <w:r>
        <w:rPr>
          <w:szCs w:val="22"/>
          <w:lang w:val="en-US" w:eastAsia="en-US" w:bidi="ar-SA"/>
          <w:rFonts w:ascii="Times New Roman" w:hAnsi="Times New Roman" w:eastAsia="Times New Roman" w:cs="Times New Roman"/>
          <w:sz w:val="24"/>
        </w:rPr>
        <w:t>Applied to identity-relevant self-concepts, the endowment literature suggests a testable possibility. An older user may value a self-description such as "I remain independent" or "my balance is still good" and resist information that appears to threaten it. Exiting the technology could then function as a protective response that avoids repeated confrontation with the threatening interpretation. This extension from ownership of physical goods to identity-relevant health self-concepts is theoretically plausible but requires direct measurement. The present thesis therefore treats identity-level endowment as a candidate operator, not as an established fact about every participant.</w:t>
      </w:r>
    </w:p>
    <w:p>
      <w:pPr>
        <w:pStyle w:val="Heading3"/>
      </w:pPr>
      <w:bookmarkStart w:id="35" w:name="_Toc232024531"/>
      <w:r>
        <w:rPr>
          <w:color w:val="000000"/>
          <w:szCs w:val="22"/>
          <w:lang w:val="en-US" w:eastAsia="en-US" w:bidi="ar-SA"/>
        </w:rPr>
        <w:t>2.5.4 Mental Accounting of Health Outcomes</w:t>
      </w:r>
      <w:bookmarkEnd w:id="35"/>
    </w:p>
    <w:p>
      <w:pPr>
        <w:pStyle w:val="Normal"/>
        <w:jc w:val="both"/>
      </w:pPr>
      <w:r>
        <w:rPr>
          <w:szCs w:val="22"/>
          <w:lang w:val="en-US" w:eastAsia="en-US" w:bidi="ar-SA"/>
          <w:rFonts w:ascii="Times New Roman" w:hAnsi="Times New Roman" w:eastAsia="Times New Roman" w:cs="Times New Roman"/>
          <w:sz w:val="24"/>
        </w:rPr>
        <w:t>Thaler (1985) introduced mental accounting. People do not pool money or other resources into a single fungible total. People sort resources into separate mental accounts, with different rules for spending and replenishment in each account. The framework was developed for consumer finance. Antonides, de Groot and van Raaij (2011) reported evidence of mental budgets in household finance. The thesis adapts the framework to health outcomes.</w:t>
      </w:r>
    </w:p>
    <w:p>
      <w:pPr>
        <w:pStyle w:val="Normal"/>
        <w:jc w:val="both"/>
      </w:pPr>
      <w:r>
        <w:rPr>
          <w:szCs w:val="22"/>
          <w:lang w:val="en-US" w:eastAsia="en-US" w:bidi="ar-SA"/>
          <w:rFonts w:ascii="Times New Roman" w:hAnsi="Times New Roman" w:eastAsia="Times New Roman" w:cs="Times New Roman"/>
          <w:sz w:val="24"/>
        </w:rPr>
        <w:t>In the thesis's adapted account, a clinical frame may sort an FRA session into a health-related mental account, making an adverse result more consequential than the same gameplay event under a coordination frame. The objective-score-improvement/non-return pattern is consistent with the possibility that participants evaluated the personal meaning of the session differently from its recorded performance change. The data do not show that the body is "fungible", that an identity asset served as a guarantor, or that an account was literally closed. These terms are theoretical representations that guide the next measurement cycle.</w:t>
      </w:r>
    </w:p>
    <w:p>
      <w:pPr>
        <w:pStyle w:val="Heading3"/>
      </w:pPr>
      <w:bookmarkStart w:id="36" w:name="_Toc232024532"/>
      <w:r>
        <w:rPr>
          <w:color w:val="000000"/>
          <w:szCs w:val="22"/>
          <w:lang w:val="en-US" w:eastAsia="en-US" w:bidi="ar-SA"/>
        </w:rPr>
        <w:t>2.5.5 Stereotype Threat as the Trigger</w:t>
      </w:r>
      <w:bookmarkEnd w:id="36"/>
    </w:p>
    <w:p>
      <w:pPr>
        <w:pStyle w:val="Normal"/>
        <w:jc w:val="both"/>
      </w:pPr>
      <w:r>
        <w:rPr>
          <w:szCs w:val="22"/>
          <w:lang w:val="en-US" w:eastAsia="en-US" w:bidi="ar-SA"/>
          <w:rFonts w:ascii="Times New Roman" w:hAnsi="Times New Roman" w:eastAsia="Times New Roman" w:cs="Times New Roman"/>
          <w:sz w:val="24"/>
        </w:rPr>
        <w:t>Steele and Aronson (1995) showed that making a negatively stereotyped identity salient can affect performance on identity-relevant tasks. McGlone and Aronson (2006) examined identity salience and spatial reasoning among undergraduates, providing a general example rather than older-adult evidence. Age-related work includes Levy et al.'s (2002) longitudinal association between self-perceptions of ageing and health outcomes, and Barber's (2017) review of age-based stereotype threat. These are distinct forms of evidence. In the present framework, clinical FRA language may increase the salience of age-related decline for some users, changing how difficulty is interpreted. Stereotype threat is one possible trigger, but awareness of an adverse health result is not sufficient evidence of stereotype activation. The present studies did not measure that activation, and the Stage-3 comparison cannot separate lexical cues from other contextual differences.</w:t>
      </w:r>
    </w:p>
    <w:p>
      <w:pPr>
        <w:pStyle w:val="Heading3"/>
      </w:pPr>
      <w:r>
        <w:rPr>
          <w:color w:val="000000"/>
          <w:szCs w:val="22"/>
          <w:lang w:val="en-US" w:eastAsia="en-US" w:bidi="ar-SA"/>
        </w:rPr>
        <w:t>2.5.6 A Four-Layer Behavioural Integration for Failure-Associated Non-Return</w:t>
      </w:r>
    </w:p>
    <w:p>
      <w:pPr>
        <w:pStyle w:val="Normal"/>
        <w:jc w:val="both"/>
      </w:pPr>
      <w:r>
        <w:rPr>
          <w:szCs w:val="22"/>
          <w:lang w:val="en-US" w:eastAsia="en-US" w:bidi="ar-SA"/>
          <w:rFonts w:ascii="Times New Roman" w:hAnsi="Times New Roman" w:eastAsia="Times New Roman" w:cs="Times New Roman"/>
          <w:sz w:val="24"/>
        </w:rPr>
        <w:t>The four behavioural-science perspectives organise a candidate identity-related appraisal account, but they need not operate as a single obligatory sequence. Loss aversion predicts reference-dependent asymmetry; the identity-endowment extension concerns protection of a valued self-description; mental accounting predicts differential treatment of outcomes assigned to distinct accounts; and stereotype threat requires the salience of a relevant negative stereotype. These predictions overlap but are not interchangeable. The provisional descriptive label that Chapter 4 introduces for the observed non-return pattern is not a validated clinical syndrome, nor proof that these operators caused the pattern. Direct measures must establish whether any operator adds explanatory value beyond competence, satisfaction, burden and information avoidance.</w:t>
      </w:r>
    </w:p>
    <w:p>
      <w:pPr>
        <w:pStyle w:val="Heading2"/>
      </w:pPr>
      <w:r>
        <w:rPr>
          <w:lang w:val="en-US" w:eastAsia="en-US" w:bidi="ar-SA"/>
          <w:color w:val="000000"/>
          <w:szCs w:val="26"/>
        </w:rPr>
        <w:t>2.6 Stage Five: Positioning Decoupled Gameplay and Adaptive Learning as Design Responses</w:t>
      </w:r>
    </w:p>
    <w:p>
      <w:pPr>
        <w:pStyle w:val="Heading3"/>
      </w:pPr>
      <w:bookmarkStart w:id="37" w:name="_Toc232024535"/>
      <w:r>
        <w:rPr>
          <w:color w:val="000000"/>
          <w:szCs w:val="22"/>
          <w:lang w:val="en-US" w:eastAsia="en-US" w:bidi="ar-SA"/>
        </w:rPr>
        <w:t>2.6.1 The Question Stage Four Leaves Open</w:t>
      </w:r>
      <w:bookmarkEnd w:id="37"/>
    </w:p>
    <w:p>
      <w:pPr>
        <w:pStyle w:val="Normal"/>
        <w:jc w:val="both"/>
      </w:pPr>
      <w:r>
        <w:rPr>
          <w:szCs w:val="22"/>
          <w:lang w:val="en-US" w:eastAsia="en-US" w:bidi="ar-SA"/>
          <w:rFonts w:ascii="Times New Roman" w:hAnsi="Times New Roman" w:eastAsia="Times New Roman" w:cs="Times New Roman"/>
          <w:sz w:val="24"/>
        </w:rPr>
        <w:t>Stage four supplies a candidate mechanism but not a tested design solution. If clinical framing increases the identity relevance of failure, three broad responses follow: reduce threat cues, decouple the engagement layer from participant-facing clinical verdicts, or install a learning trajectory that gives failure a different reference point. The first two are partly represented in the Stage-3 decoupling package. The third is developed as the adaptive-learning framework. The key distinction is evidential: Stage 3 evaluates participant-facing decoupling in a separate cohort, whereas the complete adaptive-learning framework remains to be evaluated prospectively.</w:t>
      </w:r>
    </w:p>
    <w:p>
      <w:pPr>
        <w:pStyle w:val="Heading3"/>
      </w:pPr>
      <w:bookmarkStart w:id="38" w:name="_Toc232024536"/>
      <w:r>
        <w:rPr>
          <w:color w:val="000000"/>
          <w:szCs w:val="22"/>
          <w:lang w:val="en-US" w:eastAsia="en-US" w:bidi="ar-SA"/>
        </w:rPr>
        <w:t>2.6.2 Productive Failure and Adaptive Learning</w:t>
      </w:r>
      <w:bookmarkEnd w:id="38"/>
    </w:p>
    <w:p>
      <w:pPr>
        <w:pStyle w:val="Normal"/>
        <w:jc w:val="both"/>
      </w:pPr>
      <w:r>
        <w:rPr>
          <w:szCs w:val="22"/>
          <w:lang w:val="en-US" w:eastAsia="en-US" w:bidi="ar-SA"/>
          <w:rFonts w:ascii="Times New Roman" w:hAnsi="Times New Roman" w:eastAsia="Times New Roman" w:cs="Times New Roman"/>
          <w:sz w:val="24"/>
        </w:rPr>
        <w:t>Kapur's (2008) productive-failure approach concerns an instructional sequence in which initially unsuccessful problem solving is followed by support and consolidation that can improve subsequent learning. This thesis borrows the proposition that an unsuccessful attempt can become useful information when followed by an appropriate learning opportunity; it does not claim to reproduce that instructional intervention. Adaptive learning can adjust challenge, feedback and pacing, but easier practice or improved immediate performance does not establish durable learning. Retention and transfer require separate evaluation (Soderstrom &amp; Bjork, 2015). A trajectory display is therefore proposed as a means of communicating evidence and next steps, rather than guaranteeing a rising curve.</w:t>
      </w:r>
    </w:p>
    <w:p>
      <w:pPr>
        <w:pStyle w:val="Heading3"/>
      </w:pPr>
      <w:bookmarkStart w:id="39" w:name="_Toc232024537"/>
      <w:r>
        <w:rPr>
          <w:color w:val="000000"/>
          <w:szCs w:val="22"/>
          <w:lang w:val="en-US" w:eastAsia="en-US" w:bidi="ar-SA"/>
        </w:rPr>
        <w:t>2.6.2A The Theoretical Lineage of Adaptive Learning</w:t>
      </w:r>
      <w:bookmarkEnd w:id="39"/>
    </w:p>
    <w:p>
      <w:pPr>
        <w:pStyle w:val="Normal"/>
        <w:jc w:val="both"/>
      </w:pPr>
      <w:r>
        <w:rPr>
          <w:szCs w:val="22"/>
          <w:lang w:val="en-US" w:eastAsia="en-US" w:bidi="ar-SA"/>
          <w:rFonts w:ascii="Times New Roman" w:hAnsi="Times New Roman" w:eastAsia="Times New Roman" w:cs="Times New Roman"/>
          <w:sz w:val="24"/>
        </w:rPr>
        <w:t>The adaptive-learning framework draws on four established traditions. Flow theory relates engagement to the relation between challenge and skill (Csikszentmihalyi, 1990). The 80 per cent and 40 per cent success thresholds specified for the Stage-2 difficulty system (§5.3.5; operational status per build in Appendix G, item G.0A) are engineering heuristics inspired by that relation, not thresholds derived from or validated as measures of flow. The zone of proximal development highlights the distinction between unaided capability and performance made possible by support (Vygotsky, 1978). Desirable difficulty shows why some practice conditions that depress immediate performance can support later learning, subject to the learner and task (Bjork &amp; Bjork, 2011). Intelligent tutoring research provides evidence for the value of detailed feedback and adaptive instruction in the domains studied (VanLehn, 2011). Together these traditions justify investigating calibrated support and feedback, while leaving their effectiveness in gamified FRA to be established.</w:t>
      </w:r>
    </w:p>
    <w:p>
      <w:pPr>
        <w:pStyle w:val="Normal"/>
        <w:jc w:val="both"/>
      </w:pPr>
      <w:r>
        <w:rPr>
          <w:szCs w:val="22"/>
          <w:lang w:val="en-US" w:eastAsia="en-US" w:bidi="ar-SA"/>
          <w:rFonts w:ascii="Times New Roman" w:hAnsi="Times New Roman" w:eastAsia="Times New Roman" w:cs="Times New Roman"/>
          <w:sz w:val="24"/>
        </w:rPr>
        <w:t>These traditions also expose the measurement problem at the centre of an adaptive system. When difficulty or assistance changes, a higher score may reflect changed conditions rather than improved capability; a lower score on a harder task may coexist with progress. The proposed framework therefore separates adaptive practice from periodic, comparable checks under a specified reference condition and from delayed retention or transfer checks (Soderstrom &amp; Bjork, 2015). Displays should identify the task version, difficulty and assistance associated with each result. If comparability is lost after a design change, a new phase should be shown rather than silently continuing a single improvement curve. This is a prospective engineering requirement developed in Chapter 7, not a retrospective validation of the current scores or a claim that the Stage-3 comparison tested adaptive learning.</w:t>
      </w:r>
    </w:p>
    <w:p>
      <w:pPr>
        <w:pStyle w:val="Normal"/>
        <w:jc w:val="both"/>
      </w:pPr>
      <w:r>
        <w:rPr>
          <w:szCs w:val="22"/>
          <w:lang w:val="en-US" w:eastAsia="en-US" w:bidi="ar-SA"/>
          <w:rFonts w:ascii="Times New Roman" w:hAnsi="Times New Roman" w:eastAsia="Times New Roman" w:cs="Times New Roman"/>
          <w:sz w:val="24"/>
        </w:rPr>
        <w:t>The same requirement is the reason the Stage-3B component study is reported descriptively rather than as a test of adaptive learning (§8.8): its learning measure was immediate task performance under changing conditions, which the framework itself distinguishes from a comparable check of durable capability.</w:t>
      </w:r>
    </w:p>
    <w:p>
      <w:pPr>
        <w:pStyle w:val="Heading3"/>
      </w:pPr>
      <w:r>
        <w:rPr>
          <w:color w:val="000000"/>
          <w:szCs w:val="22"/>
          <w:lang w:val="en-US" w:eastAsia="en-US" w:bidi="ar-SA"/>
        </w:rPr>
        <w:t>2.6.2B Self-Determination Theory and Goal-Setting as Motivational Scaffolding</w:t>
      </w:r>
    </w:p>
    <w:p>
      <w:pPr>
        <w:pStyle w:val="Normal"/>
        <w:jc w:val="both"/>
      </w:pPr>
      <w:r>
        <w:rPr>
          <w:szCs w:val="22"/>
          <w:lang w:val="en-US" w:eastAsia="en-US" w:bidi="ar-SA"/>
          <w:rFonts w:ascii="Times New Roman" w:hAnsi="Times New Roman" w:eastAsia="Times New Roman" w:cs="Times New Roman"/>
          <w:sz w:val="24"/>
        </w:rPr>
        <w:t>Self-determination theory (SDT) identifies competence and autonomy as important motivational needs (Deci &amp; Ryan, 1985; Ryan &amp; Deci, 2000). In the proposed framework, truthful feedback and meaningful choices are intended to support these needs; the effect depends on participants' interpretation rather than the designer's label. Goal-setting theory supports specific goals with appropriate commitment and feedback (Locke &amp; Latham, 2002), while distinctions between mastery and performance goals help clarify whether an attempt is understood as learning or demonstration of adequacy (Elliot &amp; Murayama, 2008). When innovation encounters difficulty, an attainable next action may involve additional practice, reduced assistance, a changed strategy, maintained capability or a revised service design. None requires presenting decline as improvement. Motivation-crowding research further cautions that poorly designed rewards can displace intrinsic motives (Frey &amp; Jegen, 2001). The learn-to-earn proposition consequently recognises evidenced effort and progress while preserving accurate feedback. These literatures support candidate responses to the deployment problem; they do not establish that adaptive learning uniquely resolves it.</w:t>
      </w:r>
    </w:p>
    <w:p>
      <w:pPr>
        <w:pStyle w:val="Heading3"/>
      </w:pPr>
      <w:r>
        <w:rPr>
          <w:color w:val="000000"/>
          <w:szCs w:val="22"/>
          <w:lang w:val="en-US" w:eastAsia="en-US" w:bidi="ar-SA"/>
        </w:rPr>
        <w:t>2.6.2C Zero-Failure Design: Non-Terminal Feedback as a Testable Component</w:t>
      </w:r>
    </w:p>
    <w:p>
      <w:pPr>
        <w:pStyle w:val="Normal"/>
        <w:jc w:val="both"/>
      </w:pPr>
      <w:r>
        <w:rPr>
          <w:szCs w:val="22"/>
          <w:lang w:val="en-US" w:eastAsia="en-US" w:bidi="ar-SA"/>
          <w:rFonts w:ascii="Times New Roman" w:hAnsi="Times New Roman" w:eastAsia="Times New Roman" w:cs="Times New Roman"/>
          <w:sz w:val="24"/>
        </w:rPr>
        <w:t>Zero-failure design is the thesis's term for a proposed interaction policy in which ordinary game errors do not produce a terminal failure verdict. A collision can trigger feedback, support or a change in challenge, while the user retains the option to pause or stop. This is an observation-informed component of the wider adaptive-learning framework, rather than a claim to have invented non-terminal games. The term concerns presentation: it does not mean that errors disappear, that every attempt succeeds, or that safety-related stopping conditions are removed. The intended contribution is to specify how recoverable difficulty and truthful feedback could support continued participation in this assessment context.</w:t>
      </w:r>
    </w:p>
    <w:p>
      <w:pPr>
        <w:pStyle w:val="Normal"/>
        <w:jc w:val="both"/>
      </w:pPr>
      <w:r>
        <w:rPr>
          <w:szCs w:val="22"/>
          <w:lang w:val="en-US" w:eastAsia="en-US" w:bidi="ar-SA"/>
          <w:rFonts w:ascii="Times New Roman" w:hAnsi="Times New Roman" w:eastAsia="Times New Roman" w:cs="Times New Roman"/>
          <w:sz w:val="24"/>
        </w:rPr>
        <w:t>This policy is compatible with Octalysis guidance that excessive loss-based motivation can produce demoralisation and exit (Beerda, 2015), rather than an inversion of a universal instruction to amplify loss. The clinically relevant hypothesis is that anticipated personal or assessment consequences may outweigh the in-game resources a designer controls. Non-terminal presentation might reduce one source of evaluative pressure, but it may have little effect if a participant is responding to discomfort, burden or unwanted consequences. Its incremental value should therefore be compared with ordinary coaching and other forms of support.</w:t>
      </w:r>
    </w:p>
    <w:p>
      <w:pPr>
        <w:pStyle w:val="Normal"/>
        <w:jc w:val="both"/>
      </w:pPr>
      <w:r>
        <w:rPr>
          <w:szCs w:val="26"/>
          <w:lang w:val="en-US" w:eastAsia="en-US" w:bidi="ar-SA"/>
          <w:rFonts w:ascii="Times New Roman" w:hAnsi="Times New Roman" w:eastAsia="Times New Roman" w:cs="Times New Roman"/>
          <w:sz w:val="24"/>
        </w:rPr>
        <w:t>The Stage-2 design softened in-game loss through lives and forgiving hit responses while retaining a conventional terminal Game Over (Table 5.0). Section 5.3.10 sets out a more extensive repertoire of recovery, mastery, narrative and reframe states. In this theoretical account, that repertoire is treated as a candidate policy whose full behavioural effectiveness remains untested. The Stage-3 comparison changed several aspects of delivery and context, so it does not identify the separate effect of removing terminal verdicts. Chapter 7 incorporates non-terminal feedback into the proposed framework. The Stage-3B component study, in which failure mode was one design factor, is recorded descriptively in §8.8 and Appendix I at a stated cut-off, with the reasons it is not used as a test of the framework; a controlled evaluation of non-terminal feedback remains future work.</w:t>
      </w:r>
    </w:p>
    <w:p>
      <w:pPr>
        <w:pStyle w:val="Heading3"/>
      </w:pPr>
      <w:r>
        <w:rPr>
          <w:color w:val="000000"/>
          <w:szCs w:val="28"/>
          <w:lang w:val="en-US" w:eastAsia="en-US" w:bidi="ar-SA"/>
        </w:rPr>
        <w:t>2.6.3 Endowment-Protective and Learning-Trajectory Appraisals as Competing Regimes</w:t>
      </w:r>
    </w:p>
    <w:p>
      <w:pPr>
        <w:pStyle w:val="Normal"/>
        <w:jc w:val="both"/>
      </w:pPr>
      <w:r>
        <w:rPr>
          <w:szCs w:val="26"/>
          <w:lang w:val="en-US" w:eastAsia="en-US" w:bidi="ar-SA"/>
          <w:rFonts w:ascii="Times New Roman" w:hAnsi="Times New Roman" w:eastAsia="Times New Roman" w:cs="Times New Roman"/>
          <w:sz w:val="24"/>
        </w:rPr>
        <w:t>The thesis proposes that protective and learning-oriented appraisals may compete or coexist when an adverse event occurs. A participant may compare the result with a valued self-description, with prior performance, or with an intended next step. The engineering objective is to make the latter comparison credible without dismissing the first concern. Credibility requires showing what changed in the task and what, if anything, changed under comparable conditions. A plateau can motivate maintenance or further investigation; a decline can prompt a review of support or goals. The display should therefore communicate evidence, uncertainty and an actionable response, rather than promise that a positive slope will always be available. The WTA–WTP implications remain hypotheses for direct elicitation.</w:t>
      </w:r>
    </w:p>
    <w:p>
      <w:pPr>
        <w:pStyle w:val="Heading3"/>
      </w:pPr>
      <w:r>
        <w:rPr>
          <w:color w:val="000000"/>
          <w:szCs w:val="28"/>
          <w:lang w:val="en-US" w:eastAsia="en-US" w:bidi="ar-SA"/>
        </w:rPr>
        <w:t>2.6.4 Why Decoupled Gameplay Is a Critical but Non-Definitive Empirical Test</w:t>
      </w:r>
    </w:p>
    <w:p>
      <w:pPr>
        <w:pStyle w:val="Normal"/>
        <w:jc w:val="both"/>
      </w:pPr>
      <w:r>
        <w:rPr>
          <w:szCs w:val="26"/>
          <w:lang w:val="en-US" w:eastAsia="en-US" w:bidi="ar-SA"/>
          <w:rFonts w:ascii="Times New Roman" w:hAnsi="Times New Roman" w:eastAsia="Times New Roman" w:cs="Times New Roman"/>
          <w:sz w:val="24"/>
        </w:rPr>
        <w:t>Stage 3 retained the skiing mechanic and session structure in a separate, distributable HTML build of the game (adding an in-game five-attempt counter), but not the pressure-panel apparatus or the supervised setting: the build was distributed by e-mail and played on participants' own computers with arrow keys or, where available, a foot-pad sensor, or, for some older participants, on a pre-installed iPad with an external keyboard (§6.4), while the package of participant-facing clinical cues was changed and a separate Hong Kong network cohort was recruited. It is therefore a between-cohort quasi-experimental decoupling comparison, not a single-variable experiment. Whether post-failure return differs when the same mechanics are decoupled from the clinical attachment is reported in Chapter 6. A difference in that direction would support the proposition that framing or related contextual features moderate post-failure return, but it does not isolate the effect of framing from all differences in cohort, setting, platform, input device, supervision, recruitment, prior exposure, staff interaction or observation window. Nor does it directly test the complete adaptive-learning framework.</w:t>
      </w:r>
    </w:p>
    <w:p>
      <w:pPr>
        <w:pStyle w:val="Normal"/>
        <w:jc w:val="both"/>
      </w:pPr>
      <w:r>
        <w:rPr>
          <w:szCs w:val="26"/>
          <w:lang w:val="en-US" w:eastAsia="en-US" w:bidi="ar-SA"/>
          <w:rFonts w:ascii="Times New Roman" w:hAnsi="Times New Roman" w:eastAsia="Times New Roman" w:cs="Times New Roman"/>
          <w:sz w:val="24"/>
        </w:rPr>
        <w:t>The five-stage chain therefore closes as an engineering argument, rather than a definitive causal test. Acceptance, continuance and gamification research identify factors relevant to participation. Self-efficacy and behavioural-science accounts suggest processes that may contribute to non-return. The separate Stage-3 deployment provides a contrasting engagement pattern consistent with several contextual explanations. The proposed adaptive-learning framework converts these observations into a prospective improvement cycle: recognise difficulty, select a justified change, preserve evidence of the conditions under which performance was measured, and evaluate the result. This domain-specific integration links the thesis's gamification focus to continuous improvement and innovation enhancement while preserving the distinction between observed outcomes and intended benefits.</w:t>
      </w:r>
    </w:p>
    <w:p>
      <w:pPr>
        <w:pStyle w:val="Heading2"/>
      </w:pPr>
      <w:bookmarkStart w:id="40" w:name="_Toc232024540"/>
      <w:r>
        <w:rPr>
          <w:lang w:val="en-US" w:eastAsia="en-US" w:bidi="ar-SA"/>
          <w:color w:val="000000"/>
          <w:szCs w:val="22"/>
        </w:rPr>
        <w:t>2.7 Supporting Evidence and Adjacent Frameworks</w:t>
      </w:r>
      <w:bookmarkEnd w:id="40"/>
    </w:p>
    <w:p>
      <w:pPr>
        <w:pStyle w:val="Heading3"/>
      </w:pPr>
      <w:bookmarkStart w:id="41" w:name="_Toc232024541"/>
      <w:r>
        <w:rPr>
          <w:color w:val="000000"/>
          <w:szCs w:val="28"/>
          <w:lang w:val="en-US" w:eastAsia="en-US" w:bidi="ar-SA"/>
        </w:rPr>
        <w:t>2.7.1 Gamification for Older Adults: The Koivisto and Malik Review</w:t>
      </w:r>
      <w:bookmarkEnd w:id="41"/>
    </w:p>
    <w:p>
      <w:pPr>
        <w:pStyle w:val="Normal"/>
        <w:jc w:val="both"/>
      </w:pPr>
      <w:r>
        <w:rPr>
          <w:szCs w:val="26"/>
          <w:lang w:val="en-US" w:eastAsia="en-US" w:bidi="ar-SA"/>
          <w:rFonts w:ascii="Times New Roman" w:hAnsi="Times New Roman" w:eastAsia="Times New Roman" w:cs="Times New Roman"/>
          <w:sz w:val="24"/>
        </w:rPr>
        <w:t>Koivisto and Malik's (2021) systematic review identifies an emerging evidence base for gamification with older adults, with variation in design, theoretical grounding and evaluation. Sustained use is a relevant concern alongside short-term engagement, and Eysenbach's (2005) account of nonusage attrition provides a complementary basis for treating discontinuance as an outcome requiring explanation. The present programme contributes a detailed local deployment account and a comparison across differing delivery contexts. Its integrated theoretical framework is intended to guide further evaluation; the completeness and strength of each empirical inference are assessed in the relevant methods and results chapters.</w:t>
      </w:r>
    </w:p>
    <w:p>
      <w:pPr>
        <w:pStyle w:val="Normal"/>
        <w:jc w:val="both"/>
      </w:pPr>
      <w:r>
        <w:rPr>
          <w:szCs w:val="26"/>
          <w:lang w:val="en-US" w:eastAsia="en-US" w:bidi="ar-SA"/>
          <w:rFonts w:ascii="Times New Roman" w:hAnsi="Times New Roman" w:eastAsia="Times New Roman" w:cs="Times New Roman"/>
          <w:sz w:val="24"/>
        </w:rPr>
        <w:t>Altmeyer, Lessel and Krüger (2018) examined gamification with older users, reinforcing the importance of understanding the target population rather than assuming that preferences transfer unchanged from younger groups. Such evidence supports context-sensitive design, while leaving open which combination of challenge, support and framing is appropriate for the present clinical assessment service.</w:t>
      </w:r>
    </w:p>
    <w:p>
      <w:pPr>
        <w:pStyle w:val="Heading3"/>
      </w:pPr>
      <w:bookmarkStart w:id="42" w:name="_Toc232024542"/>
      <w:bookmarkEnd w:id="42"/>
      <w:r>
        <w:rPr>
          <w:color w:val="000000"/>
          <w:szCs w:val="28"/>
          <w:lang w:val="en-US" w:eastAsia="en-US" w:bidi="ar-SA"/>
        </w:rPr>
        <w:t>2.7.2 The NASSS Framework: A Complementary Multilevel Account</w:t>
      </w:r>
    </w:p>
    <w:p>
      <w:pPr>
        <w:pStyle w:val="Normal"/>
        <w:jc w:val="both"/>
      </w:pPr>
      <w:r>
        <w:rPr>
          <w:szCs w:val="26"/>
          <w:lang w:val="en-US" w:eastAsia="en-US" w:bidi="ar-SA"/>
          <w:rFonts w:ascii="Times New Roman" w:hAnsi="Times New Roman" w:eastAsia="Times New Roman" w:cs="Times New Roman"/>
          <w:sz w:val="24"/>
        </w:rPr>
        <w:t>Greenhalgh et al. (2017) developed the Non-Adoption, Abandonment, Scale-up, Spread and Sustainability (NASSS) framework to explain difficulties across interacting domains: condition, technology, value proposition, adopter system, organisation, wider context, and embedding over time. This multilevel account directs attention to demands, roles and circumstances that can shape continued use. The human-computer-interaction literature likewise treats non-use as meaningful behaviour (Satchell &amp; Dourish, 2009). The present thesis proposes a narrower, provisional appraisal pathway within this broader setting. It complements NASSS by specifying an event-level design question, while recognising that a response confined to the interface may be insufficient when organisational or practical conditions account for non-return.</w:t>
      </w:r>
    </w:p>
    <w:p>
      <w:pPr>
        <w:pStyle w:val="Heading3"/>
      </w:pPr>
      <w:bookmarkStart w:id="43" w:name="_Toc232024543"/>
      <w:r>
        <w:rPr>
          <w:color w:val="000000"/>
          <w:szCs w:val="28"/>
          <w:lang w:val="en-US" w:eastAsia="en-US" w:bidi="ar-SA"/>
        </w:rPr>
        <w:t>2.7.3 Cross-Cultural Reference: The Korean Comparison</w:t>
      </w:r>
      <w:bookmarkEnd w:id="43"/>
    </w:p>
    <w:p>
      <w:pPr>
        <w:pStyle w:val="Normal"/>
        <w:jc w:val="both"/>
      </w:pPr>
      <w:r>
        <w:rPr>
          <w:szCs w:val="26"/>
          <w:lang w:val="en-US" w:eastAsia="en-US" w:bidi="ar-SA"/>
          <w:rFonts w:ascii="Times New Roman" w:hAnsi="Times New Roman" w:eastAsia="Times New Roman" w:cs="Times New Roman"/>
          <w:sz w:val="24"/>
        </w:rPr>
        <w:t>Park et al. (2019) and Kim et al. (2018) provide measurement-related reference points for the FRA platform in Korea. Their validation and reliability findings should not be interpreted as evidence of sustained engagement, which is a different outcome. Neither provides an engagement benchmark used in this thesis. Whether other implementations use different support, framing or coaching remains an open question for comparative fieldwork.</w:t>
      </w:r>
    </w:p>
    <w:p>
      <w:pPr>
        <w:pStyle w:val="Heading3"/>
      </w:pPr>
      <w:bookmarkStart w:id="44" w:name="_Toc232024544"/>
      <w:r>
        <w:rPr>
          <w:color w:val="000000"/>
          <w:szCs w:val="28"/>
          <w:lang w:val="en-US" w:eastAsia="en-US" w:bidi="ar-SA"/>
        </w:rPr>
        <w:t>2.7.4 Information Entropy as a Bridge Lens</w:t>
      </w:r>
      <w:bookmarkEnd w:id="44"/>
    </w:p>
    <w:p>
      <w:pPr>
        <w:pStyle w:val="Normal"/>
        <w:jc w:val="both"/>
      </w:pPr>
      <w:r>
        <w:rPr>
          <w:szCs w:val="26"/>
          <w:lang w:val="en-US" w:eastAsia="en-US" w:bidi="ar-SA"/>
          <w:rFonts w:ascii="Times New Roman" w:hAnsi="Times New Roman" w:eastAsia="Times New Roman" w:cs="Times New Roman"/>
          <w:sz w:val="24"/>
        </w:rPr>
        <w:t>Shannon entropy (Shannon, 1948) is used here as a bridge metaphor and future measurement proposal, not as a quantity estimated from the present data. Before a first session, a user's beliefs about what the technology means may be uncertain. A salient adverse event could reduce that uncertainty by producing a more definite negative interpretation. The current data do not measure a belief distribution before and after failure, so they cannot establish an entropy collapse at the moment of failure or distinguish individual learning from community narrative effects. Section 3.6 therefore specifies repeated belief elicitation as the instrumentation required to convert the metaphor into a testable information-theoretic claim.</w:t>
      </w:r>
    </w:p>
    <w:p>
      <w:pPr>
        <w:jc w:val="both"/>
      </w:pPr>
      <w:r>
        <w:t>Expectation-confirmation theory explains continuance through satisfaction and perceived usefulness, with confirmation shaping those evaluations (Bhattacherjee, 2001). A person can regard an assessment as useful yet remain dissatisfied with the experience; value-affirming non-use therefore does not refute that model. Medical-information avoidance is an equally close comparator. Howell and Shepperd (2012) found that self-affirmation reduced avoidance of medical risk feedback, including when feedback could imply unwanted action. Their experiments show that self-related concerns and anticipated consequences can affect willingness to receive useful health information, and suggest responses beyond adaptive learning. The present contribution is narrower: a contextual account of non-return following gamified assessment and an engineering response designed around that encounter. Any explanatory increment requires testing whether the proposed appraisals predict return beyond satisfaction, perceived capability, burden, usefulness and consequence avoidance.</w:t>
      </w:r>
    </w:p>
    <w:p>
      <w:pPr>
        <w:pStyle w:val="Heading2"/>
      </w:pPr>
      <w:bookmarkStart w:id="45" w:name="_Toc232024545"/>
      <w:r>
        <w:rPr>
          <w:lang w:val="en-US" w:eastAsia="en-US" w:bidi="ar-SA"/>
          <w:color w:val="000000"/>
          <w:szCs w:val="22"/>
        </w:rPr>
        <w:t>2.8 Synthesis: The Five-Stage Transformative Argument</w:t>
      </w:r>
      <w:bookmarkEnd w:id="45"/>
    </w:p>
    <w:p>
      <w:pPr>
        <w:pStyle w:val="Normal"/>
        <w:jc w:val="both"/>
      </w:pPr>
      <w:r>
        <w:rPr>
          <w:szCs w:val="26"/>
          <w:lang w:val="en-US" w:eastAsia="en-US" w:bidi="ar-SA"/>
          <w:rFonts w:ascii="Times New Roman" w:hAnsi="Times New Roman" w:eastAsia="Times New Roman" w:cs="Times New Roman"/>
          <w:sz w:val="24"/>
        </w:rPr>
        <w:t>The chapter's argument has five steps. First, acceptance and gamification research motivate an expectation that an accessible, engaging assessment interaction can support continued use. Second, the Stage-2 deployment did not realise that expectation, prompting examination of the conditions surrounding disengagement. Third, self-efficacy, satisfaction-based continuance and information avoidance remain plausible explanations for the divergence between recorded performance and return. Fourth, the behavioural perspectives in Table 2.1 organise additional, testable appraisal hypotheses. Fifth, those hypotheses and the contrasting Stage-3 experience motivate a domain-specific adaptive-learning framework: calibrated practice, non-terminal feedback, appropriate contextual framing, and credible evidence of change. Adaptive learning is inherited from established traditions; the proposed contribution is its integration into a proactive improvement process for this service. Chapter 7 specifies that process, including how to evaluate progress when challenge or design changes. Its effects on sustained appropriate use, learning and clinical outcomes require prospective evaluation.</w:t>
      </w:r>
    </w:p>
    <w:p>
      <w:pPr>
        <w:pStyle w:val="Normal"/>
        <w:jc w:val="both"/>
      </w:pPr>
      <w:r>
        <w:rPr>
          <w:szCs w:val="26"/>
          <w:lang w:val="en-US" w:eastAsia="en-US" w:bidi="ar-SA"/>
          <w:rFonts w:ascii="Times New Roman" w:hAnsi="Times New Roman" w:eastAsia="Times New Roman" w:cs="Times New Roman"/>
          <w:sz w:val="24"/>
        </w:rPr>
        <w:t>No single stage establishes the complete argument. The completed programme contributes an informative deployment shortfall, a contrasting pattern of engagement in a separate setting, and a specification of how design could respond to difficulty. Its innovation contribution lies in the resulting contextual design knowledge and testable system requirements. Continuous improvement is documented at the level of problem understanding and iterative design development; sustained gains in participant capability or service performance remain intended outcomes. The theoretical mechanisms and the framework's effectiveness are consequently stated as propositions that direct measurement and appropriately controlled comparisons can challenge.</w:t>
      </w:r>
    </w:p>
    <w:p>
      <w:pPr>
        <w:pStyle w:val="Normal"/>
        <w:spacing w:after="0" w:line="240" w:lineRule="auto"/>
        <w:rPr>
          <w:rFonts w:asciiTheme="majorHAnsi" w:eastAsiaTheme="majorEastAsia" w:hAnsiTheme="majorHAnsi" w:cstheme="majorBidi"/>
          <w:b/>
          <w:bCs/>
          <w:color w:val="000000"/>
          <w:sz w:val="32"/>
          <w:szCs w:val="28"/>
        </w:rPr>
      </w:pPr>
      <w:bookmarkStart w:id="46" w:name="_Toc232024546"/>
      <w:r>
        <w:rPr>
          <w:rFonts w:asciiTheme="majorHAnsi" w:eastAsiaTheme="majorEastAsia" w:hAnsiTheme="majorHAnsi" w:cstheme="majorBidi"/>
          <w:b/>
          <w:color w:val="000000"/>
          <w:sz w:val="2"/>
          <w:szCs w:val="28"/>
        </w:rPr>
      </w:r>
    </w:p>
    <w:p>
      <w:pPr/>
      <w:r>
        <w:t>Two tables condense this synthesis. Table 2.2 states, for each stage of the review, what the literature establishes, the question it leaves open, and where the research programme takes that question up. Table 2.3 then reverses the direction of reading: it lists each empirical activity of the programme and traces it back to the literature stage it tests. Together they are the analytical map of this chapter; the prose above supplies the argument behind each row.</w:t>
      </w:r>
    </w:p>
    <w:p>
      <w:pPr>
        <w:sectPr w:rsidR="0062437E" w:rsidSect="00034616">
          <w:footerReference w:type="default" r:id="rId22"/>
          <w:pgSz w:w="11906" w:h="16838"/>
          <w:pgMar w:top="1417" w:right="1417" w:bottom="1417" w:left="1984" w:header="720" w:footer="720" w:gutter="0"/>
          <w:pgNumType w:fmt="decimal" w:start="1"/>
          <w:cols w:space="720"/>
          <w:docGrid w:linePitch="360"/>
        </w:sectPr>
      </w:pPr>
    </w:p>
    <w:p>
      <w:pPr>
        <w:pStyle w:val="FigureCaption"/>
        <w:keepNext/>
        <w:keepLines/>
        <w:jc w:val="center"/>
      </w:pPr>
      <w:r>
        <w:t>Table 2.2. The five-stage literature journey: what each stage establishes, the question it leaves open, and where the programme takes it up.</w:t>
      </w:r>
    </w:p>
    <w:tbl>
      <w:tblPr>
        <w:tblStyle w:val="TableGrid"/>
        <w:tblW w:w="13437" w:type="dxa"/>
        <w:tblLayout w:type="fixed"/>
        <w:tblLook w:firstColumn="1" w:firstRow="1" w:lastColumn="0" w:lastRow="0" w:noHBand="0" w:noVBand="1" w:val="04A0"/>
      </w:tblPr>
      <w:tblGrid>
        <w:gridCol w:w="1737"/>
        <w:gridCol w:w="2905"/>
        <w:gridCol w:w="3196"/>
        <w:gridCol w:w="2827"/>
        <w:gridCol w:w="2772"/>
      </w:tblGrid>
      <w:tr>
        <w:trPr>
          <w:tblHeader/>
          <w:cantSplit/>
        </w:trPr>
        <w:tc>
          <w:tcPr>
            <w:tcW w:w="1737" w:type="dxa"/>
          </w:tcPr>
          <w:p>
            <w:pPr>
              <w:keepNext w:val="0"/>
              <w:keepLines/>
            </w:pPr>
            <w:r>
              <w:rPr>
                <w:rFonts w:ascii="Times New Roman" w:hAnsi="Times New Roman"/>
                <w:b/>
                <w:sz w:val="18"/>
              </w:rPr>
              <w:t>Literature stage</w:t>
            </w:r>
          </w:p>
        </w:tc>
        <w:tc>
          <w:tcPr>
            <w:tcW w:w="2905" w:type="dxa"/>
          </w:tcPr>
          <w:p>
            <w:pPr>
              <w:keepNext w:val="0"/>
              <w:keepLines/>
            </w:pPr>
            <w:r>
              <w:rPr>
                <w:rFonts w:ascii="Times New Roman" w:hAnsi="Times New Roman"/>
                <w:b/>
                <w:sz w:val="18"/>
              </w:rPr>
              <w:t>Core sources</w:t>
            </w:r>
          </w:p>
        </w:tc>
        <w:tc>
          <w:tcPr>
            <w:tcW w:w="3196" w:type="dxa"/>
          </w:tcPr>
          <w:p>
            <w:pPr>
              <w:keepNext w:val="0"/>
              <w:keepLines/>
            </w:pPr>
            <w:r>
              <w:rPr>
                <w:rFonts w:ascii="Times New Roman" w:hAnsi="Times New Roman"/>
                <w:b/>
                <w:sz w:val="18"/>
              </w:rPr>
              <w:t>What it establishes</w:t>
            </w:r>
          </w:p>
        </w:tc>
        <w:tc>
          <w:tcPr>
            <w:tcW w:w="2827" w:type="dxa"/>
          </w:tcPr>
          <w:p>
            <w:pPr>
              <w:keepNext w:val="0"/>
              <w:keepLines/>
            </w:pPr>
            <w:r>
              <w:rPr>
                <w:rFonts w:ascii="Times New Roman" w:hAnsi="Times New Roman"/>
                <w:b/>
                <w:sz w:val="18"/>
              </w:rPr>
              <w:t>The question it leaves open</w:t>
            </w:r>
          </w:p>
        </w:tc>
        <w:tc>
          <w:tcPr>
            <w:tcW w:w="2772" w:type="dxa"/>
          </w:tcPr>
          <w:p>
            <w:pPr>
              <w:keepNext w:val="0"/>
              <w:keepLines/>
            </w:pPr>
            <w:r>
              <w:rPr>
                <w:rFonts w:ascii="Times New Roman" w:hAnsi="Times New Roman"/>
                <w:b/>
                <w:sz w:val="18"/>
              </w:rPr>
              <w:t>Where the programme takes it up</w:t>
            </w:r>
          </w:p>
        </w:tc>
      </w:tr>
      <w:tr>
        <w:trPr>
          <w:cantSplit/>
        </w:trPr>
        <w:tc>
          <w:tcPr>
            <w:tcW w:w="1737" w:type="dxa"/>
          </w:tcPr>
          <w:p>
            <w:r>
              <w:t>One — Technology acceptance lineage</w:t>
            </w:r>
          </w:p>
        </w:tc>
        <w:tc>
          <w:tcPr>
            <w:tcW w:w="2905" w:type="dxa"/>
          </w:tcPr>
          <w:p>
            <w:r>
              <w:t>Davis (1989); TAM2/TAM3/UTAUT; Chen &amp; Chan (2014)</w:t>
            </w:r>
          </w:p>
        </w:tc>
        <w:tc>
          <w:tcPr>
            <w:tcW w:w="3196" w:type="dxa"/>
          </w:tcPr>
          <w:p>
            <w:r>
              <w:t>Users' perceptions, capabilities and circumstances help explain intention and use; STAM includes usage</w:t>
            </w:r>
          </w:p>
        </w:tc>
        <w:tc>
          <w:tcPr>
            <w:tcW w:w="2827" w:type="dxa"/>
          </w:tcPr>
          <w:p>
            <w:r>
              <w:t>Whether event-specific appraisal adds explanatory value after an adverse assessment encounter</w:t>
            </w:r>
          </w:p>
        </w:tc>
        <w:tc>
          <w:tcPr>
            <w:tcW w:w="2772" w:type="dxa"/>
          </w:tcPr>
          <w:p>
            <w:r>
              <w:t>Initial design expectation H0 (§2.3.5); Stage-1 constructs (Chapter 4)</w:t>
            </w:r>
          </w:p>
        </w:tc>
      </w:tr>
      <w:tr>
        <w:trPr>
          <w:cantSplit/>
        </w:trPr>
        <w:tc>
          <w:tcPr>
            <w:tcW w:w="1737" w:type="dxa"/>
          </w:tcPr>
          <w:p>
            <w:r>
              <w:t>Two — Gamification and Octalysis</w:t>
            </w:r>
          </w:p>
        </w:tc>
        <w:tc>
          <w:tcPr>
            <w:tcW w:w="2905" w:type="dxa"/>
          </w:tcPr>
          <w:p>
            <w:r>
              <w:t>Deterding et al. (2011); Chou (2015); An, Cheung &amp; Willoughby (2024); An, Cheung &amp; Lo (2025)</w:t>
            </w:r>
          </w:p>
        </w:tc>
        <w:tc>
          <w:tcPr>
            <w:tcW w:w="3196" w:type="dxa"/>
          </w:tcPr>
          <w:p>
            <w:r>
              <w:t>Selected studies support gains in knowledge and adoption intention; Octalysis supplies design guidance</w:t>
            </w:r>
          </w:p>
        </w:tc>
        <w:tc>
          <w:tcPr>
            <w:tcW w:w="2827" w:type="dxa"/>
          </w:tcPr>
          <w:p>
            <w:r>
              <w:t>How these findings transfer to sustained use in a clinically framed FRA service (§2.3.4)</w:t>
            </w:r>
          </w:p>
        </w:tc>
        <w:tc>
          <w:tcPr>
            <w:tcW w:w="2772" w:type="dxa"/>
          </w:tcPr>
          <w:p>
            <w:r>
              <w:t>Initial design expectation H0; intended Stage-2 design features (Chapter 5)</w:t>
            </w:r>
          </w:p>
        </w:tc>
      </w:tr>
      <w:tr>
        <w:trPr>
          <w:cantSplit/>
        </w:trPr>
        <w:tc>
          <w:tcPr>
            <w:tcW w:w="1737" w:type="dxa"/>
          </w:tcPr>
          <w:p>
            <w:r>
              <w:t>Three — Self-efficacy</w:t>
            </w:r>
          </w:p>
        </w:tc>
        <w:tc>
          <w:tcPr>
            <w:tcW w:w="2905" w:type="dxa"/>
          </w:tcPr>
          <w:p>
            <w:r>
              <w:t>Bandura (1977, 1997); Hawthorn (2007); Broady, Chan &amp; Caputi (2010); Tsai et al. (2020)</w:t>
            </w:r>
          </w:p>
        </w:tc>
        <w:tc>
          <w:tcPr>
            <w:tcW w:w="3196" w:type="dxa"/>
          </w:tcPr>
          <w:p>
            <w:r>
              <w:t>Perceived capability and anxiety can affect engagement; score change need not equal mastery</w:t>
            </w:r>
          </w:p>
        </w:tc>
        <w:tc>
          <w:tcPr>
            <w:tcW w:w="2827" w:type="dxa"/>
          </w:tcPr>
          <w:p>
            <w:r>
              <w:t>Whether perceived capability explains non-return alongside favourable recorded score change (§2.4.4)</w:t>
            </w:r>
          </w:p>
        </w:tc>
        <w:tc>
          <w:tcPr>
            <w:tcW w:w="2772" w:type="dxa"/>
          </w:tcPr>
          <w:p>
            <w:r>
              <w:t>First diagnostic layer for reading the engagement data (Chapters 5–6)</w:t>
            </w:r>
          </w:p>
        </w:tc>
      </w:tr>
      <w:tr>
        <w:trPr>
          <w:cantSplit/>
        </w:trPr>
        <w:tc>
          <w:tcPr>
            <w:tcW w:w="1737" w:type="dxa"/>
          </w:tcPr>
          <w:p>
            <w:r>
              <w:t>Four — Behavioural science</w:t>
            </w:r>
          </w:p>
        </w:tc>
        <w:tc>
          <w:tcPr>
            <w:tcW w:w="2905" w:type="dxa"/>
          </w:tcPr>
          <w:p>
            <w:r>
              <w:t>Kahneman &amp; Tversky (1979); Thaler (1985); Steele &amp; Aronson (1995)</w:t>
            </w:r>
          </w:p>
        </w:tc>
        <w:tc>
          <w:tcPr>
            <w:tcW w:w="3196" w:type="dxa"/>
          </w:tcPr>
          <w:p>
            <w:r>
              <w:t>Distinct candidate operators concerning reference points, valuation, account assignment and stereotype salience</w:t>
            </w:r>
          </w:p>
        </w:tc>
        <w:tc>
          <w:tcPr>
            <w:tcW w:w="2827" w:type="dxa"/>
          </w:tcPr>
          <w:p>
            <w:r>
              <w:t>Whether these operators add explanation beyond competence, satisfaction and information avoidance</w:t>
            </w:r>
          </w:p>
        </w:tc>
        <w:tc>
          <w:tcPr>
            <w:tcW w:w="2772" w:type="dxa"/>
          </w:tcPr>
          <w:p>
            <w:r>
              <w:t>The candidate account of failure-associated non-return (Table 2.1); developed further in Chapter 5</w:t>
            </w:r>
          </w:p>
        </w:tc>
      </w:tr>
      <w:tr>
        <w:trPr>
          <w:cantSplit/>
        </w:trPr>
        <w:tc>
          <w:tcPr>
            <w:tcW w:w="1737" w:type="dxa"/>
          </w:tcPr>
          <w:p>
            <w:r>
              <w:t>Five — Design responses</w:t>
            </w:r>
          </w:p>
        </w:tc>
        <w:tc>
          <w:tcPr>
            <w:tcW w:w="2905" w:type="dxa"/>
          </w:tcPr>
          <w:p>
            <w:r>
              <w:t>Kapur (2008); learning traditions (§2.6.2A); SDT and goal-setting (§2.6.2B); non-terminal feedback (§2.6.2C)</w:t>
            </w:r>
          </w:p>
        </w:tc>
        <w:tc>
          <w:tcPr>
            <w:tcW w:w="3196" w:type="dxa"/>
          </w:tcPr>
          <w:p>
            <w:r>
              <w:t>Structured support, calibrated practice and feedback motivate testable responses to difficulty</w:t>
            </w:r>
          </w:p>
        </w:tc>
        <w:tc>
          <w:tcPr>
            <w:tcW w:w="2827" w:type="dxa"/>
          </w:tcPr>
          <w:p>
            <w:r>
              <w:t>Whether these responses support sustained appropriate use and credible learning under changing task conditions</w:t>
            </w:r>
          </w:p>
        </w:tc>
        <w:tc>
          <w:tcPr>
            <w:tcW w:w="2772" w:type="dxa"/>
          </w:tcPr>
          <w:p>
            <w:r>
              <w:t>Stage-3 contextual comparison (Chapter 6); adaptive-learning framework and comparable progress checks (Chapter 7); Stage-3B component-study record and future-study specification (§8.8)</w:t>
            </w:r>
          </w:p>
        </w:tc>
      </w:tr>
      <w:tr>
        <w:trPr>
          <w:cantSplit/>
        </w:trPr>
        <w:tc>
          <w:tcPr>
            <w:tcW w:w="1737" w:type="dxa"/>
          </w:tcPr>
          <w:p>
            <w:r>
              <w:t>Supporting evidence and adjacent frameworks</w:t>
            </w:r>
          </w:p>
        </w:tc>
        <w:tc>
          <w:tcPr>
            <w:tcW w:w="2905" w:type="dxa"/>
          </w:tcPr>
          <w:p>
            <w:r>
              <w:t>Koivisto &amp; Malik (2021); Greenhalgh et al. (2017); Bhattacherjee (2001); Howell &amp; Shepperd (2012); Shannon (1948)</w:t>
            </w:r>
          </w:p>
        </w:tc>
        <w:tc>
          <w:tcPr>
            <w:tcW w:w="3196" w:type="dxa"/>
          </w:tcPr>
          <w:p>
            <w:r>
              <w:t>Older-adult intervention evidence; multilevel abandonment, continuance and information-avoidance accounts; a metaphor for future measurement</w:t>
            </w:r>
          </w:p>
        </w:tc>
        <w:tc>
          <w:tcPr>
            <w:tcW w:w="2827" w:type="dxa"/>
          </w:tcPr>
          <w:p>
            <w:r>
              <w:t>How event-level appraisals and service conditions jointly shape this assessment encounter</w:t>
            </w:r>
          </w:p>
        </w:tc>
        <w:tc>
          <w:tcPr>
            <w:tcW w:w="2772" w:type="dxa"/>
          </w:tcPr>
          <w:p>
            <w:r>
              <w:t>Competing and complementary explanations; prospective measurement (Chapters 7–8)</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FigureCaption"/>
        <w:keepNext/>
        <w:keepLines/>
        <w:jc w:val="center"/>
      </w:pPr>
      <w:r>
        <w:t>Table 2.3. From literature to research design: each empirical activity read against the literature stage it tests. Chapter pointers only; findings are reported in the chapters named.</w:t>
      </w:r>
    </w:p>
    <w:tbl>
      <w:tblPr>
        <w:tblStyle w:val="TableGrid"/>
        <w:tblW w:w="8505" w:type="dxa"/>
        <w:tblLayout w:type="fixed"/>
        <w:tblLook w:firstColumn="1" w:firstRow="1" w:lastColumn="0" w:lastRow="0" w:noHBand="0" w:noVBand="1" w:val="04A0"/>
      </w:tblPr>
      <w:tblGrid>
        <w:gridCol w:w="1881"/>
        <w:gridCol w:w="2467"/>
        <w:gridCol w:w="2199"/>
        <w:gridCol w:w="1958"/>
      </w:tblGrid>
      <w:tr>
        <w:trPr>
          <w:tblHeader/>
          <w:cantSplit/>
        </w:trPr>
        <w:tc>
          <w:tcPr>
            <w:tcW w:w="1881" w:type="dxa"/>
          </w:tcPr>
          <w:p>
            <w:pPr>
              <w:keepNext w:val="0"/>
              <w:keepLines/>
            </w:pPr>
            <w:r>
              <w:rPr>
                <w:rFonts w:ascii="Times New Roman" w:hAnsi="Times New Roman"/>
                <w:b/>
                <w:sz w:val="18"/>
              </w:rPr>
              <w:t>Research activity</w:t>
            </w:r>
          </w:p>
        </w:tc>
        <w:tc>
          <w:tcPr>
            <w:tcW w:w="2467" w:type="dxa"/>
          </w:tcPr>
          <w:p>
            <w:pPr>
              <w:keepNext w:val="0"/>
              <w:keepLines/>
            </w:pPr>
            <w:r>
              <w:rPr>
                <w:rFonts w:ascii="Times New Roman" w:hAnsi="Times New Roman"/>
                <w:b/>
                <w:sz w:val="18"/>
              </w:rPr>
              <w:t>Question carried from the literature</w:t>
            </w:r>
          </w:p>
        </w:tc>
        <w:tc>
          <w:tcPr>
            <w:tcW w:w="2199" w:type="dxa"/>
          </w:tcPr>
          <w:p>
            <w:pPr>
              <w:keepNext w:val="0"/>
              <w:keepLines/>
            </w:pPr>
            <w:r>
              <w:rPr>
                <w:rFonts w:ascii="Times New Roman" w:hAnsi="Times New Roman"/>
                <w:b/>
                <w:sz w:val="18"/>
              </w:rPr>
              <w:t>What is instrumented</w:t>
            </w:r>
          </w:p>
        </w:tc>
        <w:tc>
          <w:tcPr>
            <w:tcW w:w="1958" w:type="dxa"/>
          </w:tcPr>
          <w:p>
            <w:pPr>
              <w:keepNext w:val="0"/>
              <w:keepLines/>
            </w:pPr>
            <w:r>
              <w:rPr>
                <w:rFonts w:ascii="Times New Roman" w:hAnsi="Times New Roman"/>
                <w:b/>
                <w:sz w:val="18"/>
              </w:rPr>
              <w:t>Literature stage it informs</w:t>
            </w:r>
          </w:p>
        </w:tc>
      </w:tr>
      <w:tr>
        <w:trPr>
          <w:cantSplit/>
        </w:trPr>
        <w:tc>
          <w:tcPr>
            <w:tcW w:w="1881" w:type="dxa"/>
          </w:tcPr>
          <w:p>
            <w:r>
              <w:t>Stage 1 — retrospective survey (Chapter 4)</w:t>
            </w:r>
          </w:p>
        </w:tc>
        <w:tc>
          <w:tcPr>
            <w:tcW w:w="2467" w:type="dxa"/>
          </w:tcPr>
          <w:p>
            <w:r>
              <w:t>How do prior FRA users describe first experiences and subsequent return?</w:t>
            </w:r>
          </w:p>
        </w:tc>
        <w:tc>
          <w:tcPr>
            <w:tcW w:w="2199" w:type="dxa"/>
          </w:tcPr>
          <w:p>
            <w:r>
              <w:t>Prior use, adverse-experience recall and reported return behaviour</w:t>
            </w:r>
          </w:p>
        </w:tc>
        <w:tc>
          <w:tcPr>
            <w:tcW w:w="1958" w:type="dxa"/>
          </w:tcPr>
          <w:p>
            <w:r>
              <w:t>Stages one–two; context for the initial expectation H0</w:t>
            </w:r>
          </w:p>
        </w:tc>
      </w:tr>
      <w:tr>
        <w:trPr>
          <w:cantSplit/>
        </w:trPr>
        <w:tc>
          <w:tcPr>
            <w:tcW w:w="1881" w:type="dxa"/>
          </w:tcPr>
          <w:p>
            <w:r>
              <w:t>Stage 2 — gamified FRA deployment (Chapter 5)</w:t>
            </w:r>
          </w:p>
        </w:tc>
        <w:tc>
          <w:tcPr>
            <w:tcW w:w="2467" w:type="dxa"/>
          </w:tcPr>
          <w:p>
            <w:r>
              <w:t>Does the implemented acceptance-informed, game-based FRA sustain participation at the assessment site?</w:t>
            </w:r>
          </w:p>
        </w:tc>
        <w:tc>
          <w:tcPr>
            <w:tcW w:w="2199" w:type="dxa"/>
          </w:tcPr>
          <w:p>
            <w:r>
              <w:t>Hand-recorded play record (completed game cycles and pre/post recorded FRA index; the software's electronic session telemetry was not kept, §8.9), satisfaction and self-report</w:t>
            </w:r>
          </w:p>
        </w:tc>
        <w:tc>
          <w:tcPr>
            <w:tcW w:w="1958" w:type="dxa"/>
          </w:tcPr>
          <w:p>
            <w:r>
              <w:t>Stages one–two; stage three offers a competing explanation</w:t>
            </w:r>
          </w:p>
        </w:tc>
      </w:tr>
      <w:tr>
        <w:trPr>
          <w:cantSplit/>
        </w:trPr>
        <w:tc>
          <w:tcPr>
            <w:tcW w:w="1881" w:type="dxa"/>
          </w:tcPr>
          <w:p>
            <w:r>
              <w:t>Stage 3 — participant-facing decoupling (Chapter 6)</w:t>
            </w:r>
          </w:p>
        </w:tc>
        <w:tc>
          <w:tcPr>
            <w:tcW w:w="2467" w:type="dxa"/>
          </w:tcPr>
          <w:p>
            <w:r>
              <w:t>How does engagement differ in the separate remote gameplay context, and which explanations merit controlled testing?</w:t>
            </w:r>
          </w:p>
        </w:tc>
        <w:tc>
          <w:tcPr>
            <w:tcW w:w="2199" w:type="dxa"/>
          </w:tcPr>
          <w:p>
            <w:r>
              <w:t>Post-failure return, endorsement and stated intention in a separate cohort</w:t>
            </w:r>
          </w:p>
        </w:tc>
        <w:tc>
          <w:tcPr>
            <w:tcW w:w="1958" w:type="dxa"/>
          </w:tcPr>
          <w:p>
            <w:r>
              <w:t>Stages four–five; contextual evidence motivating appraisal and design hypotheses</w:t>
            </w:r>
          </w:p>
        </w:tc>
      </w:tr>
      <w:tr>
        <w:trPr>
          <w:cantSplit/>
        </w:trPr>
        <w:tc>
          <w:tcPr>
            <w:tcW w:w="1881" w:type="dxa"/>
          </w:tcPr>
          <w:p>
            <w:r>
              <w:t>Adaptive-learning framework and Stage-3B component-study record (Chapter 7; §8.8)</w:t>
            </w:r>
          </w:p>
        </w:tc>
        <w:tc>
          <w:tcPr>
            <w:tcW w:w="2467" w:type="dxa"/>
          </w:tcPr>
          <w:p>
            <w:r>
              <w:t>Can calibrated practice and credible feedback support learning and return when difficulty or design changes?</w:t>
            </w:r>
          </w:p>
        </w:tc>
        <w:tc>
          <w:tcPr>
            <w:tcW w:w="2199" w:type="dxa"/>
          </w:tcPr>
          <w:p>
            <w:r>
              <w:t>Proposed framework, comparable reference checks and a future-study specification; the Stage-3B component study is recorded descriptively at a stated cut-off, without confirmatory analysis</w:t>
            </w:r>
          </w:p>
        </w:tc>
        <w:tc>
          <w:tcPr>
            <w:tcW w:w="1958" w:type="dxa"/>
          </w:tcPr>
          <w:p>
            <w:r>
              <w:t>Stage five's design propositions; their effects are not established by the completed stages</w:t>
            </w:r>
          </w:p>
        </w:tc>
      </w:tr>
    </w:tbl>
    <w:p>
      <w:pPr>
        <w:jc w:val="both"/>
      </w:pPr>
      <w:r>
        <w:t>Figure 2.1 renders the synthesis of this chapter graphically as the author's five-part literature-to-design framework. Parts 1 and 2 state the initial design expectation drawn from technology-acceptance and gamification theory - the origin of H0, formalised retrospectively (§2.3.5). Parts 3 and 4 assemble the competing and complementary explanations that field difficulty brought under examination: self-efficacy on one side, and the behavioural-appraisal candidates - loss aversion, identity-related endowment, mental accounting, stereotype threat - on the other, considered alongside continuance and information avoidance. Part 5 states the design response they inform. The lower band connects the five parts to the three empirical stages and the proposed response, and carries the two caveats this architecture keeps in view throughout: Stage 3 changed cohort, input and context together, so framing effects were not isolated; and credible improvement claims require comparable observations, disclosed task changes and separate reporting of incompatible phases. The figure states structure and argumentative connection only - arrows are not causal claims, and stage outcomes are reported in Chapters 4 to 6.</w:t>
      </w:r>
    </w:p>
    <w:p>
      <w:pPr>
        <w:keepNext/>
        <w:jc w:val="center"/>
      </w:pPr>
      <w:r>
        <w:drawing>
          <wp:inline>
            <wp:extent cx="5688000" cy="4153737"/>
            <wp:docPr id="40" name="Picture 40" descr="Figure 2.1. The five-part literature-to-design synthesis: conceptual rationale for gamification, continuous improvement and innovation enhancement."/>
            <wp:cNvGraphicFramePr>
              <a:graphicFrameLocks noChangeAspect="1"/>
            </wp:cNvGraphicFramePr>
            <a:graphic>
              <a:graphicData uri="http://schemas.openxmlformats.org/drawingml/2006/picture">
                <pic:pic>
                  <pic:nvPicPr>
                    <pic:cNvPr id="0" name="fig_2_1_literature_synthesis.png"/>
                    <pic:cNvPicPr/>
                  </pic:nvPicPr>
                  <pic:blipFill>
                    <a:blip r:embed="rId49"/>
                    <a:stretch>
                      <a:fillRect/>
                    </a:stretch>
                  </pic:blipFill>
                  <pic:spPr>
                    <a:xfrm>
                      <a:off x="0" y="0"/>
                      <a:ext cx="5688000" cy="4153737"/>
                    </a:xfrm>
                    <a:prstGeom prst="rect"/>
                  </pic:spPr>
                </pic:pic>
              </a:graphicData>
            </a:graphic>
          </wp:inline>
        </w:drawing>
      </w:r>
    </w:p>
    <w:p>
      <w:pPr>
        <w:pStyle w:val="FigureCaption"/>
      </w:pPr>
      <w:r>
        <w:t>Figure 2.1. The five-part literature-to-design synthesis: conceptual rationale for gamification, continuous improvement and innovation enhancement. Five conceptual parts organise the rationale for the three empirical stages and the proposed design response; arrows indicate argumentative connections, not causal proof. Source: author's synthesis of the cited literature (Chapters 2-8).</w:t>
      </w:r>
    </w:p>
    <w:p>
      <w:pPr>
        <w:pStyle w:val="Heading1"/>
        <w:pageBreakBefore/>
      </w:pPr>
      <w:r>
        <w:rPr>
          <w:lang w:val="en-US" w:eastAsia="en-US" w:bidi="ar-SA"/>
          <w:color w:val="000000"/>
          <w:szCs w:val="28"/>
        </w:rPr>
        <w:t>Chapter 3 Research Methodology</w:t>
      </w:r>
      <w:bookmarkEnd w:id="46"/>
    </w:p>
    <w:p>
      <w:pPr>
        <w:pStyle w:val="Heading2"/>
      </w:pPr>
      <w:bookmarkStart w:id="47" w:name="_Toc232024547"/>
      <w:r>
        <w:rPr>
          <w:lang w:val="en-US" w:eastAsia="en-US" w:bidi="ar-SA"/>
          <w:color w:val="000000"/>
          <w:szCs w:val="22"/>
        </w:rPr>
        <w:t>3.1 Action Research as the Methodological Frame</w:t>
      </w:r>
      <w:bookmarkEnd w:id="47"/>
    </w:p>
    <w:p>
      <w:pPr>
        <w:pStyle w:val="Normal"/>
        <w:jc w:val="both"/>
      </w:pPr>
      <w:r>
        <w:rPr>
          <w:i w:val="0"/>
          <w:szCs w:val="26"/>
          <w:lang w:val="en-US" w:eastAsia="en-US" w:bidi="ar-SA"/>
          <w:rFonts w:ascii="Times New Roman" w:hAnsi="Times New Roman" w:eastAsia="Times New Roman" w:cs="Times New Roman"/>
          <w:sz w:val="24"/>
        </w:rPr>
        <w:t>The programme adopts action research (Lewin, 1946; Stringer, 2014; Reason &amp; Bradbury, 2008), using cycles of action, observation, reflection and design revision to investigate an engineering problem. The initial design expectation, labelled H0 in §2.3.5, was that a gamified FRA informed by technology-acceptance and gamification principles would support sustained engagement. Its formal wording was reconstructed during analysis and writing; it is a working proposition rather than a preregistered statistical null. The field stages examined that expectation and generated further propositions concerning the provisional FIAS construct (introduced at §4.6), participant-facing clinical framing and adaptive learning. Action research provides a structure for documenting these revisions, but does not confer causal confirmation on explanations generated from them. The methodological connection to the thesis title is substantive: continuous improvement operates through the researcher's iterative inquiry and the user's proposed learning process, while innovation enhancement concerns the revision and evaluation of the intervention when the initial design encounters difficulty. The documented changes were from FIDS toward the provisional FIAS construct after Stages 1 and 2; toward a frame-sensitive account after Stage 3; and from decoupling alone toward an adaptive-learning design framework. These are revisions of working explanations and engineering requirements. The programme is therefore offered as exploratory engineering research whose contribution combines a situated empirical problem, bounded explanatory propositions and a design framework for prospective evaluation. An unsuccessful implementation can inform an improved design decision, but that learning must be distinguished from evidence that either users' capabilities or the revised intervention's effectiveness have improved.</w:t>
      </w:r>
    </w:p>
    <w:p>
      <w:pPr>
        <w:pStyle w:val="Heading2"/>
      </w:pPr>
      <w:bookmarkStart w:id="48" w:name="_Toc232024548"/>
      <w:r>
        <w:rPr>
          <w:lang w:val="en-US" w:eastAsia="en-US" w:bidi="ar-SA"/>
          <w:color w:val="000000"/>
          <w:szCs w:val="22"/>
        </w:rPr>
        <w:t>3.2 Three-Stage Design</w:t>
      </w:r>
      <w:bookmarkEnd w:id="48"/>
    </w:p>
    <w:p>
      <w:pPr>
        <w:pStyle w:val="Normal"/>
        <w:jc w:val="both"/>
      </w:pPr>
      <w:r>
        <w:rPr>
          <w:szCs w:val="26"/>
          <w:lang w:val="en-US" w:eastAsia="en-US" w:bidi="ar-SA"/>
          <w:rFonts w:ascii="Times New Roman" w:hAnsi="Times New Roman" w:eastAsia="Times New Roman" w:cs="Times New Roman"/>
          <w:sz w:val="24"/>
        </w:rPr>
        <w:t>Stage 1 was a descriptive, retrospective survey at the Poly Group facility in Guangzhou: a six-item Yes/No instrument administered face-to-face by nursing staff. Its methodological role in the architecture is to establish the field signal — a setting with substantial practical support for access, yet a reported pattern of adverse first experiences and non-return — that motivates prospective examination of the original design expectation (Chapter 4). The facility housed 280 residents at the time of the survey; 200 eligible residents were interviewed about their FRA experience, and all Stage-1 percentages are computed on the interviewed sample of 200 or, for the items conditional on prior use, on the labelled subgroups of the 200 (§4.2).</w:t>
      </w:r>
    </w:p>
    <w:p>
      <w:pPr>
        <w:pStyle w:val="Normal"/>
        <w:jc w:val="both"/>
      </w:pPr>
      <w:r>
        <w:rPr>
          <w:szCs w:val="26"/>
          <w:lang w:val="en-US" w:eastAsia="en-US" w:bidi="ar-SA"/>
          <w:rFonts w:ascii="Times New Roman" w:hAnsi="Times New Roman" w:eastAsia="Times New Roman" w:cs="Times New Roman"/>
          <w:sz w:val="24"/>
        </w:rPr>
        <w:t>Stage 2 was a prospective eight-week action-research deployment with thirty residents at the same facility. The intervention was a dual-purpose AI-assisted skiing game on the InBody pressure panel, engineered to satisfy the acceptance and gamification design criteria of Chapter 2, allowing the original design expectation to be examined during deployment (§5.2), without establishing that every participant perceived the intended benefits or ease of use. Its analytical outputs are the engagement, failure and non-return characterisation of §5.5, analysed with estimators appropriate to a small single-site sample — Wilson intervals, paired and exact tests — because the archived dataset preserves no timestamps and therefore supports no time-to-event modelling. The study was not designed as a clinical validation of FRA or as a randomised test of the behavioural-economic mechanism. Across all three stages, a qualitative requirements mapping informed by Quality Function Deployment (QFD; Akao, 1990; Chan &amp; Wu, 2002) translates empirical findings into proposed design requirements: needs interpreted from survey, behavioural and self-report findings are related to candidate game features (§5.5A). The mapping records the researcher's design rationale rather than measured feature effectiveness or quantitatively validated priorities. It structures the translation from evidence to design; it complements, and does not replace, the statistical analysis of the collected data.</w:t>
      </w:r>
    </w:p>
    <w:p>
      <w:pPr>
        <w:pStyle w:val="Normal"/>
        <w:jc w:val="both"/>
      </w:pPr>
      <w:r>
        <w:rPr>
          <w:i w:val="0"/>
          <w:szCs w:val="26"/>
          <w:lang w:val="en-US" w:eastAsia="en-US" w:bidi="ar-SA"/>
          <w:rFonts w:ascii="Times New Roman" w:hAnsi="Times New Roman" w:eastAsia="Times New Roman" w:cs="Times New Roman"/>
          <w:sz w:val="24"/>
        </w:rPr>
        <w:t>Stage 3 (designated Stage 3A in programme documents, to distinguish it from the later Stage-3B component study; §6.1, §8.8) was a between-cycle, between-cohort quasi-experimental field study with 120 adults aged 25–80 recruited through the author's Hong Kong-based networks (family and personal contacts, work contacts, a charity community network, university support channels and working peers in medical centres). The game was re-implemented as a separate, distributable HTML build, sent by e-mail, and played without required supervision, mostly on participants' own computers with arrow keys or a foot-pad sensor where one was available, and for some older participants on a pre-installed iPad with an external keyboard (§6.4). The skiing mechanic and session structure were retained in that build, which added an in-game five-attempt counter, while participant-facing clinical framing was changed through multiple coordinated components: recruitment language, the absence of any pre-session clinical scan, removal of clinical labels and participant-facing clinical outputs, and a coordination-game interface. Because cohort, setting, platform, input device and supervision also differed, Stage 3 estimates the combined association of the decoupled condition and its context with behaviour; it evaluates a participant-facing redesign package in a separate cohort, and it does not isolate a single causal variable. Its methodological role rests on two rival readings of the Stage-2 outcome: a dispositional reading (gamification demonstrations do not transfer to this older population) and a frame-sensitive reading (the attachment to the clinical technology carried the difficulty). The two readings generate opposite directional expectations for a decoupled deployment, which Stage 3 can examine but not decisively separate, given the between-cohort design (§6.1). The three age bands (25–44, 45–64, 65–80) permit exploratory within-cohort comparisons, including H0-age, the equal-proportions null examined after age-stratified tabulation. Age-stratified dropout and return patterns are reported in Chapter 6. Because every age band received the decoupled condition, this gradient identifies an age association within that implementation; it cannot estimate either a clinical-framing effect or an age-by-framing interaction. Identity-related appraisal, motor demands, familiarity, interest and fatigue remain possible explanations for the gradient.</w:t>
      </w:r>
    </w:p>
    <w:p>
      <w:pPr>
        <w:pStyle w:val="Normal"/>
        <w:jc w:val="both"/>
      </w:pPr>
      <w:r>
        <w:rPr>
          <w:szCs w:val="26"/>
          <w:lang w:val="en-US" w:eastAsia="en-US" w:bidi="ar-SA"/>
          <w:rFonts w:ascii="Times New Roman" w:hAnsi="Times New Roman" w:eastAsia="Times New Roman" w:cs="Times New Roman"/>
          <w:sz w:val="24"/>
        </w:rPr>
        <w:t>A fourth evidence activity supplements the three stages: a series of four expert consultations (one of which, in its September 2026 follow-up, included a contribution from the expert's doctoral researcher), conducted from March to September 2026 as a distinct data-collection exercise to examine emerging interpretations and design requirements against senior practice and research standpoints. The consultations were semi-structured interviews with: a senior physiotherapist and former chair of a Hong Kong professional physiotherapy body, pseudonymised as Expert P at his election (March 2026, telephone, approximately 25 minutes, Cantonese mixed with English; consent signed 4 August 2026; with a dated follow-up on 5 August 2026 in which he played the decoupled build); Dr Gary Kui-Kai Lau, Assistant Dean (Education Innovations) and Clinical Associate Professor, Division of Neurology, LKS Faculty of Medicine, The University of Hong Kong (June 2026, in person, approximately one hour, Cantonese mixed with English; consent completed 10 August 2026); Dr Sarah C.W. Yuan, Specialist, Center on the Family, University of Hawai'i at Manoa, a medical sociologist and demographer of aging (25 July 2026, telephone, English, approximately 35 minutes); and Dr Philip Choy, certified naturopathic physician (ANMCB) and President of the Hong Kong Academy of Naturopath, with over twenty-five years of clinical practice concentrated in chronic disease among older adults (4 August 2026, telephone, approximately 30 minutes, Cantonese and English). Each expert gave written consent on a nine-statement form with an explicit identification election: three authorised named attribution (in Dr Choy's case by written assent to a form completed on his behalf, H.7) and one elected pseudonymity; for two consultations (Expert P, Dr Lau) the signed form post-dates the interview, and both dates are stated here and in the dual-dated records at H.6 and H.8; these consent arrangements are among those on which an itemised institutional determination is not part of the record at 30 September 2026 (§3.4). The researcher's notes are the primary records; each consultation summary is returned to its participant for member checking; Appendix H records the outcome where a response is on file and otherwise states the status factually. Analysis is thematic: expert statements are mapped onto the programme's constructs and reported as convergence, divergence or silence (Appendix H; discussed in Chapter 8). Positioning: expert input provides interpretive consultation and design appraisal of the Chapter 7 framework. It contributes practice-based perspectives and rival explanations, but is neither independent replication of the participant findings nor evidence for the hypothesis tests.</w:t>
      </w:r>
    </w:p>
    <w:p>
      <w:pPr>
        <w:pStyle w:val="Normal"/>
        <w:jc w:val="both"/>
      </w:pPr>
      <w:r>
        <w:rPr>
          <w:szCs w:val="26"/>
          <w:lang w:val="en-US" w:eastAsia="en-US" w:bidi="ar-SA"/>
          <w:rFonts w:ascii="Times New Roman" w:hAnsi="Times New Roman" w:eastAsia="Times New Roman" w:cs="Times New Roman"/>
          <w:sz w:val="24"/>
        </w:rPr>
        <w:t>A component study designated Stage 3B was specified after the Stage-3 results were in hand and is documented in this thesis as an achieved record rather than as evidence. It was pre-specified (repository-dated 8–9 August 2026) as a silent 2×2 design crossing adaptive against static difficulty with zero-failure against game-over failure modes, with assignment by random draw at first enrolment and one confirmatory contrast (adaptive versus static on questionnaire item D2, willingness to play regularly, top-two-box, pooled across failure modes). Builds were distributed from 10 August 2026 and a frozen study edition was issued on 15 September 2026. The thesis cut-off for the Stage-3B record is 30 September 2026, set by the author's dated decision of 2 October 2026 (Appendix G, item G.12) inside the frozen edition's clean-run window, which runs to 15 October 2026; returns received after 30 September 2026 are archived as received and are not entered in this thesis. The record holds one verified return (15 August 2026), five returns received on 15 September 2026 that were excluded as researcher-solicited plays on the 13-August build, the clean-run returns from the frozen edition listed in Appendix I (Table I.4), and a researcher self-test batch of the Pro v4.1 build (19–20 September 2026). After the initial round, the learning measurement was found not to be articulated to the adaptive-learning construct: immediate task performance on a ceiling-limited, non-equivalent course form is not durable learning, and the adaptive arm is a support package (difficulty adjustment with coaching) rather than difficulty adjustment alone. Stage 3B is therefore no longer used to determine whether an adaptive-learning process occurs in the AI-enabled zero-failure mechanism; no confirmatory analysis is reported. The thesis concludes on the findings of Stages 1–3A; the Stage-3B design parameters, builds and returns on record are compiled in §8.8 and Appendix I, and adaptive learning is carried as a design direction for future study (Chapter 7, §8.8).</w:t>
      </w:r>
    </w:p>
    <w:p>
      <w:pPr>
        <w:pStyle w:val="FigureCaption"/>
        <w:keepNext/>
        <w:keepLines/>
        <w:jc w:val="center"/>
      </w:pPr>
      <w:r>
        <w:rPr>
          <w:sz w:val="24"/>
          <w:szCs w:val="22"/>
          <w:lang w:val="en-US" w:eastAsia="en-US" w:bidi="ar-SA"/>
          <w:rFonts w:ascii="Times New Roman" w:hAnsi="Times New Roman" w:eastAsia="Times New Roman" w:cs="Times New Roman"/>
          <w:i/>
        </w:rPr>
        <w:t>Table 3.1. The hypothesis architecture of the programme: where each claim originates, is stated, is tested, and stands.</w:t>
      </w:r>
    </w:p>
    <w:tbl>
      <w:tblPr>
        <w:tblStyle w:val="TableGrid"/>
        <w:tblW w:type="dxa" w:w="8505"/>
        <w:tblLayout w:type="fixed"/>
        <w:tblLook w:firstColumn="1" w:firstRow="1" w:lastColumn="0" w:lastRow="0" w:noHBand="0" w:noVBand="1" w:val="04A0"/>
      </w:tblPr>
      <w:tblGrid>
        <w:gridCol w:w="2460"/>
        <w:gridCol w:w="1681"/>
        <w:gridCol w:w="978"/>
        <w:gridCol w:w="1387"/>
        <w:gridCol w:w="1999"/>
      </w:tblGrid>
      <w:tr>
        <w:trPr>
          <w:tblHeader/>
          <w:cantSplit/>
        </w:trPr>
        <w:tc>
          <w:tcPr>
            <w:tcW w:type="dxa" w:w="2460"/>
          </w:tcPr>
          <w:p>
            <w:pPr>
              <w:pStyle w:val="Normal"/>
              <w:keepNext w:val="0"/>
              <w:keepLines/>
            </w:pPr>
            <w:r>
              <w:rPr>
                <w:b/>
                <w:sz w:val="18"/>
                <w:szCs w:val="28"/>
                <w:lang w:val="en-US" w:eastAsia="en-US" w:bidi="ar-SA"/>
                <w:rFonts w:ascii="Times New Roman" w:hAnsi="Times New Roman" w:eastAsia="Times New Roman" w:cs="Times New Roman"/>
              </w:rPr>
              <w:t>Claim</w:t>
            </w:r>
          </w:p>
        </w:tc>
        <w:tc>
          <w:tcPr>
            <w:tcW w:type="dxa" w:w="1681"/>
          </w:tcPr>
          <w:p>
            <w:pPr>
              <w:pStyle w:val="Normal"/>
              <w:keepNext w:val="0"/>
              <w:keepLines/>
            </w:pPr>
            <w:r>
              <w:rPr>
                <w:b/>
                <w:sz w:val="18"/>
                <w:szCs w:val="28"/>
                <w:lang w:val="en-US" w:eastAsia="en-US" w:bidi="ar-SA"/>
                <w:rFonts w:ascii="Times New Roman" w:hAnsi="Times New Roman" w:eastAsia="Times New Roman" w:cs="Times New Roman"/>
              </w:rPr>
              <w:t>Origin</w:t>
            </w:r>
          </w:p>
        </w:tc>
        <w:tc>
          <w:tcPr>
            <w:tcW w:type="dxa" w:w="978"/>
          </w:tcPr>
          <w:p>
            <w:pPr>
              <w:pStyle w:val="Normal"/>
              <w:keepNext w:val="0"/>
              <w:keepLines/>
            </w:pPr>
            <w:r>
              <w:rPr>
                <w:b/>
                <w:sz w:val="18"/>
                <w:szCs w:val="28"/>
                <w:lang w:val="en-US" w:eastAsia="en-US" w:bidi="ar-SA"/>
                <w:rFonts w:ascii="Times New Roman" w:hAnsi="Times New Roman" w:eastAsia="Times New Roman" w:cs="Times New Roman"/>
              </w:rPr>
              <w:t>Stated</w:t>
            </w:r>
          </w:p>
        </w:tc>
        <w:tc>
          <w:tcPr>
            <w:tcW w:type="dxa" w:w="1387"/>
          </w:tcPr>
          <w:p>
            <w:pPr>
              <w:pStyle w:val="Normal"/>
              <w:keepNext w:val="0"/>
              <w:keepLines/>
            </w:pPr>
            <w:r>
              <w:rPr>
                <w:b/>
                <w:sz w:val="18"/>
                <w:szCs w:val="28"/>
                <w:lang w:val="en-US" w:eastAsia="en-US" w:bidi="ar-SA"/>
                <w:rFonts w:ascii="Times New Roman" w:hAnsi="Times New Roman" w:eastAsia="Times New Roman" w:cs="Times New Roman"/>
              </w:rPr>
              <w:t>Tested / examined</w:t>
            </w:r>
          </w:p>
        </w:tc>
        <w:tc>
          <w:tcPr>
            <w:tcW w:type="dxa" w:w="1999"/>
          </w:tcPr>
          <w:p>
            <w:pPr>
              <w:pStyle w:val="Normal"/>
              <w:keepNext w:val="0"/>
              <w:keepLines/>
            </w:pPr>
            <w:r>
              <w:rPr>
                <w:b/>
                <w:sz w:val="18"/>
                <w:szCs w:val="28"/>
                <w:lang w:val="en-US" w:eastAsia="en-US" w:bidi="ar-SA"/>
                <w:rFonts w:ascii="Times New Roman" w:hAnsi="Times New Roman" w:eastAsia="Times New Roman" w:cs="Times New Roman"/>
              </w:rPr>
              <w:t>Status in this thesis</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H0 — original expectation that a gamified FRA designed around acceptance and gamification principles would support continued engagement</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Literature-informed design expectation; wording formalised during analysis and writing</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§2.3.5; §5.1</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1 motivates the problem (Ch 4); Stage 2 examines engagement in deployment (Ch 5)</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Original expectation not supported in this deployment; no prespecified statistical null or theory-wide rejection</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H1, H2 and H4 — working propositions on early disengagement, re-engagement and the recorded-score–engagement discrepancy</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Stage-1 observations; formal wording fixed during thesis preparation</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§5.1</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2 (Ch 5)</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Engagement, return and score-change co-occurrences described in a small single-site sample; mechanisms remain untested</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H5 and the Stage-3 predictions — decoupling is associated with lower non-return and post-failure return</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Stage-2 findings (mental-accounting row of Table 2.1)</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§5.1; §6.2</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3 (Ch 6)</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Observed direction consistent with a frame-sensitive account; causal attribution not isolated</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Adaptive-learning proposition — calibrated challenge and truthful progress feedback as a proposed support for continued participation and improvement</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Design hypothesis developed from the field observations, difference between continued play and stated intention and relevant theory</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§6.8; Chapter 7</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Not tested in this thesis. A component study (Stage 3B) was pre-specified (repository-dated) to examine its adaptation and failure-presentation components; its achieved record is documented to the 30 September 2026 cut-off (§8.8) and is not used as a test of the proposition, because the learning measurement was not articulated to the adaptive-learning construct</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Proposed engineering contribution; component effects, credible progress and clinical reattachment require distinct evaluation</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H0-age — equal initial-dropout proportions across age groups within the decoupled implementation</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Three-band Stage-3 design; exploratory analysis after age-stratified tabulation</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§3.2; §6.2</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3 (Ch 6): age-stratified engagement</w:t>
            </w:r>
          </w:p>
        </w:tc>
        <w:tc>
          <w:tcPr>
            <w:tcW w:type="dxa" w:w="1999"/>
          </w:tcPr>
          <w:p>
            <w:pPr>
              <w:pStyle w:val="Normal"/>
              <w:spacing w:line="252" w:lineRule="auto"/>
            </w:pPr>
            <w:r>
              <w:rPr>
                <w:szCs w:val="26"/>
                <w:lang w:val="en-US" w:eastAsia="en-US" w:bidi="ar-SA"/>
                <w:rFonts w:ascii="Times New Roman" w:hAnsi="Times New Roman" w:eastAsia="Times New Roman" w:cs="Times New Roman"/>
                <w:sz w:val="19"/>
                <w:b w:val="0"/>
              </w:rPr>
              <w:t>Exploratory evidence against equal initial-dropout proportions across age bands; age-stratified results reported in §6.5; no age-by-framing effect estimated</w:t>
            </w:r>
          </w:p>
        </w:tc>
      </w:tr>
    </w:tbl>
    <w:p>
      <w:pPr>
        <w:pStyle w:val="Heading2"/>
      </w:pPr>
      <w:bookmarkStart w:id="49" w:name="_Toc232024549"/>
      <w:r>
        <w:rPr>
          <w:lang w:val="en-US" w:eastAsia="en-US" w:bidi="ar-SA"/>
          <w:color w:val="000000"/>
          <w:szCs w:val="22"/>
        </w:rPr>
        <w:t>3.3 Methodology Overview Infographic</w:t>
      </w:r>
      <w:bookmarkEnd w:id="49"/>
    </w:p>
    <w:p>
      <w:pPr>
        <w:pStyle w:val="Normal"/>
        <w:jc w:val="both"/>
      </w:pPr>
      <w:r>
        <w:rPr>
          <w:szCs w:val="26"/>
          <w:lang w:val="en-US" w:eastAsia="en-US" w:bidi="ar-SA"/>
          <w:rFonts w:ascii="Times New Roman" w:hAnsi="Times New Roman" w:eastAsia="Times New Roman" w:cs="Times New Roman"/>
          <w:sz w:val="24"/>
        </w:rPr>
        <w:t>Figure 3.1 summarises the empirical stages and the revisions they motivated. It is an action-research logic model rather than a single causal experiment. In the architecture of Table 3.1, Stage 1 establishes the retrospective field signal; Stage 2 examines the original design expectation in deployment and generates candidate explanations; Stage 3 provides a non-equivalent-cohort decoupling comparison; and Chapter 7 formalises the proposed adaptive-learning response for prospective evaluation. Each transition changes what the next iteration needs to investigate, without treating a design revision as proof of improved outcomes.</w:t>
      </w:r>
    </w:p>
    <w:p>
      <w:pPr>
        <w:pStyle w:val="Normal"/>
        <w:keepNext/>
        <w:spacing w:before="160" w:after="40"/>
        <w:jc w:val="center"/>
      </w:pPr>
      <w:r>
        <w:drawing>
          <wp:inline>
            <wp:extent cx="5358384" cy="3123988"/>
            <wp:docPr id="34" name="Picture 34" descr="Figure 3.1. Three-stage action-research logic model: Stage 1 supplies the retrospective field signal, Stage 2 examines the original design expectation in deployment, and Stage 3 provides a non-equivalent-cohort decoupling comparison."/>
            <wp:cNvGraphicFramePr>
              <a:graphicFrameLocks noChangeAspect="1"/>
            </wp:cNvGraphicFramePr>
            <a:graphic>
              <a:graphicData uri="http://schemas.openxmlformats.org/drawingml/2006/picture">
                <pic:pic>
                  <pic:nvPicPr>
                    <pic:cNvPr id="0" name="figure_P0435.png"/>
                    <pic:cNvPicPr/>
                  </pic:nvPicPr>
                  <pic:blipFill>
                    <a:blip r:embed="rId43"/>
                    <a:stretch>
                      <a:fillRect/>
                    </a:stretch>
                  </pic:blipFill>
                  <pic:spPr>
                    <a:xfrm>
                      <a:off x="0" y="0"/>
                      <a:ext cx="5358384" cy="3123988"/>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rPr>
        <w:t>Figure 3.1. Three-stage action-research logic model: Stage 1 supplies the retrospective field signal, Stage 2 examines the original design expectation in deployment, and Stage 3 provides a non-equivalent-cohort decoupling comparison. The stages inform the adaptive-learning framework of Chapter 7 and the prospective studies of §8.8; they do not constitute a single causal test.</w:t>
      </w:r>
    </w:p>
    <w:p>
      <w:pPr>
        <w:pStyle w:val="FigureCaption"/>
        <w:keepNext/>
        <w:keepLines/>
        <w:jc w:val="center"/>
      </w:pPr>
      <w:r>
        <w:t>Table 3.1A. Programme timeline: programme activities in programme order, 2023 – October 2026, with the chapter that reports each; the Stage-3B row is stated at the 30 September 2026 cut-off of that record. The research programme closes in October 2026.</w:t>
      </w:r>
    </w:p>
    <w:tbl>
      <w:tblPr>
        <w:tblStyle w:val="TableGrid"/>
        <w:tblW w:type="dxa" w:w="8505"/>
        <w:tblLayout w:type="fixed"/>
        <w:tblLook w:firstColumn="1" w:firstRow="1" w:lastColumn="0" w:lastRow="0" w:noHBand="0" w:noVBand="1" w:val="04A0"/>
      </w:tblPr>
      <w:tblGrid>
        <w:gridCol w:w="3927"/>
        <w:gridCol w:w="2584"/>
        <w:gridCol w:w="1994"/>
      </w:tblGrid>
      <w:tr>
        <w:trPr>
          <w:tblHeader/>
          <w:cantSplit/>
        </w:trPr>
        <w:tc>
          <w:tcPr>
            <w:tcW w:type="dxa" w:w="3927"/>
          </w:tcPr>
          <w:p>
            <w:pPr>
              <w:keepNext w:val="0"/>
              <w:keepLines/>
            </w:pPr>
            <w:r>
              <w:rPr>
                <w:rFonts w:ascii="Times New Roman" w:hAnsi="Times New Roman"/>
                <w:b/>
                <w:sz w:val="18"/>
              </w:rPr>
              <w:t>Activity</w:t>
            </w:r>
          </w:p>
        </w:tc>
        <w:tc>
          <w:tcPr>
            <w:tcW w:type="dxa" w:w="2584"/>
          </w:tcPr>
          <w:p>
            <w:pPr>
              <w:keepNext w:val="0"/>
              <w:keepLines/>
            </w:pPr>
            <w:r>
              <w:rPr>
                <w:rFonts w:ascii="Times New Roman" w:hAnsi="Times New Roman"/>
                <w:b/>
                <w:sz w:val="18"/>
              </w:rPr>
              <w:t>Period</w:t>
            </w:r>
          </w:p>
        </w:tc>
        <w:tc>
          <w:tcPr>
            <w:tcW w:type="dxa" w:w="1994"/>
          </w:tcPr>
          <w:p>
            <w:pPr>
              <w:keepNext w:val="0"/>
              <w:keepLines/>
            </w:pPr>
            <w:r>
              <w:rPr>
                <w:rFonts w:ascii="Times New Roman" w:hAnsi="Times New Roman"/>
                <w:b/>
                <w:sz w:val="18"/>
              </w:rPr>
              <w:t>Reported in</w:t>
            </w:r>
          </w:p>
        </w:tc>
      </w:tr>
      <w:tr>
        <w:trPr>
          <w:cantSplit/>
        </w:trPr>
        <w:tc>
          <w:tcPr>
            <w:tcW w:type="dxa" w:w="3927"/>
          </w:tcPr>
          <w:p>
            <w:r>
              <w:t>Site observation and the FIDS conjecture</w:t>
            </w:r>
          </w:p>
        </w:tc>
        <w:tc>
          <w:tcPr>
            <w:tcW w:type="dxa" w:w="2584"/>
          </w:tcPr>
          <w:p>
            <w:r>
              <w:t>2023</w:t>
            </w:r>
          </w:p>
        </w:tc>
        <w:tc>
          <w:tcPr>
            <w:tcW w:type="dxa" w:w="1994"/>
          </w:tcPr>
          <w:p>
            <w:r>
              <w:t>Chapter 1</w:t>
            </w:r>
          </w:p>
        </w:tc>
      </w:tr>
      <w:tr>
        <w:trPr>
          <w:cantSplit/>
        </w:trPr>
        <w:tc>
          <w:tcPr>
            <w:tcW w:type="dxa" w:w="3927"/>
          </w:tcPr>
          <w:p>
            <w:r>
              <w:t>Stage 1 — retrospective survey (N=200 of 280)</w:t>
            </w:r>
          </w:p>
        </w:tc>
        <w:tc>
          <w:tcPr>
            <w:tcW w:type="dxa" w:w="2584"/>
          </w:tcPr>
          <w:p>
            <w:r>
              <w:t>July–August 2024</w:t>
            </w:r>
          </w:p>
        </w:tc>
        <w:tc>
          <w:tcPr>
            <w:tcW w:type="dxa" w:w="1994"/>
          </w:tcPr>
          <w:p>
            <w:r>
              <w:t>Chapter 4</w:t>
            </w:r>
          </w:p>
        </w:tc>
      </w:tr>
      <w:tr>
        <w:trPr>
          <w:cantSplit/>
        </w:trPr>
        <w:tc>
          <w:tcPr>
            <w:tcW w:type="dxa" w:w="3927"/>
          </w:tcPr>
          <w:p>
            <w:r>
              <w:t>Game design and platform-coupling demonstration</w:t>
            </w:r>
          </w:p>
        </w:tc>
        <w:tc>
          <w:tcPr>
            <w:tcW w:type="dxa" w:w="2584"/>
          </w:tcPr>
          <w:p>
            <w:r>
              <w:t>2023–2024</w:t>
            </w:r>
          </w:p>
        </w:tc>
        <w:tc>
          <w:tcPr>
            <w:tcW w:type="dxa" w:w="1994"/>
          </w:tcPr>
          <w:p>
            <w:r>
              <w:t>Chapter 5 (§5.3.9), Appendix G, item G.10</w:t>
            </w:r>
          </w:p>
        </w:tc>
      </w:tr>
      <w:tr>
        <w:trPr>
          <w:cantSplit/>
        </w:trPr>
        <w:tc>
          <w:tcPr>
            <w:tcW w:type="dxa" w:w="3927"/>
          </w:tcPr>
          <w:p>
            <w:r>
              <w:t>Stage 2 — eight-week facility deployment (N=30)</w:t>
            </w:r>
          </w:p>
        </w:tc>
        <w:tc>
          <w:tcPr>
            <w:tcW w:type="dxa" w:w="2584"/>
          </w:tcPr>
          <w:p>
            <w:r>
              <w:rPr/>
              <w:t>June–August 2025 (eight weeks)</w:t>
            </w:r>
          </w:p>
        </w:tc>
        <w:tc>
          <w:tcPr>
            <w:tcW w:type="dxa" w:w="1994"/>
          </w:tcPr>
          <w:p>
            <w:r>
              <w:t>Chapter 5</w:t>
            </w:r>
          </w:p>
        </w:tc>
      </w:tr>
      <w:tr>
        <w:trPr>
          <w:cantSplit/>
        </w:trPr>
        <w:tc>
          <w:tcPr>
            <w:tcW w:type="dxa" w:w="3927"/>
          </w:tcPr>
          <w:p>
            <w:r>
              <w:t>Stage 3 — remote decoupled deployment (register N=120)</w:t>
            </w:r>
          </w:p>
        </w:tc>
        <w:tc>
          <w:tcPr>
            <w:tcW w:type="dxa" w:w="2584"/>
          </w:tcPr>
          <w:p>
            <w:r>
              <w:t>April–July 2026 (recruitment from 3 April; main play from late July; two builds in circulation, build per participant not recorded (§6.4); returns compiled in July)</w:t>
            </w:r>
          </w:p>
        </w:tc>
        <w:tc>
          <w:tcPr>
            <w:tcW w:type="dxa" w:w="1994"/>
          </w:tcPr>
          <w:p>
            <w:r>
              <w:t>Chapter 6</w:t>
            </w:r>
          </w:p>
        </w:tc>
      </w:tr>
      <w:tr>
        <w:trPr>
          <w:cantSplit/>
        </w:trPr>
        <w:tc>
          <w:tcPr>
            <w:tcW w:type="dxa" w:w="3927"/>
          </w:tcPr>
          <w:p>
            <w:r>
              <w:t>Expert consultation panel (four consultations + follow-ups)</w:t>
            </w:r>
          </w:p>
        </w:tc>
        <w:tc>
          <w:tcPr>
            <w:tcW w:type="dxa" w:w="2584"/>
          </w:tcPr>
          <w:p>
            <w:r>
              <w:t>March–September 2026</w:t>
            </w:r>
          </w:p>
        </w:tc>
        <w:tc>
          <w:tcPr>
            <w:tcW w:type="dxa" w:w="1994"/>
          </w:tcPr>
          <w:p>
            <w:r>
              <w:t>§6.12, Appendix H</w:t>
            </w:r>
          </w:p>
        </w:tc>
      </w:tr>
      <w:tr>
        <w:trPr>
          <w:cantSplit/>
        </w:trPr>
        <w:tc>
          <w:tcPr>
            <w:tcW w:type="dxa" w:w="3927"/>
          </w:tcPr>
          <w:p>
            <w:r>
              <w:t>Ethics approval HSEARS20260805008</w:t>
            </w:r>
          </w:p>
        </w:tc>
        <w:tc>
          <w:tcPr>
            <w:tcW w:type="dxa" w:w="2584"/>
          </w:tcPr>
          <w:p>
            <w:r>
              <w:t>6 August 2026 (approval period 16 Jun 2024 – 30 Oct 2026)</w:t>
            </w:r>
          </w:p>
        </w:tc>
        <w:tc>
          <w:tcPr>
            <w:tcW w:type="dxa" w:w="1994"/>
          </w:tcPr>
          <w:p>
            <w:r>
              <w:t>§3.4</w:t>
            </w:r>
          </w:p>
        </w:tc>
      </w:tr>
      <w:tr>
        <w:trPr>
          <w:cantSplit/>
        </w:trPr>
        <w:tc>
          <w:tcPr>
            <w:tcW w:type="dxa" w:w="3927"/>
          </w:tcPr>
          <w:p>
            <w:r>
              <w:t>Stage 3B — pre-specified (repository-dated) 2×2 component study; documented as an achieved record to the 30 September 2026 cut-off; no results form part of the thesis evidence and the study is not used as the adaptive-learning test</w:t>
            </w:r>
          </w:p>
        </w:tc>
        <w:tc>
          <w:tcPr>
            <w:tcW w:type="dxa" w:w="2584"/>
          </w:tcPr>
          <w:p>
            <w:r>
              <w:rPr/>
              <w:t>August–September 2026, record closed 30 September 2026 (9-August build distributed 10–12 August; 13-August revision not distributed to the August cohort, a copy re-sent 15 September; frozen study edition 15 September; clean-run window to 15 October 2026; record closed 30 September 2026)</w:t>
            </w:r>
          </w:p>
        </w:tc>
        <w:tc>
          <w:tcPr>
            <w:tcW w:type="dxa" w:w="1994"/>
          </w:tcPr>
          <w:p>
            <w:r>
              <w:t>§8.8; Appendix I</w:t>
            </w:r>
          </w:p>
        </w:tc>
      </w:tr>
      <w:tr>
        <w:trPr>
          <w:cantSplit/>
        </w:trPr>
        <w:tc>
          <w:tcPr>
            <w:tcW w:type="dxa" w:w="3927"/>
          </w:tcPr>
          <w:p>
            <w:r>
              <w:t>Programme close and thesis completion</w:t>
            </w:r>
          </w:p>
        </w:tc>
        <w:tc>
          <w:tcPr>
            <w:tcW w:type="dxa" w:w="2584"/>
          </w:tcPr>
          <w:p>
            <w:r>
              <w:t>October 2026</w:t>
            </w:r>
          </w:p>
        </w:tc>
        <w:tc>
          <w:tcPr>
            <w:tcW w:type="dxa" w:w="1994"/>
          </w:tcPr>
          <w:p>
            <w:r>
              <w:t>Chapter 9</w:t>
            </w:r>
          </w:p>
        </w:tc>
      </w:tr>
    </w:tbl>
    <w:p>
      <w:pPr>
        <w:pStyle w:val="Heading2"/>
      </w:pPr>
      <w:bookmarkStart w:id="50" w:name="_Toc232024550"/>
      <w:r>
        <w:rPr>
          <w:lang w:val="en-US" w:eastAsia="en-US" w:bidi="ar-SA"/>
          <w:color w:val="000000"/>
          <w:szCs w:val="22"/>
        </w:rPr>
        <w:t>3.4 Ethics, Consent, Data Governance</w:t>
      </w:r>
      <w:bookmarkEnd w:id="50"/>
    </w:p>
    <w:p>
      <w:pPr>
        <w:pStyle w:val="Normal"/>
        <w:jc w:val="both"/>
      </w:pPr>
      <w:r>
        <w:rPr>
          <w:i w:val="0"/>
          <w:szCs w:val="26"/>
          <w:lang w:val="en-US" w:eastAsia="en-US" w:bidi="ar-SA"/>
          <w:rFonts w:ascii="Times New Roman" w:hAnsi="Times New Roman" w:eastAsia="Times New Roman" w:cs="Times New Roman"/>
          <w:sz w:val="24"/>
        </w:rPr>
        <w:t>Each stage is reported here against the ethics policy of The Hong Kong Polytechnic University and the Declaration of Helsinki; the institutional record that applies to the procedures as conducted is stated below rather than summarised as a compliance claim. The Guangzhou stages (Stages 1 and 2) were conducted with reference to the Personal Information Protection Law (PIPL; Standing Committee of the National People's Congress, 2021): all data were pseudonymised at collection, and no participant identifiers were transmitted to third-party AI services. The PIPL is Mainland legislation and is not the governing statute for the Hong Kong Stage-3 and Stage-3B deployments, in which no participant names or e-mail addresses were recorded as data. Stage 3 did not collect participant-level clinical balance telemetry as part of the decoupling protocol. No adverse events were reported during any stage. The programme's application for human subjects ethics review was approved (application reference HSEARS20260805008; Principal Investigator: Prof. Chi Fai Cheung, Department of Industrial and Systems Engineering; approved 6 August 2026 by the Departmental Research Committee of the Department of Industrial and Systems Engineering on behalf of the PolyU Institutional Review Board, for the approval period 16 June 2024 to 30 October 2026; the approval memo is archived in the ethics record). The approval period spans the dates of the Stage-3B component study conducted from August 2026 and documented to the 30 September 2026 cut-off (§8.8; Appendix I); whether the Stage-3B collection falls within the approved scope requires a determination against the approved protocol or an amendment, and until that determination is on file it is recorded as an open item of the ethics record (Appendix I.7). By the author's account of the application as submitted (held by the author; the repository holds only pre-submission drafts of 5 August 2026, which are not quoted here as the submitted application), it described the procedures of all three stages and the expert consultations as conducted, in a two-part structure that asked the Committee to review and characterise the procedures already conducted. The approval memo and the approval correspondence are archived in the programme's ethics record; the application as submitted is held by the author. The approval memo itself is a one-page project-level approval for the stated period; it does not itemise determinations on the individual consent arrangements described in the application, and an explicit itemised institutional determination on those arrangements is not part of the record at 30 September 2026; on 3 October 2026 the Principal Investigator advised the author that no further request to the Committee was needed (author's report of the same date); no itemised determination is therefore sought, no written determination is on file, and the record stands as stated here. Chapter 8 (§8.7) addresses vulnerability, disclosure, autonomy and the ethical boundary between participant-facing reframing and deception. The expert consultation reported at §6.8A was conducted with a professional in her professional capacity; she is named with her consent, and the written confirmation is held with the consultation record (Appendix H).</w:t>
      </w:r>
      <w:r>
        <w:rPr/>
      </w:r>
      <w:r>
        <w:t xml:space="preserve"> The chronology is stated plainly: the application was submitted on 6 August 2026, after the field stages had been conducted, and the approval was granted retrospectively for a project period (16 June 2024 to 30 October 2026) that spans the Stage 1–3 procedures described in the application and in this section; whether the approval covers those procedures and their consent arrangements as conducted, and whether it extends to the Stage-3B collection, are determinations for the Committee that are not part of the record at 30 September 2026 (Appendix I.7).</w:t>
      </w:r>
    </w:p>
    <w:p>
      <w:pPr>
        <w:jc w:val="both"/>
      </w:pPr>
      <w:r>
        <w:t>Consent in Stage 1 operated as described in the application: a voluntary, anonymous survey with verbal agreement at face-to-face administration by nursing staff; no written instrument was used and no identifiers were collected. Consent in Stage 2 is likewise stated exactly as it operated. The deployment was arranged with, and known to, the facility's operators, nursing team and general manager (gatekeeper consent, recorded at research start), and residents were invited by the facility to try the gamified system as a facility activity, voluntarily and free of charge. Participants were not told during the deployment that play formed part of a research project: the programme's subject matter is assessment fear, and announcing a fall-risk study would have re-imposed the clinical assessment frame whose behavioural effect was under study, so incomplete disclosure was integral to the design rather than incidental to it. Written consent was obtained retrospectively from the sustained participants at the close of the eight-week cycle, at the small recognition presentation for those who completed it; participants who had dropped out did not sign and were not interviewed. These arrangements - the incomplete disclosure and its rationale, the gatekeeper consent, and the retrospective timing of the written instruments - were stated in these terms in the approved ethics application, and their limitations are examined in §8.7.</w:t>
      </w:r>
    </w:p>
    <w:p>
      <w:pPr>
        <w:jc w:val="both"/>
      </w:pPr>
      <w:r>
        <w:t xml:space="preserve">The provenance of the low-engagement participants' self-report data is stated precisely, because those participants did not sign research consent and were not interviewed by the researcher. All thirty participants were residents of the facility who knew the FRA as part of the house's provision; they joined the gamified sessions at the centre manager's invitation, facilitated by therapists they knew well. The invitation had been extended by the facility to the 200 residents who had taken part in the Stage-1 screening survey; thirty joined. Throughout the eight weeks the therapists spoke with players in the course of ordinary facility practice and reported their observations - including perceived symptom change - to the researcher, who visited or telephoned the facility on a near-daily basis and recorded those reports in field notes. The therapists kept no written per-participant records; the individual attribution of the symptom entries in the Stage-2 dataset was therefore performed by the researcher when compiling the field notes (register-style and form-style illustrations of this data structure, produced in 2026 while organising the archive, are not records and are listed as such in Appendix G, item G.16). Separately, whereas the satisfaction entries derive from the after-game paper questionnaire completed by players (column provenance of the Stage-2 ID register, below). </w:t>
      </w:r>
      <w:r>
        <w:rPr/>
        <w:t>The reconciliation with Appendix C's after-game questionnaire is documented by the deployment logbook's own column provenance (Stage-2 ID register, received 11 September 2026): the satisfaction ratings were collected by the after-game paper questionnaire completed by players, while the presenting symptoms and the symptom-improvement entries are therapist observations relayed to and compiled by the researcher. The satisfaction variable is therefore participant-reported and the symptom variables therapist-observed; the two earlier accounts were each accurate for its own variable.</w:t>
      </w:r>
      <w:r>
        <w:t xml:space="preserve"> The symptom variables are accordingly therapist-mediated, researcher-compiled observational data, gathered under the facility's routine care relationship and the gatekeeper arrangement described above - not responses to a self-administered research instrument; the satisfaction variable is a participant-completed paper-questionnaire response whose completed sheets are not held in the thesis archive and whose administered form and response anchors are therefore not on file (Appendix C) - and §5.5 carries the corresponding measurement cautions.</w:t>
      </w:r>
    </w:p>
    <w:p>
      <w:pPr>
        <w:jc w:val="both"/>
      </w:pPr>
      <w:r>
        <w:t>Consent in the Stage-3 remote deployment operated by informed, implied consent, and the thesis states the procedure exactly as it was. The distribution e-mails and the participant invitation, as recorded in the author's account (the invitation on file is a 4 August 2026 reconstruction), explained the purpose of the game and of the accompanying questionnaire and the use that would be made of replies; participation was voluntary and unpaid, and recipients could decline by simply not taking part; returning the game results and the questionnaire responses constituted consent to their use in the research. No written consent instrument was administered in Stage 3, and this is acknowledged as a limitation of the remote design. No participant names or e-mail addresses were recorded as data. The returned results and questionnaire responses were compiled into the aggregate summary in July 2026 and were not retained as separate participant records, so the returns that constituted consent are evidenced by the aggregate record and the distributor invitations on file (Appendix G, item G.5), not by individual returned files; this is a further limitation of the consent record. Acceptance of implied consent on this documentation is a matter for the Committee; no determination was on file at 30 September 2026.</w:t>
      </w:r>
    </w:p>
    <w:p>
      <w:pPr>
        <w:jc w:val="both"/>
      </w:pPr>
      <w:r>
        <w:t>Consent in the Stage-3B component study was recorded in-build: the protocol specifies a consent screen stating the research purpose, voluntariness, anonymity and data use and requiring an explicit tap or click before play, with the consent event written into each participant's export; the returns on record, and their admission or exclusion, are documented to the 30 September 2026 cut-off in §8.8 and Appendix I. The Chief Supervisor's sign-off of the Stage-3B protocol is not recorded as closed; its status, and what remains an author record, are stated in Appendix I.7. The separate Stage-3B Pro v4.1 researcher self-test batch (Appendix I.5) was played, by the author's account of 30 September 2026, by volunteers and their families or friends on a build whose participant release was disabled; its exports are archived as a development record, not as participant data (item G.13), and that use is recorded within the open ethics-scope item stated above (Appendix I.7).</w:t>
      </w:r>
    </w:p>
    <w:p>
      <w:pPr>
        <w:pStyle w:val="Heading2"/>
      </w:pPr>
      <w:bookmarkStart w:id="51" w:name="_Toc232024551"/>
      <w:r>
        <w:rPr>
          <w:lang w:val="en-US" w:eastAsia="en-US" w:bidi="ar-SA"/>
          <w:color w:val="000000"/>
          <w:szCs w:val="22"/>
        </w:rPr>
        <w:t>3.5 Methodological Limits and Mitigations</w:t>
      </w:r>
      <w:bookmarkEnd w:id="51"/>
    </w:p>
    <w:p>
      <w:pPr>
        <w:pStyle w:val="Normal"/>
        <w:jc w:val="both"/>
      </w:pPr>
      <w:r>
        <w:rPr>
          <w:szCs w:val="26"/>
          <w:lang w:val="en-US" w:eastAsia="en-US" w:bidi="ar-SA"/>
          <w:rFonts w:ascii="Times New Roman" w:hAnsi="Times New Roman" w:eastAsia="Times New Roman" w:cs="Times New Roman"/>
          <w:sz w:val="24"/>
        </w:rPr>
        <w:t>The programme uses a between-cycle, between-cohort comparison across Stages 2 and 3. A within-subject crossover was not selected because prior exposure and failure memory could produce carry-over and order effects, and because repeating a clinically framed task after an adverse experience could create ethical and interpretive complications. These are legitimate design considerations, but they do not make a between-cohort comparison methodologically equivalent to randomisation. The chosen design leaves unmeasured cohort, setting, recruitment and observation-window differences as alternative explanations.</w:t>
      </w:r>
    </w:p>
    <w:p>
      <w:pPr>
        <w:pStyle w:val="Normal"/>
        <w:jc w:val="both"/>
      </w:pPr>
      <w:r>
        <w:rPr>
          <w:szCs w:val="26"/>
          <w:lang w:val="en-US" w:eastAsia="en-US" w:bidi="ar-SA"/>
          <w:rFonts w:ascii="Times New Roman" w:hAnsi="Times New Roman" w:eastAsia="Times New Roman" w:cs="Times New Roman"/>
          <w:sz w:val="24"/>
        </w:rPr>
        <w:t>Mitigation is therefore based on transparency, comparison with the closest available age band, explicit alternative explanations, confidence intervals and an explicitly specified next study (§8.8) rather than on claiming that theoretical convergence substitutes for causal control. The three stages provide convergent evidence: Stage 1 identifies a retrospective problem signature; Stage 2 documents observed early disengagement and the score-improvement/non-return pattern (per-participant first-experience adversity was not recorded, so the hypothesised first-failure–dropout association, H1, is carried as a design-stage expectation rather than a tested claim; §5.5); Stage 3's post-failure return results are reported in Chapter 6 and read against the Stage-2 pattern there in a separate cohort. Mental accounting, identity-level endowment and stereotype threat remain inferred candidate mechanisms. A within-cohort randomised coupled-versus-decoupled study with harmonised measures and observation windows would test the causal effect of that specified intervention contrast; direct appraisal measures would also be needed to evaluate the proposed psychological pathways.</w:t>
      </w:r>
    </w:p>
    <w:p>
      <w:pPr>
        <w:pStyle w:val="Normal"/>
        <w:jc w:val="both"/>
      </w:pPr>
      <w:r>
        <w:rPr>
          <w:i w:val="0"/>
          <w:szCs w:val="26"/>
          <w:lang w:val="en-US" w:eastAsia="en-US" w:bidi="ar-SA"/>
          <w:rFonts w:ascii="Times New Roman" w:hAnsi="Times New Roman" w:eastAsia="Times New Roman" w:cs="Times New Roman"/>
          <w:sz w:val="24"/>
        </w:rPr>
        <w:t>The hypothesis architecture of Table 3.1 separates original design expectations, exploratory findings and prospective tests. H0 expresses the expectation that governed the Stage-2 design, but the absence of a prespecified numerical benchmark or a contemporaneous counterfactual prevents it from functioning as a conventional statistical null for improved acceptance. The directional propositions developed through the action-research cycles. Adaptive learning was proposed after considering the Stage-3 difference between continued play and stated intention alongside the earlier field observations and relevant theory. It is a candidate engineering response, whose comparative effectiveness and mechanisms require the prospective evaluation proposed in §8.8; the Stage-3B component study recorded there is not used as that evaluation.</w:t>
      </w:r>
    </w:p>
    <w:p>
      <w:pPr>
        <w:pStyle w:val="Normal"/>
        <w:jc w:val="both"/>
      </w:pPr>
      <w:r>
        <w:rPr>
          <w:szCs w:val="26"/>
          <w:lang w:val="en-US" w:eastAsia="en-US" w:bidi="ar-SA"/>
          <w:rFonts w:ascii="Times New Roman" w:hAnsi="Times New Roman" w:eastAsia="Times New Roman" w:cs="Times New Roman"/>
          <w:sz w:val="24"/>
        </w:rPr>
        <w:t>The chronological provenance of each hypothesis is recorded explicitly, so that prospective tests and action-research discoveries cannot be conflated. H0 is a retrospectively formalised design expectation: the expectation it expresses governed the Stage-2 design ex ante — the build criteria of §5.2 document this — but its formal wording was written during analysis and writing and was not deposited in advance. H1, H2 and H4 originate in the Stage-1 survey and site observations and were held as working hypotheses before the Stage-2 deployment; their wording as printed in §5.1 was likewise fixed at writing. H5 and the Stage-3 predictions of §6.2 were formulated after the Stage-2 analysis and before Stage-3 recruitment, and are the closest the programme comes to stated-in-advance predictions. H0-age was licensed by the Stage-3 cohort design — three age bands recruited as built-in comparison groups — and was examined once the age-stratified data were tabulated. The adaptive-learning proposition was formed after the Stage-3 difference between continued play and stated intention was observed and is presented as a design hypothesis. The Stage-3B component study documented in §8.8 was pre-specified (repository-dated) to examine its adaptation and failure-presentation components; after the initial round its learning measurement was found not to be articulated to the adaptive-learning construct, and it is no longer used to determine that proposition — its achieved record is reported descriptively to the 30 September 2026 cut-off. The complete framework and the causal framing account require their own evaluations. No hypothesis in the completed Stages 1–3 was publicly preregistered, and the Stage-3B component study is described as pre-specified by repository-dated records, not as preregistered (§8.8); the distinction between the original expectations and their later formalisation therefore remains explicit. Prospective tests should fix their hypotheses, outcomes and analysis decisions before the relevant data are examined.</w:t>
      </w:r>
    </w:p>
    <w:p>
      <w:pPr>
        <w:pStyle w:val="Heading2"/>
      </w:pPr>
      <w:bookmarkStart w:id="52" w:name="_Toc232024552"/>
      <w:r>
        <w:rPr>
          <w:lang w:val="en-US" w:eastAsia="en-US" w:bidi="ar-SA"/>
          <w:color w:val="000000"/>
          <w:szCs w:val="22"/>
        </w:rPr>
        <w:t>3.6 An Instrumentation Roadmap for the Adaptive-Learning Proposition</w:t>
      </w:r>
      <w:bookmarkEnd w:id="52"/>
    </w:p>
    <w:p>
      <w:pPr>
        <w:pStyle w:val="Normal"/>
        <w:jc w:val="both"/>
      </w:pPr>
      <w:r>
        <w:rPr>
          <w:szCs w:val="26"/>
          <w:lang w:val="en-US" w:eastAsia="en-US" w:bidi="ar-SA"/>
          <w:rFonts w:ascii="Times New Roman" w:hAnsi="Times New Roman" w:eastAsia="Times New Roman" w:cs="Times New Roman"/>
          <w:sz w:val="24"/>
        </w:rPr>
        <w:t>This section converts the programme's adaptive-learning proposition into a confirmable claim for future study. The adaptive-learning proposition of §6.8 and Chapter 7 rests on the hypothesis that learning-trajectory appraisal can reduce the dominance of an endowment-protective interpretation of failure. The present stages motivate this hypothesis through behavioural patterns; they do not measure the proposed mechanism or test the complete adaptive-learning framework, and the Stage-3B component study (§8.8) is not used as that test because its learning measurement was not articulated to the construct. The instrumentation roadmap therefore converts each inferred operator into a measured variable and specifies evidence that would challenge the account. It must also distinguish performance change from changes in task demand, assistance or software configuration. A more favourable score following an easier task cannot, by itself, substantiate continuous improvement. The prospective framework requires comparable reference observations, separate records of challenge and support, and explicit evaluation of each substantive design revision; Chapter 7 specifies how these records can support truthful progress feedback when difficulty or the intervention itself changes.</w:t>
      </w:r>
    </w:p>
    <w:p>
      <w:pPr>
        <w:pStyle w:val="Normal"/>
        <w:jc w:val="both"/>
      </w:pPr>
      <w:r>
        <w:rPr>
          <w:szCs w:val="26"/>
          <w:lang w:val="en-US" w:eastAsia="en-US" w:bidi="ar-SA"/>
          <w:rFonts w:ascii="Times New Roman" w:hAnsi="Times New Roman" w:eastAsia="Times New Roman" w:cs="Times New Roman"/>
          <w:sz w:val="24"/>
        </w:rPr>
        <w:t>The first move measures identity-relevant valuation directly through an adapted WTA-WTP elicitation in the tradition of experimental preference measurement (Kahneman et al., 1990; Holt &amp; Laury, 2002), or an alternative validated appraisal task, developed and piloted carefully because extending commodity-based elicitation to identity statements is non-trivial. The second move measures change in interpretation around a failure event through brief repeated appraisal items rather than assuming an entropy collapse. The third move executes a harmonised model comparison using a full STAM instrument, prospectively specified FIAS items, brief validated screeners for cognition, mood and general self-efficacy — such as the Montreal Cognitive Assessment (Nasreddine et al., 2005), the PHQ-4 (Kroenke et al., 2009) and the New General Self-Efficacy Scale (Chen, Gully &amp; Eden, 2001) — and clearly separated predictors and outcomes. This separation is essential to avoid criterion contamination, particularly if non-return or cycle count appears both in the FIAS score and as the outcome to be predicted.</w:t>
      </w:r>
    </w:p>
    <w:p>
      <w:pPr>
        <w:pStyle w:val="Normal"/>
        <w:jc w:val="both"/>
      </w:pPr>
      <w:r>
        <w:rPr>
          <w:szCs w:val="26"/>
          <w:lang w:val="en-US" w:eastAsia="en-US" w:bidi="ar-SA"/>
          <w:rFonts w:ascii="Times New Roman" w:hAnsi="Times New Roman" w:eastAsia="Times New Roman" w:cs="Times New Roman"/>
          <w:sz w:val="24"/>
        </w:rPr>
        <w:t>A fourth move instruments the immediate behavioural and affective channel. The existing apparatus yields game outcomes recorded by hand and a separately measured FRA index, but not the participant's interpretation at the moment of difficulty. A future cycle could add consented, privacy-governed measures such as reaction time, posture change, voice cues, brief experience sampling or facial-affect estimates in the tradition of affective computing (Picard, 1997; D'Mello &amp; Graesser, 2012), provided their validity and ethical proportionality are established. These signals would be time-synchronised with failure events and evaluated against pre-specified outcomes such as next-attempt behaviour and return within a common observation window. The purpose is not to infer a hidden "cognitive collapse" from one sensor, but to test whether observable reactions improve prediction and whether a safe intervention changes behaviour.</w:t>
      </w:r>
    </w:p>
    <w:p>
      <w:pPr>
        <w:pStyle w:val="Normal"/>
        <w:spacing w:after="200" w:line="276" w:lineRule="auto"/>
        <w:jc w:val="both"/>
        <w:rPr>
          <w:rFonts w:asciiTheme="majorHAnsi" w:eastAsiaTheme="majorEastAsia" w:hAnsiTheme="majorHAnsi" w:cstheme="majorBidi"/>
          <w:b/>
          <w:bCs/>
          <w:color w:val="000000"/>
          <w:sz w:val="32"/>
          <w:szCs w:val="28"/>
        </w:rPr>
      </w:pPr>
      <w:r>
        <w:rPr>
          <w:i/>
          <w:rFonts w:asciiTheme="majorHAnsi" w:eastAsiaTheme="majorEastAsia" w:hAnsiTheme="majorHAnsi" w:cstheme="majorBidi" w:ascii="Times New Roman" w:hAnsi="Times New Roman" w:eastAsia="Times New Roman" w:cs="Times New Roman"/>
          <w:color w:val="000000"/>
          <w:sz w:val="24"/>
          <w:szCs w:val="28"/>
        </w:rPr>
        <w:t>The thesis keeps three registers, and keeping them distinct is what lets each speak with full confidence: observed results are reported as observations; mental accounting, endowment and stereotype threat are the candidate explanations that make the observations intelligible; and the adaptive-learning framework and environment-grounded adaptation are the engineering responses they inspire. Nothing in the first register is diluted by the openness of the second and third — the strength of the observations is exactly why the explanations and designs are worth pursuing.</w:t>
      </w:r>
    </w:p>
    <w:p>
      <w:pPr>
        <w:pStyle w:val="Heading1"/>
        <w:pageBreakBefore/>
      </w:pPr>
      <w:r>
        <w:rPr>
          <w:lang w:val="en-US" w:eastAsia="en-US" w:bidi="ar-SA"/>
          <w:color w:val="000000"/>
          <w:szCs w:val="28"/>
        </w:rPr>
        <w:t>Chapter 4 Stage 1 — From FIDS to FIAS</w:t>
      </w:r>
    </w:p>
    <w:p>
      <w:pPr>
        <w:pStyle w:val="Normal"/>
        <w:jc w:val="both"/>
      </w:pPr>
      <w:r>
        <w:rPr>
          <w:szCs w:val="26"/>
          <w:lang w:val="en-US" w:eastAsia="en-US" w:bidi="ar-SA"/>
          <w:rFonts w:ascii="Times New Roman" w:hAnsi="Times New Roman" w:eastAsia="Times New Roman" w:cs="Times New Roman"/>
          <w:sz w:val="24"/>
        </w:rPr>
        <w:t>Based on Paper 1: Tam, S. K. T., &amp; Cheung, C. F. (2026). Investigating low utilisation of Fall Risk Assessment among elderly users: A critical review through TAM and Octalysis frameworks with gamification approach. Paper SS-293, accepted and presented at the 10th International Conference on Management Engineering, Software Engineering and Service Sciences (ICMSS 2026), Wuhan, China, 20–22 March 2026; proceedings via Conference Publishing Services (CPS), submitted to IEEE Xplore (Ei Compendex/Scopus indexing pending).</w:t>
      </w:r>
    </w:p>
    <w:p>
      <w:pPr>
        <w:pStyle w:val="Heading2"/>
      </w:pPr>
      <w:bookmarkStart w:id="53" w:name="_Toc232024554"/>
      <w:r>
        <w:rPr>
          <w:lang w:val="en-US" w:eastAsia="en-US" w:bidi="ar-SA"/>
          <w:color w:val="000000"/>
          <w:szCs w:val="22"/>
        </w:rPr>
        <w:t>4.1 Purpose</w:t>
      </w:r>
      <w:bookmarkEnd w:id="53"/>
    </w:p>
    <w:p>
      <w:pPr>
        <w:pStyle w:val="Normal"/>
        <w:jc w:val="both"/>
      </w:pPr>
      <w:r>
        <w:rPr>
          <w:szCs w:val="26"/>
          <w:lang w:val="en-US" w:eastAsia="en-US" w:bidi="ar-SA"/>
          <w:rFonts w:ascii="Times New Roman" w:hAnsi="Times New Roman" w:eastAsia="Times New Roman" w:cs="Times New Roman"/>
          <w:sz w:val="24"/>
        </w:rPr>
        <w:t>Stage 1 had three purposes, and its place in the thesis's argument is fixed by the third. The first purpose was descriptive: to characterise the utilisation and non-return problem at the Poly Group facility. The second was theoretical: to examine whether TAM, STAM and Octalysis explicitly represent the post-contact event that residents' reports suggested, and to generate a provisional construct for prospective investigation. The third follows from Chapter 2: the facility had deployed a professionally installed FRA station with free access and staff support, yet utilisation remained low. Stage 1 therefore supplies a retrospective problem signal that challenges the sufficiency of those practical provisions and motivates examination of the original design expectation (§2.3.5). It does not establish that all acceptance-related beliefs were favourable or that the acceptance models had been falsified. Stage 1 was not designed to validate FIAS or to identify a causal psychological mechanism.</w:t>
      </w:r>
    </w:p>
    <w:p>
      <w:pPr>
        <w:pStyle w:val="Heading2"/>
      </w:pPr>
      <w:bookmarkStart w:id="54" w:name="_Toc232024555"/>
      <w:r>
        <w:rPr>
          <w:lang w:val="en-US" w:eastAsia="en-US" w:bidi="ar-SA"/>
          <w:color w:val="000000"/>
          <w:szCs w:val="26"/>
        </w:rPr>
        <w:t>4.1A What is Fall Risk Assessment (FRA)? Basic System Design and Features</w:t>
      </w:r>
      <w:bookmarkEnd w:id="54"/>
    </w:p>
    <w:p>
      <w:pPr>
        <w:pStyle w:val="Normal"/>
        <w:jc w:val="both"/>
      </w:pPr>
      <w:r>
        <w:rPr>
          <w:szCs w:val="22"/>
          <w:lang w:val="en-US" w:eastAsia="en-US" w:bidi="ar-SA"/>
          <w:rFonts w:ascii="Times New Roman" w:hAnsi="Times New Roman" w:eastAsia="Times New Roman" w:cs="Times New Roman"/>
          <w:sz w:val="24"/>
        </w:rPr>
        <w:t>Fall Risk Assessment (FRA), as the term is used throughout this thesis, refers to the multilateral body-balance ability analysis system manufactured by InBody Co., Ltd. (Republic of Korea) and deployed in the Poly Group residential facility in Guangzhou. The reference instrument is the InBody FRA510S, optionally linked to an InBody bioelectrical-impedance station (BIA) and an IB-LS leg-strength dynamometer for full musculoskeletal coverage (InBody Co., Ltd., 2022). FRA is described in the manufacturer’s catalogue as a three-step pipeline whose purpose is not simply to evaluate body balance level but to analyse the performance at each step that maintains the balance, so that the factors which affect overall balance ability are individually identified. Falls are recognised in the catalogue as a phenomenon arising from the inability to maintain balance and from a combination of multiple risk factors rather than a single cause; FRA is the instrumented expression of that view.</w:t>
      </w:r>
    </w:p>
    <w:p>
      <w:pPr>
        <w:pStyle w:val="Normal"/>
        <w:jc w:val="both"/>
      </w:pPr>
      <w:r>
        <w:rPr>
          <w:szCs w:val="22"/>
          <w:lang w:val="en-US" w:eastAsia="en-US" w:bidi="ar-SA"/>
          <w:rFonts w:ascii="Times New Roman" w:hAnsi="Times New Roman" w:eastAsia="Times New Roman" w:cs="Times New Roman"/>
          <w:sz w:val="24"/>
        </w:rPr>
        <w:t>The platform lineage is European. According to the author's industry documentation, the InBody FRA line derives from the HUR SmartBalance modular balance solution (HUR Oy, Finland) — balance platform, support rail and touchscreen computer — for which, on the author's account as an industrial practitioner (not documented in the archive), InBody holds the Asian market rights; the Asia-market units used in this programme are modified versions whose software adds a game mode. The vendor brochure supporting this account is held in the study archive (Appendix G, item G.9). Device naming throughout the thesis refers to the InBody-branded instruments as deployed, with the HUR platform as their design origin.</w:t>
      </w:r>
    </w:p>
    <w:p>
      <w:pPr>
        <w:pStyle w:val="Normal"/>
        <w:jc w:val="both"/>
      </w:pPr>
      <w:r>
        <w:rPr>
          <w:szCs w:val="22"/>
          <w:lang w:val="en-US" w:eastAsia="en-US" w:bidi="ar-SA"/>
          <w:rFonts w:ascii="Times New Roman" w:hAnsi="Times New Roman" w:eastAsia="Times New Roman" w:cs="Times New Roman"/>
          <w:sz w:val="24"/>
        </w:rPr>
        <w:t>The FRA510S kiosk holds a 19-inch colour touch monitor (kiosk dimensions 580 × 630 × 1620 mm; mass 53.5 kg) and is paired with a separate footplate (832 × 925 × 875 mm; mass 42.5 kg). The footplate is the sensing surface: weight is measured on four load cells, from which the centre-of-pressure (COP) trace is reconstructed. Step 1, conducted on the FRA510S, captures membership and survey data, runs sensory- and nervous-system tests, and produces the integrated balance-capability test. Step 2, on the InBody BIA station, measures left and right leg muscle mass and quantifies left/right muscle-mass balance. Step 3, on the IB-LS dynamometer, measures left and right leg muscle strength and quantifies left/right strength balance. Three subsystems are assessed jointly: whether the sensory system properly receives information from the visual, vestibular and somatic senses; whether the nervous system delivers commands by integrating the information transmitted; and whether the musculoskeletal system operates muscles and joints as ordered. Reportable items include the Shaking Index, sensory-system score and evaluation, somatosensory / visual / vestibular evaluations, response time, posture-holding time, nervous-system score and evaluation, integrated balance capability score, comprehensive score and a fall-risk analysis; when InBody and IB-LS are linked, the result also includes left and right leg muscle mass, mass left/right balance, leg strength, strength left/right balance and a musculoskeletal score (InBody Co., Ltd., 2022).</w:t>
      </w:r>
    </w:p>
    <w:p>
      <w:pPr>
        <w:pStyle w:val="Normal"/>
        <w:jc w:val="both"/>
      </w:pPr>
      <w:r>
        <w:rPr>
          <w:szCs w:val="22"/>
          <w:lang w:val="en-US" w:eastAsia="en-US" w:bidi="ar-SA"/>
          <w:rFonts w:ascii="Times New Roman" w:hAnsi="Times New Roman" w:eastAsia="Times New Roman" w:cs="Times New Roman"/>
          <w:sz w:val="24"/>
        </w:rPr>
        <w:t>Two design properties of FRA bear on the present thesis. First, the result sheets grade several domains and present an integrated risk profile. This verdict-like presentation is efficient for clinical interpretation but may also influence how some users understand an unfavourable result. The thesis treats this as a framing hypothesis rather than assuming that every user experiences identity threat. Second, FRA includes balance exercises linked to identified risk factors. The gamified intervention reported in Chapter 5 uses the same weight-shifting movement as a gameplay input, through a separate controller mat, while the clinical pathway runs in parallel on the footplate (§5.2A). Game performance is not a clinical measure and is not treated as one in this thesis.</w:t>
      </w:r>
    </w:p>
    <w:p>
      <w:pPr>
        <w:pStyle w:val="Normal"/>
        <w:keepNext/>
        <w:spacing w:before="160" w:after="40"/>
        <w:jc w:val="center"/>
      </w:pPr>
      <w:r>
        <w:drawing>
          <wp:inline>
            <wp:extent cx="5669280" cy="2631586"/>
            <wp:docPr id="19" name="Picture 19" descr="Figure 4.1A. Fall Risk Assessment (FRA) system architecture as deployed at the Poly Group facility (InBody FRA510S)."/>
            <wp:cNvGraphicFramePr>
              <a:graphicFrameLocks noChangeAspect="1"/>
            </wp:cNvGraphicFramePr>
            <a:graphic>
              <a:graphicData uri="http://schemas.openxmlformats.org/drawingml/2006/picture">
                <pic:pic>
                  <pic:nvPicPr>
                    <pic:cNvPr id="0" name="fig_4_1a.png"/>
                    <pic:cNvPicPr/>
                  </pic:nvPicPr>
                  <pic:blipFill>
                    <a:blip r:embed="rId28"/>
                    <a:stretch>
                      <a:fillRect/>
                    </a:stretch>
                  </pic:blipFill>
                  <pic:spPr>
                    <a:xfrm>
                      <a:off x="0" y="0"/>
                      <a:ext cx="5669280" cy="2631586"/>
                    </a:xfrm>
                    <a:prstGeom prst="rect"/>
                  </pic:spPr>
                </pic:pic>
              </a:graphicData>
            </a:graphic>
          </wp:inline>
        </w:drawing>
      </w:r>
    </w:p>
    <w:p>
      <w:pPr>
        <w:pStyle w:val="FigureCaption"/>
        <w:keepLines/>
        <w:jc w:val="center"/>
      </w:pPr>
      <w:bookmarkStart w:id="55" w:name="_Toc232024680"/>
      <w:r>
        <w:rPr>
          <w:sz w:val="24"/>
          <w:szCs w:val="22"/>
          <w:lang w:val="en-US" w:eastAsia="en-US" w:bidi="ar-SA"/>
          <w:rFonts w:ascii="Times New Roman" w:hAnsi="Times New Roman" w:eastAsia="Times New Roman" w:cs="Times New Roman"/>
          <w:i/>
          <w:b/>
        </w:rPr>
        <w:t>Figure 4.1A. Fall Risk Assessment (FRA) system architecture as deployed at the Poly Group facility (InBody FRA510S). Step 1 captures sensory- and nervous-system tests on the four-load-cell footplate. Steps 2 and 3 add musculoskeletal mass and strength via the InBody BIA station and the IB-LS dynamometer. Four result sheets present sensory-system, nervous-system, musculoskeletal and integrated-balance scores; the comprehensive score and risk-factor profile are the clinical outputs of interest in this thesis. Adapted from InBody Co., Ltd. (2022).</w:t>
      </w:r>
      <w:bookmarkEnd w:id="55"/>
    </w:p>
    <w:p>
      <w:pPr>
        <w:pStyle w:val="Normal"/>
        <w:keepNext/>
      </w:pPr>
      <w:r>
        <w:drawing>
          <wp:inline>
            <wp:extent cx="3108960" cy="4145280"/>
            <wp:docPr id="31" name="Picture 31" descr="Figure 4.1B. The FRA balance station as deployed in the rehabilitation room of the Guangzhou facility (photograph by the author)."/>
            <wp:cNvGraphicFramePr>
              <a:graphicFrameLocks noChangeAspect="1"/>
            </wp:cNvGraphicFramePr>
            <a:graphic>
              <a:graphicData uri="http://schemas.openxmlformats.org/drawingml/2006/picture">
                <pic:pic>
                  <pic:nvPicPr>
                    <pic:cNvPr id="0" name="fig_4_1B.jpg"/>
                    <pic:cNvPicPr/>
                  </pic:nvPicPr>
                  <pic:blipFill>
                    <a:blip r:embed="rId40"/>
                    <a:stretch>
                      <a:fillRect/>
                    </a:stretch>
                  </pic:blipFill>
                  <pic:spPr>
                    <a:xfrm>
                      <a:off x="0" y="0"/>
                      <a:ext cx="3108960" cy="414528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4.1B. The FRA balance station as deployed in the rehabilitation room of the Guangzhou facility (photograph by the author). The four-load-cell sensing surface — the dark glass panel marked with foot-placement guides — is set into an anti-slip base plate and flanked by support rails; the operator's monitor and keyboard stand on a mobile cart behind the platform. The configuration is the modular arrangement described in §4.1A (platform, support rails, operator computer); facility signage designates the occupational-therapy training area and the balance-test zone. The platform-to-game coupling used in Stage 2 is demonstrated on a balance platform in Figure 5.1A (development-office demonstration of the prototype, 27 August 2024; §5.3.9).</w:t>
      </w:r>
    </w:p>
    <w:p>
      <w:pPr>
        <w:pStyle w:val="Normal"/>
        <w:jc w:val="both"/>
      </w:pPr>
      <w:r>
        <w:rPr>
          <w:szCs w:val="22"/>
          <w:lang w:val="en-US" w:eastAsia="en-US" w:bidi="ar-SA"/>
          <w:rFonts w:ascii="Times New Roman" w:hAnsi="Times New Roman" w:eastAsia="Times New Roman" w:cs="Times New Roman"/>
          <w:sz w:val="24"/>
        </w:rPr>
        <w:t>FRA is therefore the sensor-based artefact whose engagement profile is examined. The Stage-1 survey instrument reproduced in Appendix A contains six Yes/No items on awareness, prior use, understanding and acceptance of the first result, subsequent return, discomfort or discouragement, and willingness to use a friendlier version. The figure of 280 that appears in earlier working documents is the facility's resident population at the time of the survey; 200 eligible residents were interviewed; every Stage-1 result is computed either on the interviewed sample of 200 or, for the conditional items, on an explicitly labelled subgroup of it (§4.2). No separate TAM-based questionnaire block was administered; the six-item form reproduced in Appendix A is the complete Stage-1 instrument, and only results with a traceable item, wording, denominator and data source remain in Table 4.1.</w:t>
      </w:r>
    </w:p>
    <w:p>
      <w:pPr>
        <w:jc w:val="both"/>
      </w:pPr>
      <w:r>
        <w:t>A scoping statement belongs here. The commercial FRA proposition - in the InBody line as in its HUR antecedent - is not assessment alone but an assess-then-train model: measurement identifies fall risk, and a training programme on the same platform is intended to reduce it. This thesis studies the assessment gate only, and does so deliberately: a central observation of the programme is that utilisation falls away at that gate, and when older adults refuse or abandon assessment, the training phase never begins. The assessment gate is thus the binding constraint on the entire model's preventive value, and its acceptance is the highest-leverage object of study. The training phase, and the extension of this thesis's framework to it, are addressed as an explicit limitation, together with the requirements of any future training extension, in §8.7.</w:t>
      </w:r>
    </w:p>
    <w:p>
      <w:pPr>
        <w:jc w:val="both"/>
      </w:pPr>
      <w:r>
        <w:t>Three features of the station's operating practice at the facility, recorded here on the author's account from site observation and informal conversations with residents, nursing staff and the management office and not independently documented in the repository, complete the picture the Stage-1 survey was fielded into, and each bears on how a resident could rationally regard the FRA before ever stepping onto it. First, the assessment was not self-service: a therapist's support was required to run the protocol, so every assessment was also a supervised, observed performance. Second, the protocol itself was demanding - a full multi-domain assessment rather than a casual check - and, on the author's account, its rigour deterred participation. Third, and most consequentially, the verdict had teeth: an unfavourable risk profile led in practice to prescribed balance training on the same platform, and to recommendations against walking alone and freely. An adverse result was therefore not merely unwelcome information; it initiated obligations and restricted the very independence it measured. By the facility's account, word of these consequences circulated among residents ahead of any personal experience. This operating context - authority present, effort demanded, autonomy at stake - is the background against which the Stage-1 pattern of acknowledged benefit without participation, reported in the next section, should be read.</w:t>
      </w:r>
    </w:p>
    <w:p>
      <w:pPr>
        <w:pStyle w:val="Heading2"/>
      </w:pPr>
      <w:bookmarkStart w:id="56" w:name="_Toc232024556"/>
      <w:r>
        <w:rPr>
          <w:lang w:val="en-US" w:eastAsia="en-US" w:bidi="ar-SA"/>
          <w:color w:val="000000"/>
          <w:szCs w:val="26"/>
        </w:rPr>
        <w:t>4.2 The Guangzhou Survey (N = 200 of 280 Residents)</w:t>
      </w:r>
      <w:bookmarkEnd w:id="56"/>
    </w:p>
    <w:p>
      <w:pPr>
        <w:pStyle w:val="Normal"/>
        <w:jc w:val="both"/>
      </w:pPr>
      <w:r>
        <w:rPr>
          <w:szCs w:val="22"/>
          <w:lang w:val="en-US" w:eastAsia="en-US" w:bidi="ar-SA"/>
          <w:rFonts w:ascii="Times New Roman" w:hAnsi="Times New Roman" w:eastAsia="Times New Roman" w:cs="Times New Roman"/>
          <w:sz w:val="24"/>
        </w:rPr>
        <w:t>Six Yes/No items were administered face-to-face by nursing staff in July and August 2024 to residents who met the stated eligibility criteria; none of the five criteria (Appendix A) was an age criterion. Working documents described the interviewed sample as aged 65–88, but no per-respondent Stage-1 response file is archived against which that range can be verified (Appendix G, item G.1), and the verified Stage-2 record contradicts its lower bound: all thirty Stage-2 participants were drawn from this interviewed sample (§3.4, §5.4), and five of them are recorded in the Stage-2 archive (Appendix G, item G.2) as aged 62–64 — Stage 2 post-dates the survey, so their ages at interview could not have been higher. The 65–88 range is therefore withdrawn as a reporting error inherited from working documents, and no age range is claimed for the interviewed sample. Face-to-face administration reduced literacy and digital-skill barriers, but it may also have introduced interviewer and social-desirability effects, and this is acknowledged as a limitation in §4.8. Of the facility's 280 residents, 200 who met the eligibility criteria were interviewed; the interviewed sample of 200 is the base sample for all Stage-1 results. The whole-sample items — awareness (Item 1) and prior use (Item 2) — take the full interviewed sample of 200 as their denominator; of the two, only the Item 2 result (ever used / never used) is carried in Table 4.1, and no Item 1 aggregate is reported in this thesis. The follow-on items are conditional, and their percentages are therefore not computed on 200: the adverse-first-experience figure is computed among prior users only, and the non-return figure among the prior users who reported an adverse or unacceptable first experience, as the row labels of Table 4.1 state. The two conditional figures carry tildes because they are rounded approximations; the item-level integer counts behind them are not reproduced in the running text (the cleaned response file, Appendix G item G.1, is not archived). The remaining 80 residents were unavailable at the time the interviews were conducted; none were excluded by refusal. The relationship between unavailability and FRA experience was not established, so the direction and magnitude of selection bias cannot be determined from these data; this is acknowledged among the Stage-1 limitations in §4.8.</w:t>
      </w:r>
    </w:p>
    <w:p>
      <w:pPr>
        <w:pStyle w:val="FigureCaption"/>
        <w:keepNext/>
        <w:keepLines/>
        <w:jc w:val="center"/>
      </w:pPr>
      <w:bookmarkStart w:id="57" w:name="_Toc232024694"/>
      <w:r>
        <w:rPr>
          <w:sz w:val="24"/>
          <w:szCs w:val="22"/>
          <w:lang w:val="en-US" w:eastAsia="en-US" w:bidi="ar-SA"/>
          <w:rFonts w:ascii="Times New Roman" w:hAnsi="Times New Roman" w:eastAsia="Times New Roman" w:cs="Times New Roman"/>
          <w:i/>
          <w:b/>
        </w:rPr>
        <w:t>Table 4.1. Stage-1 survey results (N = 200 residents surveyed, of a resident population of 280). Aggregate percentages are reported without a bound source record: the per-respondent response file (Appendix G, item G.1) is not archived, so the figures cannot be checked against individual responses and the conditional figures cannot be reproduced as item-level counts.</w:t>
      </w:r>
      <w:bookmarkEnd w:id="57"/>
    </w:p>
    <w:tbl>
      <w:tblPr>
        <w:tblStyle w:val="TableGrid"/>
        <w:tblW w:w="8505" w:type="dxa"/>
        <w:jc w:val="center"/>
        <w:tblLayout w:type="fixed"/>
        <w:tblLook w:val="04A0" w:firstRow="1" w:lastRow="0" w:firstColumn="1" w:lastColumn="0" w:noHBand="0" w:noVBand="1"/>
      </w:tblPr>
      <w:tblGrid>
        <w:gridCol w:w="6674"/>
        <w:gridCol w:w="1831"/>
      </w:tblGrid>
      <w:tr>
        <w:trPr>
          <w:jc w:val="center"/>
          <w:tblHeader/>
          <w:cantSplit/>
        </w:trPr>
        <w:tc>
          <w:tcPr>
            <w:tcW w:w="6674" w:type="dxa"/>
          </w:tcPr>
          <w:p>
            <w:pPr>
              <w:pStyle w:val="Normal"/>
              <w:keepNext w:val="0"/>
              <w:keepLines/>
            </w:pPr>
            <w:r>
              <w:rPr>
                <w:b/>
                <w:sz w:val="18"/>
                <w:szCs w:val="22"/>
                <w:lang w:val="en-US" w:eastAsia="en-US" w:bidi="ar-SA"/>
                <w:rFonts w:ascii="Times New Roman" w:hAnsi="Times New Roman" w:eastAsia="Times New Roman" w:cs="Times New Roman"/>
              </w:rPr>
              <w:t>Survey item</w:t>
            </w:r>
          </w:p>
        </w:tc>
        <w:tc>
          <w:tcPr>
            <w:tcW w:w="1831" w:type="dxa"/>
          </w:tcPr>
          <w:p>
            <w:pPr>
              <w:pStyle w:val="Normal"/>
              <w:keepNext w:val="0"/>
              <w:keepLines/>
            </w:pPr>
            <w:r>
              <w:rPr>
                <w:b/>
                <w:sz w:val="18"/>
                <w:szCs w:val="22"/>
                <w:lang w:val="en-US" w:eastAsia="en-US" w:bidi="ar-SA"/>
                <w:rFonts w:ascii="Times New Roman" w:hAnsi="Times New Roman" w:eastAsia="Times New Roman" w:cs="Times New Roman"/>
              </w:rPr>
              <w:t>Result</w:t>
            </w:r>
          </w:p>
        </w:tc>
      </w:tr>
      <w:tr>
        <w:trPr>
          <w:jc w:val="center"/>
          <w:cantSplit/>
        </w:trPr>
        <w:tc>
          <w:tcPr>
            <w:tcW w:w="6674" w:type="dxa"/>
          </w:tcPr>
          <w:p>
            <w:pPr>
              <w:pStyle w:val="Normal"/>
            </w:pPr>
            <w:r>
              <w:rPr>
                <w:sz w:val="24"/>
                <w:szCs w:val="22"/>
                <w:lang w:val="en-US" w:eastAsia="en-US" w:bidi="ar-SA"/>
                <w:rFonts w:ascii="Times New Roman" w:hAnsi="Times New Roman" w:eastAsia="Times New Roman" w:cs="Times New Roman"/>
              </w:rPr>
              <w:t>Ever used FRA</w:t>
            </w:r>
          </w:p>
        </w:tc>
        <w:tc>
          <w:tcPr>
            <w:tcW w:w="1831" w:type="dxa"/>
          </w:tcPr>
          <w:p>
            <w:pPr>
              <w:pStyle w:val="Normal"/>
            </w:pPr>
            <w:r>
              <w:rPr>
                <w:sz w:val="24"/>
                <w:szCs w:val="22"/>
                <w:lang w:val="en-US" w:eastAsia="en-US" w:bidi="ar-SA"/>
                <w:rFonts w:ascii="Times New Roman" w:hAnsi="Times New Roman" w:eastAsia="Times New Roman" w:cs="Times New Roman"/>
              </w:rPr>
              <w:t>39%</w:t>
            </w:r>
          </w:p>
        </w:tc>
      </w:tr>
      <w:tr>
        <w:trPr>
          <w:jc w:val="center"/>
          <w:cantSplit/>
        </w:trPr>
        <w:tc>
          <w:tcPr>
            <w:tcW w:w="6674" w:type="dxa"/>
          </w:tcPr>
          <w:p>
            <w:pPr>
              <w:pStyle w:val="Normal"/>
            </w:pPr>
            <w:r>
              <w:rPr>
                <w:sz w:val="24"/>
                <w:szCs w:val="22"/>
                <w:lang w:val="en-US" w:eastAsia="en-US" w:bidi="ar-SA"/>
                <w:rFonts w:ascii="Times New Roman" w:hAnsi="Times New Roman" w:eastAsia="Times New Roman" w:cs="Times New Roman"/>
              </w:rPr>
              <w:t>Never used FRA</w:t>
            </w:r>
          </w:p>
        </w:tc>
        <w:tc>
          <w:tcPr>
            <w:tcW w:w="1831" w:type="dxa"/>
          </w:tcPr>
          <w:p>
            <w:pPr>
              <w:pStyle w:val="Normal"/>
            </w:pPr>
            <w:r>
              <w:rPr>
                <w:sz w:val="24"/>
                <w:szCs w:val="22"/>
                <w:lang w:val="en-US" w:eastAsia="en-US" w:bidi="ar-SA"/>
                <w:rFonts w:ascii="Times New Roman" w:hAnsi="Times New Roman" w:eastAsia="Times New Roman" w:cs="Times New Roman"/>
              </w:rPr>
              <w:t>61%</w:t>
            </w:r>
          </w:p>
        </w:tc>
      </w:tr>
      <w:tr>
        <w:trPr>
          <w:jc w:val="center"/>
          <w:cantSplit/>
        </w:trPr>
        <w:tc>
          <w:tcPr>
            <w:tcW w:w="6674" w:type="dxa"/>
          </w:tcPr>
          <w:p>
            <w:pPr>
              <w:pStyle w:val="Normal"/>
            </w:pPr>
            <w:r>
              <w:rPr>
                <w:szCs w:val="22"/>
                <w:lang w:val="en-US" w:eastAsia="en-US" w:bidi="ar-SA"/>
                <w:rFonts w:ascii="Times New Roman" w:hAnsi="Times New Roman" w:eastAsia="Times New Roman" w:cs="Times New Roman"/>
                <w:sz w:val="24"/>
              </w:rPr>
              <w:t>Adverse/unacceptable first experience among prior users (item 3 asks whether the first result was understood and accepted; mapping to task failure is interpretive, §4.8)</w:t>
            </w:r>
          </w:p>
        </w:tc>
        <w:tc>
          <w:tcPr>
            <w:tcW w:w="1831" w:type="dxa"/>
          </w:tcPr>
          <w:p>
            <w:pPr>
              <w:pStyle w:val="Normal"/>
            </w:pPr>
            <w:r>
              <w:rPr>
                <w:sz w:val="24"/>
                <w:szCs w:val="22"/>
                <w:lang w:val="en-US" w:eastAsia="en-US" w:bidi="ar-SA"/>
                <w:rFonts w:ascii="Times New Roman" w:hAnsi="Times New Roman" w:eastAsia="Times New Roman" w:cs="Times New Roman"/>
              </w:rPr>
              <w:t>~74%</w:t>
            </w:r>
          </w:p>
        </w:tc>
      </w:tr>
      <w:tr>
        <w:trPr>
          <w:jc w:val="center"/>
          <w:cantSplit/>
        </w:trPr>
        <w:tc>
          <w:tcPr>
            <w:tcW w:w="6674" w:type="dxa"/>
          </w:tcPr>
          <w:p>
            <w:pPr>
              <w:pStyle w:val="Normal"/>
            </w:pPr>
            <w:r>
              <w:rPr>
                <w:szCs w:val="22"/>
                <w:lang w:val="en-US" w:eastAsia="en-US" w:bidi="ar-SA"/>
                <w:rFonts w:ascii="Times New Roman" w:hAnsi="Times New Roman" w:eastAsia="Times New Roman" w:cs="Times New Roman"/>
                <w:sz w:val="24"/>
              </w:rPr>
              <w:t>Self-reported non-return after the adverse first experience</w:t>
            </w:r>
          </w:p>
        </w:tc>
        <w:tc>
          <w:tcPr>
            <w:tcW w:w="1831" w:type="dxa"/>
          </w:tcPr>
          <w:p>
            <w:pPr>
              <w:pStyle w:val="Normal"/>
            </w:pPr>
            <w:r>
              <w:rPr>
                <w:sz w:val="24"/>
                <w:szCs w:val="22"/>
                <w:lang w:val="en-US" w:eastAsia="en-US" w:bidi="ar-SA"/>
                <w:rFonts w:ascii="Times New Roman" w:hAnsi="Times New Roman" w:eastAsia="Times New Roman" w:cs="Times New Roman"/>
              </w:rPr>
              <w:t>~82%</w:t>
            </w:r>
          </w:p>
        </w:tc>
      </w:tr>
    </w:tbl>
    <w:p>
      <w:pPr>
        <w:pStyle w:val="Normal"/>
        <w:jc w:val="both"/>
      </w:pPr>
      <w:r>
        <w:rPr>
          <w:szCs w:val="22"/>
          <w:lang w:val="en-US" w:eastAsia="en-US" w:bidi="ar-SA"/>
          <w:rFonts w:ascii="Times New Roman" w:hAnsi="Times New Roman" w:eastAsia="Times New Roman" w:cs="Times New Roman"/>
          <w:sz w:val="24"/>
        </w:rPr>
        <w:t>The survey records low prior use (39% of the 200 interviewed) despite free, supported provision, and a high level of self-reported non-return among prior users after an adverse or unacceptable first experience. It does not establish that every respondent experienced task failure, that the decision occurred immediately, or that non-return was irreversible. Working tables from the survey period also suggested favourable physical-access and perceived-benefit estimates; because those figures cannot be traced to items in the archived six-item instrument (Appendix A), they are not reported as survey results. The Stage-1 result is therefore a descriptive problem signature that justifies prospective study of the first adverse experience.</w:t>
      </w:r>
    </w:p>
    <w:p>
      <w:pPr>
        <w:pStyle w:val="Heading2"/>
      </w:pPr>
      <w:bookmarkStart w:id="58" w:name="_Toc232024557"/>
      <w:r>
        <w:rPr>
          <w:lang w:val="en-US" w:eastAsia="en-US" w:bidi="ar-SA"/>
          <w:color w:val="000000"/>
          <w:szCs w:val="26"/>
        </w:rPr>
        <w:t>4.3 TAM, STAM and the Limitation for Retired Users</w:t>
      </w:r>
      <w:bookmarkEnd w:id="58"/>
    </w:p>
    <w:p>
      <w:pPr>
        <w:pStyle w:val="Normal"/>
        <w:jc w:val="both"/>
      </w:pPr>
      <w:r>
        <w:rPr>
          <w:szCs w:val="22"/>
          <w:lang w:val="en-US" w:eastAsia="en-US" w:bidi="ar-SA"/>
          <w:rFonts w:ascii="Times New Roman" w:hAnsi="Times New Roman" w:eastAsia="Times New Roman" w:cs="Times New Roman"/>
          <w:sz w:val="24"/>
        </w:rPr>
        <w:t>TAM was developed primarily in instrumental technology-use settings, with Perceived Usefulness commonly operationalised through performance gains. In preventive health settings involving retired older adults, relevant benefits may include safety, independence, confidence and quality of life (§2.2.1). The present study asks how an adverse first experience relates to subsequent use and whether event-specific appraisal can add explanatory value to acceptance and continuance accounts (§2.2.3). Awareness, physical access and prior trial are not equivalent to measured acceptance, perceived usefulness or ease of use. The Stage-1 pattern therefore motivates prospective investigation of experience and non-return; it does not demonstrate a retrospective failure of TAM or STAM, nor show that positive beliefs cannot predict use.</w:t>
      </w:r>
    </w:p>
    <w:p>
      <w:pPr>
        <w:pStyle w:val="FigureCaption"/>
        <w:keepNext/>
        <w:keepLines/>
        <w:jc w:val="center"/>
      </w:pPr>
      <w:bookmarkStart w:id="59" w:name="_Toc232024695"/>
      <w:r>
        <w:rPr>
          <w:sz w:val="24"/>
          <w:szCs w:val="22"/>
          <w:lang w:val="en-US" w:eastAsia="en-US" w:bidi="ar-SA"/>
          <w:rFonts w:ascii="Times New Roman" w:hAnsi="Times New Roman" w:eastAsia="Times New Roman" w:cs="Times New Roman"/>
          <w:i/>
          <w:b/>
        </w:rPr>
        <w:t>Table 4.2. TAM limitations for older-adult FRA users.</w:t>
      </w:r>
      <w:bookmarkEnd w:id="59"/>
    </w:p>
    <w:tbl>
      <w:tblPr>
        <w:tblStyle w:val="TableGrid"/>
        <w:tblW w:w="8505" w:type="dxa"/>
        <w:jc w:val="center"/>
        <w:tblLayout w:type="fixed"/>
        <w:tblLook w:val="04A0" w:firstRow="1" w:lastRow="0" w:firstColumn="1" w:lastColumn="0" w:noHBand="0" w:noVBand="1"/>
      </w:tblPr>
      <w:tblGrid>
        <w:gridCol w:w="2587"/>
        <w:gridCol w:w="3142"/>
        <w:gridCol w:w="2776"/>
      </w:tblGrid>
      <w:tr>
        <w:trPr>
          <w:jc w:val="center"/>
          <w:tblHeader/>
          <w:cantSplit/>
        </w:trPr>
        <w:tc>
          <w:tcPr>
            <w:tcW w:w="2587" w:type="dxa"/>
          </w:tcPr>
          <w:p>
            <w:pPr>
              <w:pStyle w:val="Normal"/>
              <w:keepNext w:val="0"/>
              <w:keepLines/>
            </w:pPr>
            <w:r>
              <w:rPr>
                <w:b/>
                <w:sz w:val="18"/>
                <w:szCs w:val="22"/>
                <w:lang w:val="en-US" w:eastAsia="en-US" w:bidi="ar-SA"/>
                <w:rFonts w:ascii="Times New Roman" w:hAnsi="Times New Roman" w:eastAsia="Times New Roman" w:cs="Times New Roman"/>
              </w:rPr>
              <w:t>Acceptance-model consideration</w:t>
            </w:r>
          </w:p>
        </w:tc>
        <w:tc>
          <w:tcPr>
            <w:tcW w:w="3142" w:type="dxa"/>
          </w:tcPr>
          <w:p>
            <w:pPr>
              <w:pStyle w:val="Normal"/>
              <w:keepNext w:val="0"/>
              <w:keepLines/>
            </w:pPr>
            <w:r>
              <w:rPr>
                <w:b/>
                <w:sz w:val="18"/>
                <w:szCs w:val="22"/>
                <w:lang w:val="en-US" w:eastAsia="en-US" w:bidi="ar-SA"/>
                <w:rFonts w:ascii="Times New Roman" w:hAnsi="Times New Roman" w:eastAsia="Times New Roman" w:cs="Times New Roman"/>
              </w:rPr>
              <w:t>Contextual question in older-adult FRA use</w:t>
            </w:r>
          </w:p>
        </w:tc>
        <w:tc>
          <w:tcPr>
            <w:tcW w:w="2776" w:type="dxa"/>
          </w:tcPr>
          <w:p>
            <w:pPr>
              <w:pStyle w:val="Normal"/>
              <w:keepNext w:val="0"/>
              <w:keepLines/>
            </w:pPr>
            <w:r>
              <w:rPr>
                <w:b/>
                <w:sz w:val="18"/>
                <w:szCs w:val="22"/>
                <w:lang w:val="en-US" w:eastAsia="en-US" w:bidi="ar-SA"/>
                <w:rFonts w:ascii="Times New Roman" w:hAnsi="Times New Roman" w:eastAsia="Times New Roman" w:cs="Times New Roman"/>
              </w:rPr>
              <w:t>Implication for this study</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Usefulness often operationalised through performance gains</w:t>
            </w:r>
          </w:p>
        </w:tc>
        <w:tc>
          <w:tcPr>
            <w:tcW w:w="3142" w:type="dxa"/>
          </w:tcPr>
          <w:p>
            <w:pPr>
              <w:pStyle w:val="Normal"/>
            </w:pPr>
            <w:r>
              <w:rPr>
                <w:sz w:val="24"/>
                <w:szCs w:val="22"/>
                <w:lang w:val="en-US" w:eastAsia="en-US" w:bidi="ar-SA"/>
                <w:rFonts w:ascii="Times New Roman" w:hAnsi="Times New Roman" w:eastAsia="Times New Roman" w:cs="Times New Roman"/>
              </w:rPr>
              <w:t>Relevant benefits may include independence, confidence and preventive value</w:t>
            </w:r>
          </w:p>
        </w:tc>
        <w:tc>
          <w:tcPr>
            <w:tcW w:w="2776" w:type="dxa"/>
          </w:tcPr>
          <w:p>
            <w:pPr>
              <w:pStyle w:val="Normal"/>
            </w:pPr>
            <w:r>
              <w:rPr>
                <w:sz w:val="24"/>
                <w:szCs w:val="22"/>
                <w:lang w:val="en-US" w:eastAsia="en-US" w:bidi="ar-SA"/>
                <w:rFonts w:ascii="Times New Roman" w:hAnsi="Times New Roman" w:eastAsia="Times New Roman" w:cs="Times New Roman"/>
              </w:rPr>
              <w:t>Contextualise the assessment of perceived usefulness</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Beliefs and facilitating conditions can predict use</w:t>
            </w:r>
          </w:p>
        </w:tc>
        <w:tc>
          <w:tcPr>
            <w:tcW w:w="3142" w:type="dxa"/>
          </w:tcPr>
          <w:p>
            <w:pPr>
              <w:pStyle w:val="Normal"/>
            </w:pPr>
            <w:r>
              <w:rPr>
                <w:szCs w:val="22"/>
                <w:lang w:val="en-US" w:eastAsia="en-US" w:bidi="ar-SA"/>
                <w:rFonts w:ascii="Times New Roman" w:hAnsi="Times New Roman" w:eastAsia="Times New Roman" w:cs="Times New Roman"/>
                <w:sz w:val="24"/>
              </w:rPr>
              <w:t>Physical access and awareness do not establish favourable measured acceptance beliefs</w:t>
            </w:r>
          </w:p>
        </w:tc>
        <w:tc>
          <w:tcPr>
            <w:tcW w:w="2776" w:type="dxa"/>
          </w:tcPr>
          <w:p>
            <w:pPr>
              <w:pStyle w:val="Normal"/>
            </w:pPr>
            <w:r>
              <w:rPr>
                <w:szCs w:val="22"/>
                <w:lang w:val="en-US" w:eastAsia="en-US" w:bidi="ar-SA"/>
                <w:rFonts w:ascii="Times New Roman" w:hAnsi="Times New Roman" w:eastAsia="Times New Roman" w:cs="Times New Roman"/>
                <w:sz w:val="24"/>
              </w:rPr>
              <w:t>Examine beliefs and experience without equating provision with acceptance</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Acceptance and continuance accounts link beliefs, experience and subsequent use</w:t>
            </w:r>
          </w:p>
        </w:tc>
        <w:tc>
          <w:tcPr>
            <w:tcW w:w="3142" w:type="dxa"/>
          </w:tcPr>
          <w:p>
            <w:pPr>
              <w:pStyle w:val="Normal"/>
            </w:pPr>
            <w:r>
              <w:rPr>
                <w:szCs w:val="22"/>
                <w:lang w:val="en-US" w:eastAsia="en-US" w:bidi="ar-SA"/>
                <w:rFonts w:ascii="Times New Roman" w:hAnsi="Times New Roman" w:eastAsia="Times New Roman" w:cs="Times New Roman"/>
                <w:sz w:val="24"/>
              </w:rPr>
              <w:t>The meaning of an adverse first experience may influence continued participation</w:t>
            </w:r>
          </w:p>
        </w:tc>
        <w:tc>
          <w:tcPr>
            <w:tcW w:w="2776" w:type="dxa"/>
          </w:tcPr>
          <w:p>
            <w:pPr>
              <w:pStyle w:val="Normal"/>
            </w:pPr>
            <w:r>
              <w:rPr>
                <w:szCs w:val="22"/>
                <w:lang w:val="en-US" w:eastAsia="en-US" w:bidi="ar-SA"/>
                <w:rFonts w:ascii="Times New Roman" w:hAnsi="Times New Roman" w:eastAsia="Times New Roman" w:cs="Times New Roman"/>
                <w:sz w:val="24"/>
              </w:rPr>
              <w:t>Evaluate event-specific appraisal alongside satisfaction and perceived usefulness</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The baseline models do not provide the specific event-level FIAS account proposed here</w:t>
            </w:r>
          </w:p>
        </w:tc>
        <w:tc>
          <w:tcPr>
            <w:tcW w:w="3142" w:type="dxa"/>
          </w:tcPr>
          <w:p>
            <w:pPr>
              <w:pStyle w:val="Normal"/>
            </w:pPr>
            <w:r>
              <w:rPr>
                <w:szCs w:val="22"/>
                <w:lang w:val="en-US" w:eastAsia="en-US" w:bidi="ar-SA"/>
                <w:rFonts w:ascii="Times New Roman" w:hAnsi="Times New Roman" w:eastAsia="Times New Roman" w:cs="Times New Roman"/>
                <w:sz w:val="24"/>
              </w:rPr>
              <w:t>Early disengagement and later non-return were observed in Stage 2</w:t>
            </w:r>
          </w:p>
        </w:tc>
        <w:tc>
          <w:tcPr>
            <w:tcW w:w="2776" w:type="dxa"/>
          </w:tcPr>
          <w:p>
            <w:pPr>
              <w:pStyle w:val="Normal"/>
            </w:pPr>
            <w:r>
              <w:rPr>
                <w:szCs w:val="22"/>
                <w:lang w:val="en-US" w:eastAsia="en-US" w:bidi="ar-SA"/>
                <w:rFonts w:ascii="Times New Roman" w:hAnsi="Times New Roman" w:eastAsia="Times New Roman" w:cs="Times New Roman"/>
                <w:sz w:val="24"/>
              </w:rPr>
              <w:t>Test whether prospectively measured appraisal adds predictive value</w:t>
            </w:r>
          </w:p>
        </w:tc>
      </w:tr>
    </w:tbl>
    <w:p>
      <w:pPr>
        <w:pStyle w:val="Normal"/>
        <w:spacing w:after="40"/>
      </w:pPr>
    </w:p>
    <w:p>
      <w:pPr>
        <w:pStyle w:val="Heading2"/>
      </w:pPr>
      <w:bookmarkStart w:id="60" w:name="_Toc232024558"/>
      <w:r>
        <w:rPr>
          <w:lang w:val="en-US" w:eastAsia="en-US" w:bidi="ar-SA"/>
          <w:color w:val="000000"/>
          <w:szCs w:val="26"/>
        </w:rPr>
        <w:t>4.4 Octalysis and the In-Game Loss Assumption</w:t>
      </w:r>
      <w:bookmarkEnd w:id="60"/>
    </w:p>
    <w:p>
      <w:pPr>
        <w:pStyle w:val="Normal"/>
        <w:jc w:val="both"/>
      </w:pPr>
      <w:r>
        <w:rPr>
          <w:szCs w:val="22"/>
          <w:lang w:val="en-US" w:eastAsia="en-US" w:bidi="ar-SA"/>
          <w:rFonts w:ascii="Times New Roman" w:hAnsi="Times New Roman" w:eastAsia="Times New Roman" w:cs="Times New Roman"/>
          <w:sz w:val="24"/>
        </w:rPr>
        <w:t>Chou's Octalysis Framework (2015) organises gamification around eight motivational drives. In clinically framed activities for older users, some mechanics may operate differently from their intended use. Loss and Avoidance can refer not only to in-game points or streaks but also to the perceived personal meaning of an unfavourable result. Social comparison (Festinger, 1954) can motivate some participants while increasing age-related self-awareness for others. The thesis therefore treats D5 and D8 as context-sensitive and potentially double-edged rather than as universally inverted. Chapter 2 locates the underlying reason: the drives guide engagement design, but their application still requires attention to users' interpretations and context (§2.3.2). The contextual proposition here is that clinical consequences may alter what a loss means; it is not that gamification guidance assumes that loss-based motivation is invariably beneficial. Stage 1's contribution to that argument is contextual — Table 4.3 shows how each relevant drive reads differently once the player is an older adult and the frame is clinical — and it prepares the context-sensitive reading of D8 that the later empirical work motivated (§2.6.2C).</w:t>
      </w:r>
    </w:p>
    <w:p>
      <w:pPr>
        <w:pStyle w:val="FigureCaption"/>
        <w:keepNext/>
        <w:keepLines/>
        <w:jc w:val="center"/>
      </w:pPr>
      <w:bookmarkStart w:id="61" w:name="_Toc232024696"/>
      <w:r>
        <w:rPr>
          <w:sz w:val="24"/>
          <w:szCs w:val="22"/>
          <w:lang w:val="en-US" w:eastAsia="en-US" w:bidi="ar-SA"/>
          <w:rFonts w:ascii="Times New Roman" w:hAnsi="Times New Roman" w:eastAsia="Times New Roman" w:cs="Times New Roman"/>
          <w:i/>
          <w:b/>
        </w:rPr>
        <w:t>Table 4.3. Octalysis drives contextualised against STAM characteristics.</w:t>
      </w:r>
      <w:bookmarkEnd w:id="61"/>
    </w:p>
    <w:tbl>
      <w:tblPr>
        <w:tblStyle w:val="TableGrid"/>
        <w:tblW w:w="8505" w:type="dxa"/>
        <w:jc w:val="center"/>
        <w:tblLayout w:type="fixed"/>
        <w:tblLook w:val="04A0" w:firstRow="1" w:lastRow="0" w:firstColumn="1" w:lastColumn="0" w:noHBand="0" w:noVBand="1"/>
      </w:tblPr>
      <w:tblGrid>
        <w:gridCol w:w="2079"/>
        <w:gridCol w:w="2628"/>
        <w:gridCol w:w="3798"/>
      </w:tblGrid>
      <w:tr>
        <w:trPr>
          <w:jc w:val="center"/>
          <w:tblHeader/>
          <w:cantSplit/>
        </w:trPr>
        <w:tc>
          <w:tcPr>
            <w:tcW w:w="2079" w:type="dxa"/>
          </w:tcPr>
          <w:p>
            <w:pPr>
              <w:pStyle w:val="Normal"/>
              <w:keepNext w:val="0"/>
              <w:keepLines/>
            </w:pPr>
            <w:r>
              <w:rPr>
                <w:b/>
                <w:sz w:val="18"/>
                <w:szCs w:val="22"/>
                <w:lang w:val="en-US" w:eastAsia="en-US" w:bidi="ar-SA"/>
                <w:rFonts w:ascii="Times New Roman" w:hAnsi="Times New Roman" w:eastAsia="Times New Roman" w:cs="Times New Roman"/>
              </w:rPr>
              <w:t>Octalysis drive</w:t>
            </w:r>
          </w:p>
        </w:tc>
        <w:tc>
          <w:tcPr>
            <w:tcW w:w="2628" w:type="dxa"/>
          </w:tcPr>
          <w:p>
            <w:pPr>
              <w:pStyle w:val="Normal"/>
              <w:keepNext w:val="0"/>
              <w:keepLines/>
            </w:pPr>
            <w:r>
              <w:rPr>
                <w:b/>
                <w:sz w:val="18"/>
                <w:szCs w:val="22"/>
                <w:lang w:val="en-US" w:eastAsia="en-US" w:bidi="ar-SA"/>
                <w:rFonts w:ascii="Times New Roman" w:hAnsi="Times New Roman" w:eastAsia="Times New Roman" w:cs="Times New Roman"/>
              </w:rPr>
              <w:t>Intended motivational role</w:t>
            </w:r>
          </w:p>
        </w:tc>
        <w:tc>
          <w:tcPr>
            <w:tcW w:w="3798" w:type="dxa"/>
          </w:tcPr>
          <w:p>
            <w:pPr>
              <w:pStyle w:val="Normal"/>
              <w:keepNext w:val="0"/>
              <w:keepLines/>
            </w:pPr>
            <w:r>
              <w:rPr>
                <w:szCs w:val="22"/>
                <w:lang w:val="en-US" w:eastAsia="en-US" w:bidi="ar-SA"/>
                <w:rFonts w:ascii="Times New Roman" w:hAnsi="Times New Roman" w:eastAsia="Times New Roman" w:cs="Times New Roman"/>
                <w:b/>
                <w:sz w:val="18"/>
              </w:rPr>
              <w:t>Context-sensitive possibility in older clinical users</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D2 Accomplishment</w:t>
            </w:r>
          </w:p>
        </w:tc>
        <w:tc>
          <w:tcPr>
            <w:tcW w:w="2628" w:type="dxa"/>
          </w:tcPr>
          <w:p>
            <w:pPr>
              <w:pStyle w:val="Normal"/>
            </w:pPr>
            <w:r>
              <w:rPr>
                <w:sz w:val="24"/>
                <w:szCs w:val="22"/>
                <w:lang w:val="en-US" w:eastAsia="en-US" w:bidi="ar-SA"/>
                <w:rFonts w:ascii="Times New Roman" w:hAnsi="Times New Roman" w:eastAsia="Times New Roman" w:cs="Times New Roman"/>
              </w:rPr>
              <w:t>Achievement challenges motivate</w:t>
            </w:r>
          </w:p>
        </w:tc>
        <w:tc>
          <w:tcPr>
            <w:tcW w:w="3798" w:type="dxa"/>
          </w:tcPr>
          <w:p>
            <w:pPr>
              <w:pStyle w:val="Normal"/>
            </w:pPr>
            <w:r>
              <w:rPr>
                <w:sz w:val="24"/>
                <w:szCs w:val="22"/>
                <w:lang w:val="en-US" w:eastAsia="en-US" w:bidi="ar-SA"/>
                <w:rFonts w:ascii="Times New Roman" w:hAnsi="Times New Roman" w:eastAsia="Times New Roman" w:cs="Times New Roman"/>
              </w:rPr>
              <w:t>May be undermined by failure</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D5 Social Influence</w:t>
            </w:r>
          </w:p>
        </w:tc>
        <w:tc>
          <w:tcPr>
            <w:tcW w:w="2628" w:type="dxa"/>
          </w:tcPr>
          <w:p>
            <w:pPr>
              <w:pStyle w:val="Normal"/>
            </w:pPr>
            <w:r>
              <w:rPr>
                <w:sz w:val="24"/>
                <w:szCs w:val="22"/>
                <w:lang w:val="en-US" w:eastAsia="en-US" w:bidi="ar-SA"/>
                <w:rFonts w:ascii="Times New Roman" w:hAnsi="Times New Roman" w:eastAsia="Times New Roman" w:cs="Times New Roman"/>
              </w:rPr>
              <w:t>Comparison drives engagement</w:t>
            </w:r>
          </w:p>
        </w:tc>
        <w:tc>
          <w:tcPr>
            <w:tcW w:w="3798" w:type="dxa"/>
          </w:tcPr>
          <w:p>
            <w:pPr>
              <w:pStyle w:val="Normal"/>
            </w:pPr>
            <w:r>
              <w:rPr>
                <w:szCs w:val="22"/>
                <w:lang w:val="en-US" w:eastAsia="en-US" w:bidi="ar-SA"/>
                <w:rFonts w:ascii="Times New Roman" w:hAnsi="Times New Roman" w:eastAsia="Times New Roman" w:cs="Times New Roman"/>
                <w:sz w:val="24"/>
              </w:rPr>
              <w:t>May motivate some users or increase decline-related self-awareness</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D8 Loss and Avoidance</w:t>
            </w:r>
          </w:p>
        </w:tc>
        <w:tc>
          <w:tcPr>
            <w:tcW w:w="2628" w:type="dxa"/>
          </w:tcPr>
          <w:p>
            <w:pPr>
              <w:pStyle w:val="Normal"/>
            </w:pPr>
            <w:r>
              <w:rPr>
                <w:sz w:val="24"/>
                <w:szCs w:val="22"/>
                <w:lang w:val="en-US" w:eastAsia="en-US" w:bidi="ar-SA"/>
                <w:rFonts w:ascii="Times New Roman" w:hAnsi="Times New Roman" w:eastAsia="Times New Roman" w:cs="Times New Roman"/>
              </w:rPr>
              <w:t>Avoiding a perceived loss can motivate continued activity</w:t>
            </w:r>
          </w:p>
        </w:tc>
        <w:tc>
          <w:tcPr>
            <w:tcW w:w="3798" w:type="dxa"/>
          </w:tcPr>
          <w:p>
            <w:pPr>
              <w:pStyle w:val="Normal"/>
            </w:pPr>
            <w:r>
              <w:rPr>
                <w:szCs w:val="22"/>
                <w:lang w:val="en-US" w:eastAsia="en-US" w:bidi="ar-SA"/>
                <w:rFonts w:ascii="Times New Roman" w:hAnsi="Times New Roman" w:eastAsia="Times New Roman" w:cs="Times New Roman"/>
                <w:sz w:val="24"/>
              </w:rPr>
              <w:t>Adverse performance may be interpreted as personally meaningful rather than only in-game loss</w:t>
            </w:r>
          </w:p>
        </w:tc>
      </w:tr>
    </w:tbl>
    <w:p>
      <w:pPr>
        <w:pStyle w:val="Normal"/>
        <w:spacing w:after="40"/>
      </w:pPr>
    </w:p>
    <w:p>
      <w:pPr>
        <w:pStyle w:val="Heading2"/>
      </w:pPr>
      <w:bookmarkStart w:id="62" w:name="_Toc232024559"/>
      <w:r>
        <w:rPr>
          <w:lang w:val="en-US" w:eastAsia="en-US" w:bidi="ar-SA"/>
          <w:color w:val="000000"/>
          <w:szCs w:val="26"/>
        </w:rPr>
        <w:t>4.5 Behavioural Science Lenses</w:t>
      </w:r>
      <w:bookmarkEnd w:id="62"/>
    </w:p>
    <w:p>
      <w:pPr>
        <w:pStyle w:val="Normal"/>
        <w:jc w:val="both"/>
      </w:pPr>
      <w:r>
        <w:rPr>
          <w:szCs w:val="22"/>
          <w:lang w:val="en-US" w:eastAsia="en-US" w:bidi="ar-SA"/>
          <w:rFonts w:ascii="Times New Roman" w:hAnsi="Times New Roman" w:eastAsia="Times New Roman" w:cs="Times New Roman"/>
          <w:sz w:val="24"/>
        </w:rPr>
        <w:t>Bandura's self-efficacy theory offers a plausible within-person pathway: difficulty can reduce task-specific confidence and persistence, particularly when the task is important to the user. Prospect theory suggests that unfavourable information may be weighted more heavily than equivalent favourable information relative to a reference point. Together, these theories generate a candidate explanation for abrupt non-return after an adverse first experience. The Stage-1 survey does not measure self-efficacy change, loss aversion or reference points directly, so the mechanism remains inferential. These lenses are assembled into their full supporting structure — observation, theory, construct, prediction — in Table 2.1.</w:t>
      </w:r>
    </w:p>
    <w:p>
      <w:pPr>
        <w:pStyle w:val="Heading2"/>
      </w:pPr>
      <w:bookmarkStart w:id="63" w:name="_Toc232024560"/>
      <w:r>
        <w:rPr>
          <w:lang w:val="en-US" w:eastAsia="en-US" w:bidi="ar-SA"/>
          <w:color w:val="000000"/>
          <w:szCs w:val="26"/>
        </w:rPr>
        <w:t>4.6 Terminological Correction: FIDS to FIAS</w:t>
      </w:r>
      <w:bookmarkEnd w:id="63"/>
    </w:p>
    <w:p>
      <w:pPr>
        <w:pStyle w:val="Normal"/>
        <w:jc w:val="both"/>
      </w:pPr>
      <w:r>
        <w:rPr>
          <w:szCs w:val="22"/>
          <w:lang w:val="en-US" w:eastAsia="en-US" w:bidi="ar-SA"/>
          <w:rFonts w:ascii="Times New Roman" w:hAnsi="Times New Roman" w:eastAsia="Times New Roman" w:cs="Times New Roman"/>
          <w:sz w:val="24"/>
        </w:rPr>
        <w:t>The initial label, Failure-Induced Dropout Syndrome (FIDS), was derived from study-attrition vocabulary. "Dropout" can describe non-completion without specifying agency or meaning. The retrospective Stage-1 reports suggested a more active pattern of non-return after an adverse first experience, motivating the term Failure-Induced Abandonment Syndrome (FIAS). The renaming is analytically useful because it shifts design attention from reminders and access alone toward the meaning of the first experience. It should not be read as evidence that the exit was clinically irreversible, psychologically final, or directly observed to occur within hours; those temporal and mechanistic questions were examined prospectively in Stage 2.</w:t>
      </w:r>
    </w:p>
    <w:p>
      <w:pPr>
        <w:pStyle w:val="Normal"/>
        <w:jc w:val="both"/>
      </w:pPr>
      <w:r>
        <w:rPr>
          <w:szCs w:val="22"/>
          <w:lang w:val="en-US" w:eastAsia="en-US" w:bidi="ar-SA"/>
          <w:rFonts w:ascii="Times New Roman" w:hAnsi="Times New Roman" w:eastAsia="Times New Roman" w:cs="Times New Roman"/>
          <w:sz w:val="24"/>
        </w:rPr>
        <w:t>The FIDS-to-FIAS revision is therefore a conceptual output of Stage 1 and Stage 2 rather than a validated diagnostic classification. In this thesis, FIAS denotes a proposed behavioural pattern: failure-associated active non-return under conditions where performance may be interpreted as identity-relevant. Its operational definition, reliability, discriminant validity and predictive increment over STAM require further testing.</w:t>
      </w:r>
    </w:p>
    <w:p>
      <w:pPr>
        <w:pStyle w:val="Heading2"/>
      </w:pPr>
      <w:bookmarkStart w:id="64" w:name="_Toc232024561"/>
      <w:r>
        <w:rPr>
          <w:lang w:val="en-US" w:eastAsia="en-US" w:bidi="ar-SA"/>
          <w:color w:val="000000"/>
          <w:szCs w:val="26"/>
        </w:rPr>
        <w:t>4.7 Cross-Cultural Reference Point</w:t>
      </w:r>
      <w:bookmarkEnd w:id="64"/>
    </w:p>
    <w:p>
      <w:pPr>
        <w:pStyle w:val="Normal"/>
        <w:jc w:val="both"/>
      </w:pPr>
      <w:r>
        <w:rPr>
          <w:szCs w:val="22"/>
          <w:lang w:val="en-US" w:eastAsia="en-US" w:bidi="ar-SA"/>
          <w:rFonts w:ascii="Times New Roman" w:hAnsi="Times New Roman" w:eastAsia="Times New Roman" w:cs="Times New Roman"/>
          <w:sz w:val="24"/>
        </w:rPr>
        <w:t>The Korean studies of the FRA platform provide context for its measurement use (Park et al., 2019; Kim et al., 2018). They do not establish a sustained-engagement advantage or identify a design feature responsible for one. No vendor-derived engagement figure is carried as evidence here. Comparative fieldwork could examine support, framing and use patterns under documented conditions; the current thesis does not infer those patterns from measurement studies.</w:t>
      </w:r>
    </w:p>
    <w:p>
      <w:pPr>
        <w:pStyle w:val="Heading2"/>
      </w:pPr>
      <w:bookmarkStart w:id="65" w:name="_Toc232024562"/>
      <w:r>
        <w:rPr>
          <w:lang w:val="en-US" w:eastAsia="en-US" w:bidi="ar-SA"/>
          <w:color w:val="000000"/>
          <w:szCs w:val="26"/>
        </w:rPr>
        <w:t>4.8 Output and Stage-1 Limitations</w:t>
      </w:r>
      <w:bookmarkEnd w:id="65"/>
    </w:p>
    <w:p>
      <w:pPr>
        <w:pStyle w:val="Normal"/>
        <w:jc w:val="both"/>
      </w:pPr>
      <w:r>
        <w:rPr>
          <w:szCs w:val="22"/>
          <w:lang w:val="en-US" w:eastAsia="en-US" w:bidi="ar-SA"/>
          <w:rFonts w:ascii="Times New Roman" w:hAnsi="Times New Roman" w:eastAsia="Times New Roman" w:cs="Times New Roman"/>
          <w:sz w:val="24"/>
        </w:rPr>
        <w:t>Stage 1 produces three outputs: a documented utilisation and self-reported non-return problem; a reason to investigate the adverse first experience and its interpretation; and the provisional FIAS construct and working hypotheses developed in Chapter 5. The setting offered substantial practical support for use, but the survey did not establish that all acceptance-model constructs were favourable. Stage 1 consequently motivates prospective examination of the original design expectation rather than a formal rejection of H0 (§2.3.5). It does not validate FIAS, establish permanent non-return, or identify mental accounting, endowment or stereotype threat as causal mechanisms. Stage 2 characterises engagement during deployment, and Stage 3 examines a participant-facing decoupling package in a separate cohort. The Stage-1 limitations are those of a retrospective staff-administered survey: recall error, interviewer and social-desirability effects, item wording that captures acceptance of a result rather than task failure directly, and the exclusion of 80 of the facility's 280 residents who were unavailable when interviews were conducted. A further, provenance limitation applies: no per-respondent Stage-1 response file is archived (Appendix G, item G.1), so the conditional figures of Table 4.1 cannot be reproduced as item-level counts and are reported as rounded approximations.</w:t>
      </w:r>
    </w:p>
    <w:p>
      <w:pPr>
        <w:pStyle w:val="Normal"/>
        <w:spacing w:after="200" w:line="276" w:lineRule="auto"/>
        <w:rPr>
          <w:rFonts w:asciiTheme="majorHAnsi" w:eastAsiaTheme="majorEastAsia" w:hAnsiTheme="majorHAnsi" w:cstheme="majorBidi"/>
          <w:b/>
          <w:bCs/>
          <w:color w:val="000000"/>
          <w:sz w:val="32"/>
          <w:szCs w:val="28"/>
        </w:rPr>
      </w:pPr>
      <w:bookmarkStart w:id="66" w:name="_Toc232024563"/>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8"/>
        </w:rPr>
        <w:t>Chapter 5 Stage 2 — Action Research with Gamified FRA</w:t>
      </w:r>
      <w:bookmarkEnd w:id="66"/>
    </w:p>
    <w:p>
      <w:pPr>
        <w:pStyle w:val="Heading2"/>
      </w:pPr>
      <w:bookmarkStart w:id="67" w:name="_Toc232024564"/>
      <w:r>
        <w:rPr>
          <w:lang w:val="en-US" w:eastAsia="en-US" w:bidi="ar-SA"/>
          <w:color w:val="000000"/>
          <w:szCs w:val="26"/>
        </w:rPr>
        <w:t>5.1 Research Questions and Hypotheses</w:t>
      </w:r>
      <w:bookmarkEnd w:id="67"/>
    </w:p>
    <w:p>
      <w:pPr>
        <w:pStyle w:val="Normal"/>
        <w:jc w:val="both"/>
      </w:pPr>
      <w:r>
        <w:rPr>
          <w:szCs w:val="22"/>
          <w:lang w:val="en-US" w:eastAsia="en-US" w:bidi="ar-SA"/>
          <w:rFonts w:ascii="Times New Roman" w:hAnsi="Times New Roman" w:eastAsia="Times New Roman" w:cs="Times New Roman"/>
          <w:sz w:val="24"/>
        </w:rPr>
        <w:t>Stage 2 addressed three stage-specific questions, distinct from the thesis-level research questions in §1.11. S2-Q1: Can a dual-purpose gamified balance activity sustain engagement while generating interpretable performance and FRA-related records? S2-Q2: How is first-failure experience associated with observed dropout during an eight-week deployment? S2-Q3: Which candidate explanations and design principles are suggested by cases in which score change and return behaviour diverge? The hypotheses are directional and should be interpreted within the limits of a small, single-site action-research cohort.</w:t>
      </w:r>
    </w:p>
    <w:p>
      <w:pPr>
        <w:pStyle w:val="Normal"/>
        <w:jc w:val="both"/>
      </w:pPr>
      <w:r>
        <w:rPr>
          <w:szCs w:val="22"/>
          <w:lang w:val="en-US" w:eastAsia="en-US" w:bidi="ar-SA"/>
          <w:rFonts w:ascii="Times New Roman" w:hAnsi="Times New Roman" w:eastAsia="Times New Roman" w:cs="Times New Roman"/>
          <w:sz w:val="24"/>
        </w:rPr>
        <w:t>H0 (original design expectation, formalised retrospectively; §2.3.5): a gamified FRA designed around TAM/STAM acceptance considerations and Octalysis motivational drives would support continued engagement, including after an adverse first experience. Stage 2 examines this expectation prospectively in deployment, but H0 has no prespecified numerical null value or counterfactual for estimating improvement. H1, H2 and H4 are working propositions that organise the exploratory analysis, subject to the chronology in §3.5. No hypothesis carries the label H3; the labels H1, H2, H4 and H5 are retained as they appear in Table 3.1, Table 2.1 and §3.5.</w:t>
      </w:r>
    </w:p>
    <w:p>
      <w:pPr>
        <w:pStyle w:val="Normal"/>
        <w:jc w:val="both"/>
      </w:pPr>
      <w:r>
        <w:rPr>
          <w:szCs w:val="22"/>
          <w:lang w:val="en-US" w:eastAsia="en-US" w:bidi="ar-SA"/>
          <w:rFonts w:ascii="Times New Roman" w:hAnsi="Times New Roman" w:eastAsia="Times New Roman" w:cs="Times New Roman"/>
          <w:sz w:val="24"/>
        </w:rPr>
        <w:t>H1: An adverse or difficult first experience is associated with early disengagement (three or fewer completed game cycles) during the eight-week study window.</w:t>
      </w:r>
    </w:p>
    <w:p>
      <w:pPr>
        <w:pStyle w:val="Normal"/>
        <w:jc w:val="both"/>
      </w:pPr>
      <w:r>
        <w:rPr>
          <w:szCs w:val="22"/>
          <w:lang w:val="en-US" w:eastAsia="en-US" w:bidi="ar-SA"/>
          <w:rFonts w:ascii="Times New Roman" w:hAnsi="Times New Roman" w:eastAsia="Times New Roman" w:cs="Times New Roman"/>
          <w:sz w:val="24"/>
        </w:rPr>
        <w:t>H2: Re-engagement after disengagement is uncommon during the Stage-2 observation window under the coupled FRA framing.</w:t>
      </w:r>
    </w:p>
    <w:p>
      <w:pPr>
        <w:pStyle w:val="Normal"/>
        <w:jc w:val="both"/>
      </w:pPr>
      <w:r>
        <w:rPr>
          <w:szCs w:val="22"/>
          <w:lang w:val="en-US" w:eastAsia="en-US" w:bidi="ar-SA"/>
          <w:rFonts w:ascii="Times New Roman" w:hAnsi="Times New Roman" w:eastAsia="Times New Roman" w:cs="Times New Roman"/>
          <w:sz w:val="24"/>
        </w:rPr>
        <w:t>H4: A subgroup exists in which positive change in the recorded FRA index and observed non-return co-occur (the recorded-score–engagement discrepancy).</w:t>
      </w:r>
    </w:p>
    <w:p>
      <w:pPr>
        <w:pStyle w:val="Normal"/>
        <w:jc w:val="both"/>
      </w:pPr>
      <w:r>
        <w:rPr>
          <w:szCs w:val="22"/>
          <w:lang w:val="en-US" w:eastAsia="en-US" w:bidi="ar-SA"/>
          <w:rFonts w:ascii="Times New Roman" w:hAnsi="Times New Roman" w:eastAsia="Times New Roman" w:cs="Times New Roman"/>
          <w:sz w:val="24"/>
        </w:rPr>
        <w:t>H5, proposed for Stage 3: a participant-facing decoupling package will be associated with lower observed non-return and higher post-failure return than the Stage-2 coupled condition. Because Stage 3 uses a separate cohort, H5 examines whether the observed direction is consistent with a frame-sensitive account; the comparison does not isolate a causal framing effect.</w:t>
      </w:r>
    </w:p>
    <w:p>
      <w:pPr>
        <w:pStyle w:val="Heading2"/>
      </w:pPr>
      <w:bookmarkStart w:id="68" w:name="_Toc232024565"/>
      <w:r>
        <w:rPr>
          <w:lang w:val="en-US" w:eastAsia="en-US" w:bidi="ar-SA"/>
          <w:color w:val="000000"/>
          <w:szCs w:val="26"/>
        </w:rPr>
        <w:t>5.2 Setting and Action-Research Approach</w:t>
      </w:r>
      <w:bookmarkEnd w:id="68"/>
    </w:p>
    <w:p>
      <w:pPr>
        <w:pStyle w:val="Normal"/>
        <w:jc w:val="both"/>
      </w:pPr>
      <w:r>
        <w:rPr>
          <w:szCs w:val="22"/>
          <w:lang w:val="en-US" w:eastAsia="en-US" w:bidi="ar-SA"/>
          <w:rFonts w:ascii="Times New Roman" w:hAnsi="Times New Roman" w:eastAsia="Times New Roman" w:cs="Times New Roman"/>
          <w:sz w:val="24"/>
        </w:rPr>
        <w:t>Stage 2 was conducted at a residential care facility in Southern China with several hundred beds, an InBody FRA system in place for over a decade, one-to-one staffing and free-of-charge access to the equipment. These provisions reduced financial and logistical barriers and made the site suitable for investigating engagement beyond simple availability. They do not establish that access was effortless for every resident, that perceived usefulness and ease of use met a sufficient threshold, or that all contextual explanations were absent. Stage 2 consequently examines whether the design expectation of §2.3.5 was realised under a supported deployment; it cannot attribute subsequent disengagement exclusively to a particular experience of the gamified FRA.</w:t>
      </w:r>
    </w:p>
    <w:p>
      <w:pPr>
        <w:pStyle w:val="Heading2"/>
      </w:pPr>
      <w:bookmarkStart w:id="69" w:name="_Toc232024566"/>
      <w:r>
        <w:rPr>
          <w:lang w:val="en-US" w:eastAsia="en-US" w:bidi="ar-SA"/>
          <w:color w:val="000000"/>
          <w:szCs w:val="26"/>
        </w:rPr>
        <w:t>5.2A Integrating the FRA into the Skiing Game: The Dual-Purpose Mechanic in Detail</w:t>
      </w:r>
      <w:bookmarkEnd w:id="69"/>
    </w:p>
    <w:p>
      <w:pPr>
        <w:pStyle w:val="Normal"/>
        <w:jc w:val="both"/>
      </w:pPr>
      <w:r>
        <w:rPr>
          <w:szCs w:val="22"/>
          <w:lang w:val="en-US" w:eastAsia="en-US" w:bidi="ar-SA"/>
          <w:rFonts w:ascii="Times New Roman" w:hAnsi="Times New Roman" w:eastAsia="Times New Roman" w:cs="Times New Roman"/>
          <w:sz w:val="24"/>
        </w:rPr>
        <w:t>The Stage-2 dual-purpose mechanic uses a balanced shift of body weight as a steering input for the skiing game, read through a foot pad, and at the same moment as the input measured by the FRA footplate beneath it (§4.1A). This links gameplay and assessment at the physical interaction, not at the data level, while allowing their outputs to be presented differently. Stage 3 retained the skiing-game concept — steering a skier downhill, collecting coins, avoiding trees and rocks — in a separately built, differently drawn, remotely distributed browser implementation with different input arrangements and no clinical balance-measurement pipeline. Figure 5.0 contrasts these configurations. The comparison therefore concerns a changed deployment package; it does not show that a fixed measurement architecture became more acceptable solely through participant-facing decoupling.</w:t>
      </w:r>
    </w:p>
    <w:p>
      <w:pPr>
        <w:pStyle w:val="Normal"/>
        <w:keepNext/>
        <w:spacing w:before="160" w:after="40"/>
        <w:jc w:val="center"/>
      </w:pPr>
      <w:r>
        <w:drawing>
          <wp:inline>
            <wp:extent cx="5358384" cy="3302502"/>
            <wp:docPr id="35" name="Picture 35" descr="Figure 5.0." title=""/>
            <wp:cNvGraphicFramePr>
              <a:graphicFrameLocks noChangeAspect="1"/>
            </wp:cNvGraphicFramePr>
            <a:graphic>
              <a:graphicData uri="http://schemas.openxmlformats.org/drawingml/2006/picture">
                <pic:pic>
                  <pic:nvPicPr>
                    <pic:cNvPr id="0" name="figure_P0502.png"/>
                    <pic:cNvPicPr/>
                  </pic:nvPicPr>
                  <pic:blipFill>
                    <a:blip r:embed="rId44"/>
                    <a:stretch>
                      <a:fillRect/>
                    </a:stretch>
                  </pic:blipFill>
                  <pic:spPr>
                    <a:xfrm>
                      <a:off x="0" y="0"/>
                      <a:ext cx="5358384" cy="3302502"/>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5.0. Configurations compared across Stages 2 and 3. Stage 2 paired the skiing game with FRA measurement at the pressure-panel station (a controller mat lying on the footplate; no data link between the two systems); Stage 3 used a decoupled browser game in a separate cohort and context. Changes in input and delivery prevent interpretation as an isolated test of clinical framing.</w:t>
      </w:r>
    </w:p>
    <w:p>
      <w:pPr>
        <w:pStyle w:val="Normal"/>
        <w:jc w:val="both"/>
      </w:pPr>
      <w:r>
        <w:rPr>
          <w:szCs w:val="22"/>
          <w:lang w:val="en-US" w:eastAsia="en-US" w:bidi="ar-SA"/>
          <w:rFonts w:ascii="Times New Roman" w:hAnsi="Times New Roman" w:eastAsia="Times New Roman" w:cs="Times New Roman"/>
          <w:sz w:val="24"/>
        </w:rPr>
        <w:t>The deployed Stage-2 game is described here from its deposited record: its design specification of 29 August 2024, its two runnable versions (game.html, v1; game_v2.html, v2) and a screen recording of 15 January 2025 (Appendix G, items G.7 and G.17). It is a browser game built on Three.js with Cannon.js physics, with a Chinese interface. Play opens with an ability-assessment form of nine items — age, sex, single-leg standing time, sit-to-stand repetitions in 30 seconds, pace, reaction time, and gait-stability ratings on flat ground, a slope and grass. Submitting the form sets the run's difficulty once, by three deterministic formulas: obstacle difficulty = 50 − (single-leg standing time ÷ 2) + (sit-to-stand count ÷ 2); speed difficulty = 50 + 10 × pace − reaction time ÷ 20; balance difficulty = 100 − 10 × the mean gait-stability rating; each is clamped to 0–100 and mapped to the obstacle spawn interval, the skier's speed and the balance challenge, and the three are shown to the player as difficulty bars with a one-sentence rationale. The skier then descends a 3D slope, steered left and right, collecting coins (ten points each) and avoiding trees and rocks. A run ends at the first obstacle collision, after which an analysis-and-recommendation report is shown — game performance, personal analysis, game suggestions, rehabilitation advice and body parts to strengthen — and the game can be restarted. In v1 the report is generated in the page by rules; in v2 the run statistics and the form are sent to a server-side module built on LangChain over the OpenAI API, whose prompt is deposited (item G.7). The game kept no attempt counter and had no lives: the three-to-five-play protocol of §5.5 was administered by the therapist. The four-state machine (Assessment, Playing, Paused, Game Over) with three lives, progressive assistance after each hit and a five-trial report, recorded in Game_States_and_Parameters.xlsx (item G.14) and summarised in Table 5.0, belongs to the early Stage-3 build (item G.18; author's identification, 4 October 2026) and is reported here because the Stage-3 lineage carried the design forward from this point; the loss-free, non-terminal state repertoire that replaces the Game Over verdict is the secondary contribution introduced at §5.3.10 and discussed at §7.6A and §9.8A.</w:t>
      </w:r>
    </w:p>
    <w:p>
      <w:pPr>
        <w:pStyle w:val="Normal"/>
        <w:jc w:val="both"/>
      </w:pPr>
      <w:r>
        <w:rPr>
          <w:szCs w:val="22"/>
          <w:lang w:val="en-US" w:eastAsia="en-US" w:bidi="ar-SA"/>
          <w:rFonts w:ascii="Times New Roman" w:hAnsi="Times New Roman" w:eastAsia="Times New Roman" w:cs="Times New Roman"/>
          <w:sz w:val="24"/>
        </w:rPr>
        <w:t>The numerical parameters of the early Stage-3 build (item G.18), from which the Stage-3 builds descend, are summarised in Table 5.0; they are not the deployed Stage-2 game's parameters, which are the three pre-game formulas stated above. The slope is rendered as 30 m wide and 2000 m long with a 12° descent. The skier’s baseline lateral movement speed is 8 m/s and the baseline forward speed is 12 m/s (approximately 43 km/h), capped at 30 m/s. Balance decays at 0.02 per frame and incurs an additional 0.15 per frame turn penalty; balance recovers at 0.08 per frame when the player is not turning, starts at 100 %, and is restored to 40 % when a life is lost from balance depletion. Obstacles are spawned at a base density of 0.4 per metre, 120 m ahead of the player, and despawned 30 m behind; tree collision radius is 0.8 m and rock collision radius is 0.4–1.0 m depending on size. Coins are spawned at 0.3 per metre, 100 m ahead, and each collected coin yields 10 points and restores 3 % balance. Difficulty rises by 0.15 multiplier every 200 m of distance progressed. The lives system is a central design feature of this build: the player starts with three lives; a 1.5-second invincibility cooldown follows each collision; the first hit drops speed to 70 % and is otherwise neutral; the second hit reduces the obstacle density to 40 % (×0.4) and clears 60 % of obstacles in the next 60 m; the third hit ends the round. Mouse input uses an 8 % deadzone, gamepad input uses a 15 % deadzone, and combined inputs are clamped at 1.5 × the base move speed. Difficulty adaptation reads three settings: age group (18–35 × 1.1, 36–55 × 1.0, 56+ × 0.7), balance ability (low × 0.6, medium × 1.0, high × 1.3), and a per-200 m additive distance term of +0.15. The combined-example row records that a senior with low balance starts the run at a 0.42 multiplier (0.7 × 0.6), a young player with high balance starts at 1.43, and a middle-aged player with medium balance reaches a 1.30 multiplier by the 400 m mark. In both generations the game side of the integration is the same in kind: the weight shifts that the FRA510S footplate measures beneath the mat are read by the game as movement, success and reward.</w:t>
      </w:r>
    </w:p>
    <w:p>
      <w:pPr>
        <w:pStyle w:val="FigureCaption"/>
        <w:keepNext/>
        <w:keepLines/>
        <w:jc w:val="center"/>
      </w:pPr>
      <w:bookmarkStart w:id="70" w:name="_Toc232024697"/>
      <w:r>
        <w:rPr>
          <w:sz w:val="24"/>
          <w:szCs w:val="22"/>
          <w:lang w:val="en-US" w:eastAsia="en-US" w:bidi="ar-SA"/>
          <w:rFonts w:ascii="Times New Roman" w:hAnsi="Times New Roman" w:eastAsia="Times New Roman" w:cs="Times New Roman"/>
          <w:i/>
          <w:b/>
        </w:rPr>
        <w:t>Table 5.0. Parameters of the early Stage-3 build (index.html, Appendix G item G.18; extract from Game_States_and_Parameters.xlsx, item G.14). These are not the deployed Stage-2 game's parameters, which are the pre-game formulas stated in §5.2A.</w:t>
      </w:r>
      <w:bookmarkEnd w:id="70"/>
    </w:p>
    <w:tbl>
      <w:tblPr>
        <w:tblStyle w:val="TableGrid"/>
        <w:tblW w:w="8505" w:type="dxa"/>
        <w:jc w:val="center"/>
        <w:tblLayout w:type="fixed"/>
        <w:tblLook w:val="04A0" w:firstRow="1" w:lastRow="0" w:firstColumn="1" w:lastColumn="0" w:noHBand="0" w:noVBand="1"/>
      </w:tblPr>
      <w:tblGrid>
        <w:gridCol w:w="1053"/>
        <w:gridCol w:w="2401"/>
        <w:gridCol w:w="1967"/>
        <w:gridCol w:w="3084"/>
      </w:tblGrid>
      <w:tr>
        <w:trPr>
          <w:jc w:val="center"/>
          <w:tblHeader/>
          <w:cantSplit/>
        </w:trPr>
        <w:tc>
          <w:tcPr>
            <w:tcW w:w="1053" w:type="dxa"/>
          </w:tcPr>
          <w:p>
            <w:pPr>
              <w:pStyle w:val="Normal"/>
              <w:keepNext w:val="0"/>
              <w:keepLines/>
            </w:pPr>
            <w:r>
              <w:rPr>
                <w:b/>
                <w:sz w:val="18"/>
                <w:szCs w:val="22"/>
                <w:lang w:val="en-US" w:eastAsia="en-US" w:bidi="ar-SA"/>
                <w:rFonts w:ascii="Times New Roman" w:hAnsi="Times New Roman" w:eastAsia="Times New Roman" w:cs="Times New Roman"/>
              </w:rPr>
              <w:t>Category</w:t>
            </w:r>
          </w:p>
        </w:tc>
        <w:tc>
          <w:tcPr>
            <w:tcW w:w="2401" w:type="dxa"/>
          </w:tcPr>
          <w:p>
            <w:pPr>
              <w:pStyle w:val="Normal"/>
              <w:keepNext w:val="0"/>
              <w:keepLines/>
            </w:pPr>
            <w:r>
              <w:rPr>
                <w:b/>
                <w:sz w:val="18"/>
                <w:szCs w:val="22"/>
                <w:lang w:val="en-US" w:eastAsia="en-US" w:bidi="ar-SA"/>
                <w:rFonts w:ascii="Times New Roman" w:hAnsi="Times New Roman" w:eastAsia="Times New Roman" w:cs="Times New Roman"/>
              </w:rPr>
              <w:t>Parameter</w:t>
            </w:r>
          </w:p>
        </w:tc>
        <w:tc>
          <w:tcPr>
            <w:tcW w:w="1967" w:type="dxa"/>
          </w:tcPr>
          <w:p>
            <w:pPr>
              <w:pStyle w:val="Normal"/>
              <w:keepNext w:val="0"/>
              <w:keepLines/>
            </w:pPr>
            <w:r>
              <w:rPr>
                <w:b/>
                <w:sz w:val="18"/>
                <w:szCs w:val="22"/>
                <w:lang w:val="en-US" w:eastAsia="en-US" w:bidi="ar-SA"/>
                <w:rFonts w:ascii="Times New Roman" w:hAnsi="Times New Roman" w:eastAsia="Times New Roman" w:cs="Times New Roman"/>
              </w:rPr>
              <w:t>Value</w:t>
            </w:r>
          </w:p>
        </w:tc>
        <w:tc>
          <w:tcPr>
            <w:tcW w:w="3084" w:type="dxa"/>
          </w:tcPr>
          <w:p>
            <w:pPr>
              <w:pStyle w:val="Normal"/>
              <w:keepNext w:val="0"/>
              <w:keepLines/>
            </w:pPr>
            <w:r>
              <w:rPr>
                <w:b/>
                <w:sz w:val="18"/>
                <w:szCs w:val="22"/>
                <w:lang w:val="en-US" w:eastAsia="en-US" w:bidi="ar-SA"/>
                <w:rFonts w:ascii="Times New Roman" w:hAnsi="Times New Roman" w:eastAsia="Times New Roman" w:cs="Times New Roman"/>
              </w:rPr>
              <w:t>Role in the design (early Stage-3 build)</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Slope</w:t>
            </w:r>
          </w:p>
        </w:tc>
        <w:tc>
          <w:tcPr>
            <w:tcW w:w="2401" w:type="dxa"/>
          </w:tcPr>
          <w:p>
            <w:pPr>
              <w:pStyle w:val="Normal"/>
            </w:pPr>
            <w:r>
              <w:rPr>
                <w:sz w:val="20"/>
                <w:szCs w:val="22"/>
                <w:lang w:val="en-US" w:eastAsia="en-US" w:bidi="ar-SA"/>
                <w:rFonts w:ascii="Times New Roman" w:hAnsi="Times New Roman" w:eastAsia="Times New Roman" w:cs="Times New Roman"/>
              </w:rPr>
              <w:t>slopeWidth / Length / Angle</w:t>
            </w:r>
          </w:p>
        </w:tc>
        <w:tc>
          <w:tcPr>
            <w:tcW w:w="1967" w:type="dxa"/>
          </w:tcPr>
          <w:p>
            <w:pPr>
              <w:pStyle w:val="Normal"/>
            </w:pPr>
            <w:r>
              <w:rPr>
                <w:sz w:val="20"/>
                <w:szCs w:val="22"/>
                <w:lang w:val="en-US" w:eastAsia="en-US" w:bidi="ar-SA"/>
                <w:rFonts w:ascii="Times New Roman" w:hAnsi="Times New Roman" w:eastAsia="Times New Roman" w:cs="Times New Roman"/>
              </w:rPr>
              <w:t>30 m / 2000 m / 12°</w:t>
            </w:r>
          </w:p>
        </w:tc>
        <w:tc>
          <w:tcPr>
            <w:tcW w:w="3084" w:type="dxa"/>
          </w:tcPr>
          <w:p>
            <w:pPr>
              <w:pStyle w:val="Normal"/>
            </w:pPr>
            <w:r>
              <w:rPr>
                <w:sz w:val="20"/>
                <w:szCs w:val="22"/>
                <w:lang w:val="en-US" w:eastAsia="en-US" w:bidi="ar-SA"/>
                <w:rFonts w:ascii="Times New Roman" w:hAnsi="Times New Roman" w:eastAsia="Times New Roman" w:cs="Times New Roman"/>
              </w:rPr>
              <w:t>Field across which lateral weight shifts (foot-pad input) are read as steering.</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Player</w:t>
            </w:r>
          </w:p>
        </w:tc>
        <w:tc>
          <w:tcPr>
            <w:tcW w:w="2401" w:type="dxa"/>
          </w:tcPr>
          <w:p>
            <w:pPr>
              <w:pStyle w:val="Normal"/>
            </w:pPr>
            <w:r>
              <w:rPr>
                <w:sz w:val="20"/>
                <w:szCs w:val="22"/>
                <w:lang w:val="en-US" w:eastAsia="en-US" w:bidi="ar-SA"/>
                <w:rFonts w:ascii="Times New Roman" w:hAnsi="Times New Roman" w:eastAsia="Times New Roman" w:cs="Times New Roman"/>
              </w:rPr>
              <w:t>baseMoveSpeed / baseForwardSpeed / max</w:t>
            </w:r>
          </w:p>
        </w:tc>
        <w:tc>
          <w:tcPr>
            <w:tcW w:w="1967" w:type="dxa"/>
          </w:tcPr>
          <w:p>
            <w:pPr>
              <w:pStyle w:val="Normal"/>
            </w:pPr>
            <w:r>
              <w:rPr>
                <w:sz w:val="20"/>
                <w:szCs w:val="22"/>
                <w:lang w:val="en-US" w:eastAsia="en-US" w:bidi="ar-SA"/>
                <w:rFonts w:ascii="Times New Roman" w:hAnsi="Times New Roman" w:eastAsia="Times New Roman" w:cs="Times New Roman"/>
              </w:rPr>
              <w:t>8 / 12 / 30 m/s</w:t>
            </w:r>
          </w:p>
        </w:tc>
        <w:tc>
          <w:tcPr>
            <w:tcW w:w="3084" w:type="dxa"/>
          </w:tcPr>
          <w:p>
            <w:pPr>
              <w:pStyle w:val="Normal"/>
            </w:pPr>
            <w:r>
              <w:rPr>
                <w:sz w:val="20"/>
                <w:szCs w:val="22"/>
                <w:lang w:val="en-US" w:eastAsia="en-US" w:bidi="ar-SA"/>
                <w:rFonts w:ascii="Times New Roman" w:hAnsi="Times New Roman" w:eastAsia="Times New Roman" w:cs="Times New Roman"/>
              </w:rPr>
              <w:t>Translation gain from foot-pad input to skier velocity.</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Balance</w:t>
            </w:r>
          </w:p>
        </w:tc>
        <w:tc>
          <w:tcPr>
            <w:tcW w:w="2401" w:type="dxa"/>
          </w:tcPr>
          <w:p>
            <w:pPr>
              <w:pStyle w:val="Normal"/>
            </w:pPr>
            <w:r>
              <w:rPr>
                <w:sz w:val="20"/>
                <w:szCs w:val="22"/>
                <w:lang w:val="en-US" w:eastAsia="en-US" w:bidi="ar-SA"/>
                <w:rFonts w:ascii="Times New Roman" w:hAnsi="Times New Roman" w:eastAsia="Times New Roman" w:cs="Times New Roman"/>
              </w:rPr>
              <w:t>decay / turn penalty / recovery / on-life-loss</w:t>
            </w:r>
          </w:p>
        </w:tc>
        <w:tc>
          <w:tcPr>
            <w:tcW w:w="1967" w:type="dxa"/>
          </w:tcPr>
          <w:p>
            <w:pPr>
              <w:pStyle w:val="Normal"/>
            </w:pPr>
            <w:r>
              <w:rPr>
                <w:sz w:val="20"/>
                <w:szCs w:val="22"/>
                <w:lang w:val="en-US" w:eastAsia="en-US" w:bidi="ar-SA"/>
                <w:rFonts w:ascii="Times New Roman" w:hAnsi="Times New Roman" w:eastAsia="Times New Roman" w:cs="Times New Roman"/>
              </w:rPr>
              <w:t>0.02 / 0.15 / 0.08 per frame; 100 %→40 %</w:t>
            </w:r>
          </w:p>
        </w:tc>
        <w:tc>
          <w:tcPr>
            <w:tcW w:w="3084" w:type="dxa"/>
          </w:tcPr>
          <w:p>
            <w:pPr>
              <w:pStyle w:val="Normal"/>
            </w:pPr>
            <w:r>
              <w:rPr>
                <w:sz w:val="20"/>
                <w:szCs w:val="22"/>
                <w:lang w:val="en-US" w:eastAsia="en-US" w:bidi="ar-SA"/>
                <w:rFonts w:ascii="Times New Roman" w:hAnsi="Times New Roman" w:eastAsia="Times New Roman" w:cs="Times New Roman"/>
              </w:rPr>
              <w:t>In-game balance meter: a game variable designed to echo the stability idea, not derived from the FRA measurement.</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Obstacles</w:t>
            </w:r>
          </w:p>
        </w:tc>
        <w:tc>
          <w:tcPr>
            <w:tcW w:w="2401" w:type="dxa"/>
          </w:tcPr>
          <w:p>
            <w:pPr>
              <w:pStyle w:val="Normal"/>
            </w:pPr>
            <w:r>
              <w:rPr>
                <w:sz w:val="20"/>
                <w:szCs w:val="22"/>
                <w:lang w:val="en-US" w:eastAsia="en-US" w:bidi="ar-SA"/>
                <w:rFonts w:ascii="Times New Roman" w:hAnsi="Times New Roman" w:eastAsia="Times New Roman" w:cs="Times New Roman"/>
              </w:rPr>
              <w:t>density / spawn / despawn / collision radius</w:t>
            </w:r>
          </w:p>
        </w:tc>
        <w:tc>
          <w:tcPr>
            <w:tcW w:w="1967" w:type="dxa"/>
          </w:tcPr>
          <w:p>
            <w:pPr>
              <w:pStyle w:val="Normal"/>
            </w:pPr>
            <w:r>
              <w:rPr>
                <w:sz w:val="20"/>
                <w:szCs w:val="22"/>
                <w:lang w:val="en-US" w:eastAsia="en-US" w:bidi="ar-SA"/>
                <w:rFonts w:ascii="Times New Roman" w:hAnsi="Times New Roman" w:eastAsia="Times New Roman" w:cs="Times New Roman"/>
              </w:rPr>
              <w:t>0.4/m; 120 m / 30 m; 0.4–1.0 m</w:t>
            </w:r>
          </w:p>
        </w:tc>
        <w:tc>
          <w:tcPr>
            <w:tcW w:w="3084" w:type="dxa"/>
          </w:tcPr>
          <w:p>
            <w:pPr>
              <w:pStyle w:val="Normal"/>
            </w:pPr>
            <w:r>
              <w:rPr>
                <w:sz w:val="20"/>
                <w:szCs w:val="22"/>
                <w:lang w:val="en-US" w:eastAsia="en-US" w:bidi="ar-SA"/>
                <w:rFonts w:ascii="Times New Roman" w:hAnsi="Times New Roman" w:eastAsia="Times New Roman" w:cs="Times New Roman"/>
              </w:rPr>
              <w:t>Forces weight-shift corrections of varying amplitude across the run.</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Coins</w:t>
            </w:r>
          </w:p>
        </w:tc>
        <w:tc>
          <w:tcPr>
            <w:tcW w:w="2401" w:type="dxa"/>
          </w:tcPr>
          <w:p>
            <w:pPr>
              <w:pStyle w:val="Normal"/>
            </w:pPr>
            <w:r>
              <w:rPr>
                <w:sz w:val="20"/>
                <w:szCs w:val="22"/>
                <w:lang w:val="en-US" w:eastAsia="en-US" w:bidi="ar-SA"/>
                <w:rFonts w:ascii="Times New Roman" w:hAnsi="Times New Roman" w:eastAsia="Times New Roman" w:cs="Times New Roman"/>
              </w:rPr>
              <w:t>density / value / balance bonus</w:t>
            </w:r>
          </w:p>
        </w:tc>
        <w:tc>
          <w:tcPr>
            <w:tcW w:w="1967" w:type="dxa"/>
          </w:tcPr>
          <w:p>
            <w:pPr>
              <w:pStyle w:val="Normal"/>
            </w:pPr>
            <w:r>
              <w:rPr>
                <w:sz w:val="20"/>
                <w:szCs w:val="22"/>
                <w:lang w:val="en-US" w:eastAsia="en-US" w:bidi="ar-SA"/>
                <w:rFonts w:ascii="Times New Roman" w:hAnsi="Times New Roman" w:eastAsia="Times New Roman" w:cs="Times New Roman"/>
              </w:rPr>
              <w:t>0.3/m; 10 pts; 3 %</w:t>
            </w:r>
          </w:p>
        </w:tc>
        <w:tc>
          <w:tcPr>
            <w:tcW w:w="3084" w:type="dxa"/>
          </w:tcPr>
          <w:p>
            <w:pPr>
              <w:pStyle w:val="Normal"/>
            </w:pPr>
            <w:r>
              <w:rPr>
                <w:sz w:val="20"/>
                <w:szCs w:val="22"/>
                <w:lang w:val="en-US" w:eastAsia="en-US" w:bidi="ar-SA"/>
                <w:rFonts w:ascii="Times New Roman" w:hAnsi="Times New Roman" w:eastAsia="Times New Roman" w:cs="Times New Roman"/>
              </w:rPr>
              <w:t>Reward signal that supports learn-to-earn over score-floor framing.</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Lives</w:t>
            </w:r>
          </w:p>
        </w:tc>
        <w:tc>
          <w:tcPr>
            <w:tcW w:w="2401" w:type="dxa"/>
          </w:tcPr>
          <w:p>
            <w:pPr>
              <w:pStyle w:val="Normal"/>
            </w:pPr>
            <w:r>
              <w:rPr>
                <w:sz w:val="20"/>
                <w:szCs w:val="22"/>
                <w:lang w:val="en-US" w:eastAsia="en-US" w:bidi="ar-SA"/>
                <w:rFonts w:ascii="Times New Roman" w:hAnsi="Times New Roman" w:eastAsia="Times New Roman" w:cs="Times New Roman"/>
              </w:rPr>
              <w:t>total / cooldown / 1st-hit speed / 2nd-hit obstacle</w:t>
            </w:r>
          </w:p>
        </w:tc>
        <w:tc>
          <w:tcPr>
            <w:tcW w:w="1967" w:type="dxa"/>
          </w:tcPr>
          <w:p>
            <w:pPr>
              <w:pStyle w:val="Normal"/>
            </w:pPr>
            <w:r>
              <w:rPr>
                <w:sz w:val="20"/>
                <w:szCs w:val="22"/>
                <w:lang w:val="en-US" w:eastAsia="en-US" w:bidi="ar-SA"/>
                <w:rFonts w:ascii="Times New Roman" w:hAnsi="Times New Roman" w:eastAsia="Times New Roman" w:cs="Times New Roman"/>
              </w:rPr>
              <w:t>3 / 1.5 s / × 0.7 / × 0.4 + 60 % cleared</w:t>
            </w:r>
          </w:p>
        </w:tc>
        <w:tc>
          <w:tcPr>
            <w:tcW w:w="3084" w:type="dxa"/>
          </w:tcPr>
          <w:p>
            <w:pPr>
              <w:pStyle w:val="Normal"/>
            </w:pPr>
            <w:r>
              <w:rPr>
                <w:sz w:val="20"/>
                <w:szCs w:val="22"/>
                <w:lang w:val="en-US" w:eastAsia="en-US" w:bidi="ar-SA"/>
                <w:rFonts w:ascii="Times New Roman" w:hAnsi="Times New Roman" w:eastAsia="Times New Roman" w:cs="Times New Roman"/>
              </w:rPr>
              <w:t>Soft-fail buffer that supports the loss-free repertoire of §5.3.10.</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Difficulty</w:t>
            </w:r>
          </w:p>
        </w:tc>
        <w:tc>
          <w:tcPr>
            <w:tcW w:w="2401" w:type="dxa"/>
          </w:tcPr>
          <w:p>
            <w:pPr>
              <w:pStyle w:val="Normal"/>
            </w:pPr>
            <w:r>
              <w:rPr>
                <w:sz w:val="20"/>
                <w:szCs w:val="22"/>
                <w:lang w:val="en-US" w:eastAsia="en-US" w:bidi="ar-SA"/>
                <w:rFonts w:ascii="Times New Roman" w:hAnsi="Times New Roman" w:eastAsia="Times New Roman" w:cs="Times New Roman"/>
              </w:rPr>
              <w:t>distance step / age × ability multiplier</w:t>
            </w:r>
          </w:p>
        </w:tc>
        <w:tc>
          <w:tcPr>
            <w:tcW w:w="1967" w:type="dxa"/>
          </w:tcPr>
          <w:p>
            <w:pPr>
              <w:pStyle w:val="Normal"/>
            </w:pPr>
            <w:r>
              <w:rPr>
                <w:sz w:val="20"/>
                <w:szCs w:val="22"/>
                <w:lang w:val="en-US" w:eastAsia="en-US" w:bidi="ar-SA"/>
                <w:rFonts w:ascii="Times New Roman" w:hAnsi="Times New Roman" w:eastAsia="Times New Roman" w:cs="Times New Roman"/>
              </w:rPr>
              <w:t>+0.15 / 200 m; 0.42–1.43</w:t>
            </w:r>
          </w:p>
        </w:tc>
        <w:tc>
          <w:tcPr>
            <w:tcW w:w="3084" w:type="dxa"/>
          </w:tcPr>
          <w:p>
            <w:pPr>
              <w:pStyle w:val="Normal"/>
            </w:pPr>
            <w:r>
              <w:rPr>
                <w:sz w:val="20"/>
                <w:szCs w:val="22"/>
                <w:lang w:val="en-US" w:eastAsia="en-US" w:bidi="ar-SA"/>
                <w:rFonts w:ascii="Times New Roman" w:hAnsi="Times New Roman" w:eastAsia="Times New Roman" w:cs="Times New Roman"/>
              </w:rPr>
              <w:t>Adaptive layer (L2) intended to hold challenge within the controller thresholds for FRA-aligned cohorts; flow was not measured.</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Three properties of the integration matter for the rest of the chapter. First, the game read nothing from the InBody panel. The FRA510S exposes no application programming interface, and the attempt to integrate the developed and tested game with it failed on that point; the deployed arrangement, engineered by an engineer working with the author (initials WY; author's account, 7 October 2026), was therefore physical rather than data-level. A foot pad — a thin force-sensing-resistor (FSR) pressure-sensor mat — a generic 64 × 64-point plantar-pressure mat about 3 mm thick, with a microcontroller serial output and a stated accuracy of ±10% (vendor listing supplied by the author, Appendix G, item G.15) — was placed on top of the FRA510S footplate; the player's weight shifts loaded both surfaces at once, the mat driving the skiing game as a left/right controller, in the manner of a keyboard — its pressure values were not measured or recorded — and the footplate driving the InBody FRA measurement, each system recording its own data set (author's account, 3 October 2026). The first version of the Stage-2 build had been tested by keyboard before the mat was adopted; keyboard control was used in testing only, and no participant played by keyboard. The 'after' FRA index reported in §5.5 is accordingly the InBody FRA software's own measurement, not a value computed by the game, and the game did not read or interpret it. The mat is a generic original-equipment product, not a validated instrument, and the effect of its presence on the footplate on the load-cell reading during play was not characterised. A therapist stood beside the player throughout; when a game finished the therapist recorded the game states by hand, immediately recorded the FRA indices from the FRA system, graded them and entered them in the FRA logbook (Appendix G, item G.2). The 'before' value is a standard-mode assessment taken at first attendance, before game play (§5.5); the comprehensive score and risk-factor profile are stored on the clinician-side terminal and are never displayed on the play screen. Second, the ability-assessment form is the only point at which the participant is asked, in language they can read, about their own capability; its nine items drive the three difficulty formulas and are how the game made itself appropriate for an older-adult cohort before the first run. Third, the deployed Stage-2 game ended every run at the first obstacle collision and showed a terminal analysis screen — a failure cue of the starkest kind, without lives or a second chance. The present observations do not identify that state as the cause of non-return or establish that it measures a behavioural-economic mechanism. The loss-free, non-terminal repertoire introduced at §5.3.10 is the design response that the Stage-3 result and the Chapter 7 adaptive-learning proposal motivate; it is a proposed successor configuration whose prospective architecture is described in Chapter 7.</w:t>
      </w:r>
    </w:p>
    <w:p>
      <w:pPr>
        <w:pStyle w:val="Normal"/>
        <w:jc w:val="both"/>
      </w:pPr>
      <w:r>
        <w:rPr>
          <w:szCs w:val="22"/>
          <w:lang w:val="en-US" w:eastAsia="en-US" w:bidi="ar-SA"/>
          <w:rFonts w:ascii="Times New Roman" w:hAnsi="Times New Roman" w:eastAsia="Times New Roman" w:cs="Times New Roman"/>
          <w:sz w:val="24"/>
        </w:rPr>
        <w:t>The participant-side data outputs of the game as specified are described in §5.3.6 (data structures and telemetry); the clinician-side outputs are the InBody Comprehensive Score and risk-factor profile already specified in §4.1A. Self-report is captured by the after-game paper questionnaire completed by every participant at the end of play (the source of the satisfaction variable) and by the nine-item post-deployment interview with the sustained participants (Appendix C); symptom entries are therapist observations compiled by the researcher (§3.4). Together, the therapist's hand record of game states, the FRA system's indices read at the end of play, the after-game questionnaire and the sustained-participant interviews provide the three-ledger view (behavioural, clinical, self-reported) on which the Stage-2 analysis in §5.5–§5.7 is built.</w:t>
      </w:r>
    </w:p>
    <w:p>
      <w:pPr>
        <w:pStyle w:val="Heading2"/>
      </w:pPr>
      <w:bookmarkStart w:id="71" w:name="_Toc232024567"/>
      <w:r>
        <w:rPr>
          <w:lang w:val="en-US" w:eastAsia="en-US" w:bidi="ar-SA"/>
          <w:color w:val="000000"/>
          <w:szCs w:val="22"/>
        </w:rPr>
        <w:t>5.3 The Gamified Intervention — Skiing Game on the InBody Pressure Panel</w:t>
      </w:r>
      <w:bookmarkEnd w:id="71"/>
    </w:p>
    <w:p>
      <w:pPr>
        <w:pStyle w:val="Normal"/>
        <w:jc w:val="both"/>
      </w:pPr>
      <w:r>
        <w:rPr>
          <w:szCs w:val="22"/>
          <w:lang w:val="en-US" w:eastAsia="en-US" w:bidi="ar-SA"/>
          <w:rFonts w:ascii="Times New Roman" w:hAnsi="Times New Roman" w:eastAsia="Times New Roman" w:cs="Times New Roman"/>
          <w:sz w:val="24"/>
        </w:rPr>
        <w:t>Stage 2's central technical artefact is a browser-based 3D skiing game — Three.js with Cannon.js physics, Chinese interface — played at the InBody pressure-panel station. The game was created with generative-AI coding tools under the author's instruction and design framework — ChatGPT at first, and Anthropic Claude Code from 2025 for the later Stage-2 build generations and for the Stage-3 builds (§5.3.9); its specification of 29 August 2024, its two runnable versions and a screen recording of 15 January 2025 are deposited (Appendix G, items G.7 and G.17). Its analysis-and-recommendation module is specified as LangChain orchestration over an OpenAI endpoint, called server-side after each run in v2; v2 was the version deployed (author's account, 7 October 2026); the prompt template is deposited (item G.7), while the model version and run-time settings of the deployed configuration are not on record (§8.9). The single most important property of the system is the dual-purpose mechanic: the same physical action — a balanced shift of body weight — both controls gameplay, through a foot pad placed on the footplate, and is measured at the same moment by the InBody FRA software from the footplate beneath it; the two systems exchanged no data (§5.2A).</w:t>
      </w:r>
    </w:p>
    <w:p>
      <w:pPr>
        <w:pStyle w:val="Heading3"/>
      </w:pPr>
      <w:bookmarkStart w:id="72" w:name="_Toc232024568"/>
      <w:r>
        <w:rPr>
          <w:color w:val="000000"/>
          <w:szCs w:val="26"/>
          <w:lang w:val="en-US" w:eastAsia="en-US" w:bidi="ar-SA"/>
        </w:rPr>
        <w:t>5.3.1 The InBody Pressure Panel</w:t>
      </w:r>
      <w:bookmarkEnd w:id="72"/>
    </w:p>
    <w:p>
      <w:pPr>
        <w:pStyle w:val="Normal"/>
        <w:jc w:val="both"/>
      </w:pPr>
      <w:r>
        <w:rPr>
          <w:szCs w:val="22"/>
          <w:lang w:val="en-US" w:eastAsia="en-US" w:bidi="ar-SA"/>
          <w:rFonts w:ascii="Times New Roman" w:hAnsi="Times New Roman" w:eastAsia="Times New Roman" w:cs="Times New Roman"/>
          <w:sz w:val="24"/>
        </w:rPr>
        <w:t>The InBody pressure panel is a force-plate balance device deployed in clinical and residential settings. It measures the location and movement of the user's centre of pressure; the panel's spatial and temporal resolution are vendor properties that this thesis does not independently characterise or verify (the calibration function is treated as a black-box vendor component, §8.9). The panel was calibrated by InBody engineers as part of installation; the calibration function is treated as a fixed component for this thesis. In Stage 2 the panel served as the clinical instrument only: it produced the COP traces from which the InBody software computed the FRA index of balance. The game was controlled through a separate FSR pressure-sensor mat (§5.2A) placed on top of the footplate, which acted as a left/right controller in the manner of a keyboard's arrow keys: lateral weight shifts moved the on-screen skier, and the mat's pressure values were not measured or recorded; the FRA510S exposes no application programming interface, so the game never read the panel's measurement (author's account, 3 October 2026). No equivalence or validation study was conducted to establish that the foot pad on the footplate left the FRA measurement unimpaired, or that the two surfaces registered the same movement. The dual purpose is recorded as a physical arrangement — one weight shift, two sensing surfaces, two data sets — and mutual non-interference is not claimed as a verified result; the limits of the deployed configuration are discussed in §8.6A.</w:t>
      </w:r>
    </w:p>
    <w:p>
      <w:pPr>
        <w:pStyle w:val="Heading3"/>
      </w:pPr>
      <w:bookmarkStart w:id="73" w:name="_Toc232024569"/>
      <w:r>
        <w:rPr>
          <w:color w:val="000000"/>
          <w:szCs w:val="26"/>
          <w:lang w:val="en-US" w:eastAsia="en-US" w:bidi="ar-SA"/>
        </w:rPr>
        <w:t>5.3.2 Game Concept and Gameplay Loop</w:t>
      </w:r>
      <w:bookmarkEnd w:id="73"/>
    </w:p>
    <w:p>
      <w:pPr>
        <w:pStyle w:val="Normal"/>
        <w:jc w:val="both"/>
      </w:pPr>
      <w:r>
        <w:rPr>
          <w:szCs w:val="22"/>
          <w:lang w:val="en-US" w:eastAsia="en-US" w:bidi="ar-SA"/>
          <w:rFonts w:ascii="Times New Roman" w:hAnsi="Times New Roman" w:eastAsia="Times New Roman" w:cs="Times New Roman"/>
          <w:sz w:val="24"/>
        </w:rPr>
        <w:t>The skiing game is a 3D game, viewed from behind the skier, in which the user controls a skier descending a snow-covered slope. Three game elements interact: the skier (the user's avatar), obstacles on the slope (trees, rocks), and coins (collectible rewards, ten points each). The skier moves left and right by lateral weight shifts read through the foot pad placed on the InBody footplate (by keyboard in testing only); the user's task is to avoid obstacles while collecting coins as the slope approaches. A run ends at the first obstacle collision, after which the analysis report is shown and the game can be restarted; the game kept no attempt counter and had no lives, so the three-to-five-play protocol of §5.5 was administered by the therapist. The three-lives system and the five-trial structure summarised in Table 5.0 belong to the early Stage-3 build (§5.2A).</w:t>
      </w:r>
    </w:p>
    <w:p>
      <w:pPr>
        <w:pStyle w:val="Normal"/>
        <w:jc w:val="both"/>
      </w:pPr>
      <w:r>
        <w:rPr>
          <w:szCs w:val="22"/>
          <w:lang w:val="en-US" w:eastAsia="en-US" w:bidi="ar-SA"/>
          <w:rFonts w:ascii="Times New Roman" w:hAnsi="Times New Roman" w:eastAsia="Times New Roman" w:cs="Times New Roman"/>
          <w:sz w:val="24"/>
        </w:rPr>
        <w:t>Play proceeds in a single repeating loop. The game polls the panel sensor 60 times per second; updates the skier's location and orientation; generates and updates obstacle and coin positions; detects collisions; updates the score; redraws all game elements; and refreshes the screen at 60 frames per second. The loop continues until the user pauses, stops, or the round ends. A short, clearly framed feedback screen ends each round; clinical numbers are not displayed on this screen.</w:t>
      </w:r>
    </w:p>
    <w:p>
      <w:pPr>
        <w:pStyle w:val="Heading3"/>
      </w:pPr>
      <w:bookmarkStart w:id="74" w:name="_Toc232024570"/>
      <w:r>
        <w:rPr>
          <w:color w:val="000000"/>
          <w:szCs w:val="26"/>
          <w:lang w:val="en-US" w:eastAsia="en-US" w:bidi="ar-SA"/>
        </w:rPr>
        <w:t>5.3.3 On-Screen Display</w:t>
      </w:r>
      <w:bookmarkEnd w:id="74"/>
    </w:p>
    <w:p>
      <w:pPr>
        <w:pStyle w:val="Normal"/>
        <w:jc w:val="both"/>
      </w:pPr>
      <w:r>
        <w:rPr>
          <w:szCs w:val="22"/>
          <w:lang w:val="en-US" w:eastAsia="en-US" w:bidi="ar-SA"/>
          <w:rFonts w:ascii="Times New Roman" w:hAnsi="Times New Roman" w:eastAsia="Times New Roman" w:cs="Times New Roman"/>
          <w:sz w:val="24"/>
        </w:rPr>
        <w:t>Figure 5.1 illustrates the on-screen display. The play field shows a tapered ski trail framed by green trees, a stylised skier near the centre of the screen, scattered obstacles (brown squares representing rocks or stumps) and gold coins distributed across the trail. Two small heads-up displays are anchored at the top of the screen: a score readout in the top-left and a level readout in the top-right. The colour palette is intentionally low-contrast at the periphery and slightly more saturated at the elements that demand attention (skier, obstacles, coins). No clinical language and no clinical iconography appears on the play screen.</w:t>
      </w:r>
    </w:p>
    <w:p>
      <w:pPr>
        <w:pStyle w:val="Normal"/>
        <w:keepNext/>
        <w:spacing w:before="160" w:after="40"/>
        <w:jc w:val="center"/>
      </w:pPr>
      <w:r>
        <w:rPr>
          <w:noProof/>
        </w:rPr>
        <w:lastRenderedPageBreak/>
        <w:drawing>
          <wp:inline distT="0" distB="0" distL="0" distR="0" wp14:anchorId="3ACA3E0A" wp14:editId="7BBADCB2">
            <wp:extent cx="5120640" cy="3313355"/>
            <wp:effectExtent l="0" t="0" r="0" b="0"/>
            <wp:docPr id="4" name="Picture 4" descr="Figure 5.1. Schematic illustration of the skiing-game display."/>
            <wp:cNvGraphicFramePr>
              <a:graphicFrameLocks noChangeAspect="1"/>
            </wp:cNvGraphicFramePr>
            <a:graphic>
              <a:graphicData uri="http://schemas.openxmlformats.org/drawingml/2006/picture">
                <pic:pic>
                  <pic:nvPicPr>
                    <pic:cNvPr id="0" name="fig_5_1.png"/>
                    <pic:cNvPicPr/>
                  </pic:nvPicPr>
                  <pic:blipFill>
                    <a:blip r:embed="rId12"/>
                    <a:stretch>
                      <a:fillRect/>
                    </a:stretch>
                  </pic:blipFill>
                  <pic:spPr>
                    <a:xfrm>
                      <a:off x="0" y="0"/>
                      <a:ext cx="5120640" cy="3313355"/>
                    </a:xfrm>
                    <a:prstGeom prst="rect">
                      <a:avLst/>
                    </a:prstGeom>
                  </pic:spPr>
                </pic:pic>
              </a:graphicData>
            </a:graphic>
          </wp:inline>
        </w:drawing>
      </w:r>
    </w:p>
    <w:p>
      <w:pPr>
        <w:pStyle w:val="FigureCaption"/>
        <w:keepLines/>
        <w:jc w:val="center"/>
      </w:pPr>
      <w:bookmarkStart w:id="75" w:name="_Toc232024682"/>
      <w:bookmarkEnd w:id="75"/>
      <w:r>
        <w:rPr>
          <w:sz w:val="24"/>
          <w:szCs w:val="22"/>
          <w:lang w:val="en-US" w:eastAsia="en-US" w:bidi="ar-SA"/>
          <w:rFonts w:ascii="Times New Roman" w:hAnsi="Times New Roman" w:eastAsia="Times New Roman" w:cs="Times New Roman"/>
          <w:i/>
          <w:b/>
        </w:rPr>
        <w:t>Figure 5.1. Schematic illustration of the skiing-game display. The skier is steered left and right by weight shift; trees and rocks represent obstacles, coins reward forward play, and level and score indicators illustrate the intended interface. The drawing is explanatory and is not a captured game screen or a participant outcome record.</w:t>
      </w:r>
    </w:p>
    <w:p>
      <w:pPr>
        <w:pStyle w:val="Normal"/>
        <w:keepNext/>
      </w:pPr>
      <w:r>
        <w:drawing>
          <wp:inline>
            <wp:extent cx="2651760" cy="4714240"/>
            <wp:docPr id="30" name="Picture 30" descr="Figure 5.1A. The platform-game coupling demonstrated: one of two control persons steers the skiing-game prototype by weight shift on the balance platform (development office, 27 August 2024; frame from the archived video, Appendix G, item G.10; the written consent of the person shown is not on file at 30 September 2026)."/>
            <wp:cNvGraphicFramePr>
              <a:graphicFrameLocks noChangeAspect="1"/>
            </wp:cNvGraphicFramePr>
            <a:graphic>
              <a:graphicData uri="http://schemas.openxmlformats.org/drawingml/2006/picture">
                <pic:pic>
                  <pic:nvPicPr>
                    <pic:cNvPr id="0" name="fig_5_1A_candidate_platform_demo.jpg"/>
                    <pic:cNvPicPr/>
                  </pic:nvPicPr>
                  <pic:blipFill>
                    <a:blip r:embed="rId39"/>
                    <a:stretch>
                      <a:fillRect/>
                    </a:stretch>
                  </pic:blipFill>
                  <pic:spPr>
                    <a:xfrm>
                      <a:off x="0" y="0"/>
                      <a:ext cx="2651760" cy="471424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5.1A. The platform-game coupling demonstrated: one of two control persons steers the skiing-game prototype by weight shift on the balance platform (development office, 27 August 2024; frame from the archived video, Appendix G, item G.10; the written consent of the person shown is not on file at 30 September 2026). Photography of study participants was not permitted under the residential facility's privacy rules, so no participant play imagery exists; this development-phase demonstration stands in its place.</w:t>
      </w:r>
    </w:p>
    <w:p>
      <w:pPr>
        <w:pStyle w:val="Normal"/>
        <w:keepNext/>
      </w:pPr>
      <w:r>
        <w:drawing>
          <wp:inline>
            <wp:extent cx="4937760" cy="5712160"/>
            <wp:docPr id="29" name="Picture 29" descr="Figure 5.1B. Successor-build illustration of the game artefact across difficulty levels 1–5 (screenshots from the programme's archived successor build in the same design lineage as the Stage-2 deployment, not from the deployed Stage-2 build)."/>
            <wp:cNvGraphicFramePr>
              <a:graphicFrameLocks noChangeAspect="1"/>
            </wp:cNvGraphicFramePr>
            <a:graphic>
              <a:graphicData uri="http://schemas.openxmlformats.org/drawingml/2006/picture">
                <pic:pic>
                  <pic:nvPicPr>
                    <pic:cNvPr id="0" name="fig_5_1B.png"/>
                    <pic:cNvPicPr/>
                  </pic:nvPicPr>
                  <pic:blipFill>
                    <a:blip r:embed="rId38"/>
                    <a:stretch>
                      <a:fillRect/>
                    </a:stretch>
                  </pic:blipFill>
                  <pic:spPr>
                    <a:xfrm>
                      <a:off x="0" y="0"/>
                      <a:ext cx="4937760" cy="571216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5.1B. Successor-build illustration of the game artefact across difficulty levels 1–5 (screenshots from the programme's archived successor build in the same design lineage as the Stage-2 deployment, not from the deployed Stage-2 build). Obstacle spawn rate scales with the difficulty multiplier (×0.40 to ×1.40), stones become more frequent relative to trees, and boulder pairs appear from Level 3 upward; the skier is steered by lateral weight shift and coins reward forward play.</w:t>
      </w:r>
    </w:p>
    <w:p>
      <w:pPr>
        <w:pStyle w:val="Heading3"/>
      </w:pPr>
      <w:bookmarkStart w:id="76" w:name="_Toc232024571"/>
      <w:r>
        <w:rPr>
          <w:color w:val="000000"/>
          <w:szCs w:val="26"/>
          <w:lang w:val="en-US" w:eastAsia="en-US" w:bidi="ar-SA"/>
        </w:rPr>
        <w:t>5.3.4 Five-Layer Architecture</w:t>
      </w:r>
      <w:bookmarkEnd w:id="76"/>
    </w:p>
    <w:p>
      <w:pPr>
        <w:pStyle w:val="Normal"/>
        <w:jc w:val="both"/>
      </w:pPr>
      <w:r>
        <w:rPr>
          <w:szCs w:val="22"/>
          <w:lang w:val="en-US" w:eastAsia="en-US" w:bidi="ar-SA"/>
          <w:rFonts w:ascii="Times New Roman" w:hAnsi="Times New Roman" w:eastAsia="Times New Roman" w:cs="Times New Roman"/>
          <w:sz w:val="24"/>
        </w:rPr>
        <w:t>The system is organised into five layers, each with a distinct responsibility. Figure 5.2 summarises the architecture. Layer 0 (Input) is the control input: in the deployed Stage-2 build an FSR pressure-sensor mat placed on the footplate and read over a serial connection as a left/right controller, in the manner of a keyboard (keyboard in the first tested version); the mat's pressure values were not measured, and the FRA510S exposes no application programming interface (§5.2A). Layer 1 (Game Engine) is the Three.js skiing scene with Cannon.js physics; it consumes the control input and produces frame-by-frame game state. Layer 2 (AI component) is, in the deployed Stage-2 game, the post-game analysis-and-recommendation module: in v1 a rule-based report generated in the page, in v2 a server-side LangChain call over the OpenAI API whose prompt template is deposited (item G.7); difficulty itself was set once before each run by the three formulas of §5.2A, and no in-run adaptation operated in Stage 2 — the in-run rule agent with its 80%/40% success-rate thresholds belongs to the Stage-3 builds (Appendix I). v2 was the version deployed (author's account, 7 October 2026), and a development recording of 14 January 2025 shows its server-side report being returned (item G.17); whether the call completed in each deployed session, and the model version and run-time settings, are not on record, so no operational claim is made for the model call in the deployed sessions (§5.3.5). Layer 3 (Logging) is, in the deployed game, the in-memory run statistics (duration, score, coins, obstacles avoided) that feed the analysis report; nothing was written to disk, no log was retained, and Stage-2 play was recorded by hand at the centre (§5.2A, §8.9), so no claim in this thesis rests on game telemetry. Layer 4 (Clinical Output) is the InBody FRA measurement running in parallel on the footplate beneath the mat: it is not part of the game software, received no data from it, and its index was read by the therapist from the InBody terminal (§5.2A). The clinical layer (L4) ran beside, not from, the game.</w:t>
      </w:r>
    </w:p>
    <w:p>
      <w:pPr>
        <w:pStyle w:val="Normal"/>
        <w:keepNext/>
        <w:spacing w:before="160" w:after="40"/>
        <w:jc w:val="center"/>
      </w:pPr>
      <w:r>
        <w:drawing>
          <wp:inline>
            <wp:extent cx="5120640" cy="3220933"/>
            <wp:docPr id="21" name="Picture 21" descr="Figure 5.2." title=""/>
            <wp:cNvGraphicFramePr>
              <a:graphicFrameLocks noChangeAspect="1"/>
            </wp:cNvGraphicFramePr>
            <a:graphic>
              <a:graphicData uri="http://schemas.openxmlformats.org/drawingml/2006/picture">
                <pic:pic>
                  <pic:nvPicPr>
                    <pic:cNvPr id="0" name="fig_5_2.png"/>
                    <pic:cNvPicPr/>
                  </pic:nvPicPr>
                  <pic:blipFill>
                    <a:blip r:embed="rId30"/>
                    <a:stretch>
                      <a:fillRect/>
                    </a:stretch>
                  </pic:blipFill>
                  <pic:spPr>
                    <a:xfrm>
                      <a:off x="0" y="0"/>
                      <a:ext cx="5120640" cy="3220933"/>
                    </a:xfrm>
                    <a:prstGeom prst="rect"/>
                  </pic:spPr>
                </pic:pic>
              </a:graphicData>
            </a:graphic>
          </wp:inline>
        </w:drawing>
      </w:r>
    </w:p>
    <w:p>
      <w:pPr>
        <w:pStyle w:val="FigureCaption"/>
        <w:keepLines/>
        <w:jc w:val="center"/>
      </w:pPr>
      <w:bookmarkStart w:id="77" w:name="_Toc232024683"/>
      <w:r>
        <w:rPr>
          <w:sz w:val="24"/>
          <w:szCs w:val="22"/>
          <w:lang w:val="en-US" w:eastAsia="en-US" w:bidi="ar-SA"/>
          <w:rFonts w:ascii="Times New Roman" w:hAnsi="Times New Roman" w:eastAsia="Times New Roman" w:cs="Times New Roman"/>
          <w:i/>
          <w:b/>
        </w:rPr>
        <w:t>Figure 5.2. Stage-2 architecture: the game's layers L0–L3 and the InBody measurement (L4) that ran in parallel. Difficulty was set once before each run from the ability form; the large-language-model component was the post-game analysis module of v2. The solid arrows show the layer stack order only; the data movement between game layers is described in §5.3.4. No data passed between the game and the InBody system: the mat input (L0) drove play, the footplate beneath it drove the InBody measurement, and the two records were joined only by the therapist's hand record (§5.2A); clinical numbers were never shown on the play screen.</w:t>
      </w:r>
      <w:bookmarkEnd w:id="77"/>
    </w:p>
    <w:p>
      <w:pPr>
        <w:pStyle w:val="Heading3"/>
      </w:pPr>
      <w:bookmarkStart w:id="78" w:name="_Toc232024572"/>
      <w:r>
        <w:rPr>
          <w:color w:val="000000"/>
          <w:szCs w:val="26"/>
          <w:lang w:val="en-US" w:eastAsia="en-US" w:bidi="ar-SA"/>
        </w:rPr>
        <w:t>5.3.5 Automatic Difficulty Adjustment System</w:t>
      </w:r>
      <w:bookmarkEnd w:id="78"/>
    </w:p>
    <w:p>
      <w:pPr>
        <w:pStyle w:val="Normal"/>
        <w:jc w:val="both"/>
      </w:pPr>
      <w:r>
        <w:rPr>
          <w:szCs w:val="22"/>
          <w:lang w:val="en-US" w:eastAsia="en-US" w:bidi="ar-SA"/>
          <w:rFonts w:ascii="Times New Roman" w:hAnsi="Times New Roman" w:eastAsia="Times New Roman" w:cs="Times New Roman"/>
          <w:sz w:val="24"/>
        </w:rPr>
        <w:t>The difficulty-adjustment and analysis functions of the deployed Stage-2 game are described from its specification of 29 August 2024 and its code (Appendix G, item G.7). The specification states the aim — a game that "collects and analyses users' physical condition and reaction ability data, customises personalised game difficulty for elderly users" and, after the game, "provides a detailed analysis report" using "large model technology" — and lists the ability indicators the form collects (age, sex, single-leg standing time, sit-to-stand count, pace, reaction time, gait-stability ratings) together with in-game indicators the analysis may use (correct-response rate, mean, maximum and minimum reaction time, left and right leg strength and their symmetry). In the code as deposited, difficulty is set before the run by the three formulas of §5.2A, not by the model; the model is called only after the run, in v2, through a server-side module built on LangChain over the OpenAI API, with the run statistics and the form as input and the five-part report (game performance, personal analysis, game suggestions, rehabilitation advice, body parts to strengthen) as output. The prompt that produces that report is reproduced in the specification's appendix and is deposited with it.</w:t>
      </w:r>
    </w:p>
    <w:p>
      <w:pPr>
        <w:pStyle w:val="Normal"/>
        <w:jc w:val="both"/>
      </w:pPr>
      <w:r>
        <w:rPr>
          <w:szCs w:val="22"/>
          <w:lang w:val="en-US" w:eastAsia="en-US" w:bidi="ar-SA"/>
          <w:rFonts w:ascii="Times New Roman" w:hAnsi="Times New Roman" w:eastAsia="Times New Roman" w:cs="Times New Roman"/>
          <w:sz w:val="24"/>
        </w:rPr>
        <w:t>No in-session difficulty rule operated in the Stage-2 game: a run's difficulty was fixed when the form was submitted, and the first collision ended the run. The in-run rule that steps difficulty up above an 80% success rate and down below 40% appears first in the Stage-3 builds, as their built-in rule agent (§6.4, Appendix I), and the Stage-3B component-study builds carried the same thresholds in the adaptive arm; no comparison is computed from the returns in that record and no confirmatory analysis is reported, so the thresholds' effects on performance, burden and return remain unexamined. For Stage 2, v2 was the version deployed (author's account, 7 October 2026); whether the server-side call completed in each session, and the model version and run-time settings, are not on record (Appendix G, items G.0A and G.7; §8.9); the model call is reported here as specified and as deposited in code, and no operational claim is made for it in the deployed sessions.</w:t>
      </w:r>
    </w:p>
    <w:p>
      <w:pPr>
        <w:pStyle w:val="Heading3"/>
      </w:pPr>
      <w:bookmarkStart w:id="79" w:name="_Toc232024573"/>
      <w:r>
        <w:rPr>
          <w:color w:val="000000"/>
          <w:szCs w:val="26"/>
          <w:lang w:val="en-US" w:eastAsia="en-US" w:bidi="ar-SA"/>
        </w:rPr>
        <w:t>5.3.6 Data Structures and Telemetry</w:t>
      </w:r>
      <w:bookmarkEnd w:id="79"/>
    </w:p>
    <w:p>
      <w:pPr>
        <w:pStyle w:val="Normal"/>
        <w:jc w:val="both"/>
      </w:pPr>
      <w:r>
        <w:rPr>
          <w:szCs w:val="22"/>
          <w:lang w:val="en-US" w:eastAsia="en-US" w:bidi="ar-SA"/>
          <w:rFonts w:ascii="Times New Roman" w:hAnsi="Times New Roman" w:eastAsia="Times New Roman" w:cs="Times New Roman"/>
          <w:sz w:val="24"/>
        </w:rPr>
        <w:t>The system records data along three dimensions, summarised in Table 5.1; the dimensions describe the data structure as specified, and every Stage-2 statistic in §5.5 derives from the analysis file stage2_clean.csv (Appendix G, item G.2), not from Layer-3 output (§8.9). The user dimension captures stable personal characteristics. The game dimension captures session-level configuration. The result dimension captures session-level outcomes. The three dimensions follow the data-structure section of the 29 August 2024 specification (item G.7).</w:t>
      </w:r>
    </w:p>
    <w:p>
      <w:pPr>
        <w:pStyle w:val="FigureCaption"/>
        <w:keepNext/>
        <w:keepLines/>
        <w:jc w:val="center"/>
      </w:pPr>
      <w:bookmarkStart w:id="80" w:name="_Toc232024698"/>
      <w:r>
        <w:rPr>
          <w:sz w:val="24"/>
          <w:szCs w:val="22"/>
          <w:lang w:val="en-US" w:eastAsia="en-US" w:bidi="ar-SA"/>
          <w:rFonts w:ascii="Times New Roman" w:hAnsi="Times New Roman" w:eastAsia="Times New Roman" w:cs="Times New Roman"/>
          <w:i/>
          <w:b/>
        </w:rPr>
        <w:t>Table 5.1. Skiing game data structure summary.</w:t>
      </w:r>
      <w:bookmarkEnd w:id="80"/>
    </w:p>
    <w:tbl>
      <w:tblPr>
        <w:tblStyle w:val="TableGrid"/>
        <w:tblW w:w="8505" w:type="dxa"/>
        <w:jc w:val="center"/>
        <w:tblLayout w:type="fixed"/>
        <w:tblLook w:val="04A0" w:firstRow="1" w:lastRow="0" w:firstColumn="1" w:lastColumn="0" w:noHBand="0" w:noVBand="1"/>
      </w:tblPr>
      <w:tblGrid>
        <w:gridCol w:w="1467"/>
        <w:gridCol w:w="7038"/>
      </w:tblGrid>
      <w:tr>
        <w:trPr>
          <w:jc w:val="center"/>
          <w:tblHeader/>
          <w:cantSplit/>
        </w:trPr>
        <w:tc>
          <w:tcPr>
            <w:tcW w:w="1467" w:type="dxa"/>
          </w:tcPr>
          <w:p>
            <w:pPr>
              <w:pStyle w:val="Normal"/>
              <w:keepNext w:val="0"/>
              <w:keepLines/>
            </w:pPr>
            <w:r>
              <w:rPr>
                <w:b/>
                <w:sz w:val="18"/>
                <w:szCs w:val="22"/>
                <w:lang w:val="en-US" w:eastAsia="en-US" w:bidi="ar-SA"/>
                <w:rFonts w:ascii="Times New Roman" w:hAnsi="Times New Roman" w:eastAsia="Times New Roman" w:cs="Times New Roman"/>
              </w:rPr>
              <w:t>Dimension</w:t>
            </w:r>
          </w:p>
        </w:tc>
        <w:tc>
          <w:tcPr>
            <w:tcW w:w="7038" w:type="dxa"/>
          </w:tcPr>
          <w:p>
            <w:pPr>
              <w:pStyle w:val="Normal"/>
              <w:keepNext w:val="0"/>
              <w:keepLines/>
            </w:pPr>
            <w:r>
              <w:rPr>
                <w:b/>
                <w:sz w:val="18"/>
                <w:szCs w:val="22"/>
                <w:lang w:val="en-US" w:eastAsia="en-US" w:bidi="ar-SA"/>
                <w:rFonts w:ascii="Times New Roman" w:hAnsi="Times New Roman" w:eastAsia="Times New Roman" w:cs="Times New Roman"/>
              </w:rPr>
              <w:t>Fields</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User</w:t>
            </w:r>
          </w:p>
        </w:tc>
        <w:tc>
          <w:tcPr>
            <w:tcW w:w="7038" w:type="dxa"/>
          </w:tcPr>
          <w:p>
            <w:pPr>
              <w:pStyle w:val="Normal"/>
            </w:pPr>
            <w:r>
              <w:rPr>
                <w:sz w:val="20"/>
                <w:szCs w:val="22"/>
                <w:lang w:val="en-US" w:eastAsia="en-US" w:bidi="ar-SA"/>
                <w:rFonts w:ascii="Times New Roman" w:hAnsi="Times New Roman" w:eastAsia="Times New Roman" w:cs="Times New Roman"/>
              </w:rPr>
              <w:t>Unique device identifier; age; sex; physical condition; vision and hearing status; cognitive function status; medications; lower-limb strength baseline; balance baseline</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Game</w:t>
            </w:r>
          </w:p>
        </w:tc>
        <w:tc>
          <w:tcPr>
            <w:tcW w:w="7038" w:type="dxa"/>
          </w:tcPr>
          <w:p>
            <w:pPr>
              <w:pStyle w:val="Normal"/>
            </w:pPr>
            <w:r>
              <w:rPr>
                <w:sz w:val="20"/>
                <w:szCs w:val="22"/>
                <w:lang w:val="en-US" w:eastAsia="en-US" w:bidi="ar-SA"/>
                <w:rFonts w:ascii="Times New Roman" w:hAnsi="Times New Roman" w:eastAsia="Times New Roman" w:cs="Times New Roman"/>
              </w:rPr>
              <w:t>Session identifier; difficulty level (1–5); game type; session duration; stimulus type (visual, auditory); stimulus presentation speed and frequency; user response type (weight shift via the input device)</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Result</w:t>
            </w:r>
          </w:p>
        </w:tc>
        <w:tc>
          <w:tcPr>
            <w:tcW w:w="7038" w:type="dxa"/>
          </w:tcPr>
          <w:p>
            <w:pPr>
              <w:pStyle w:val="Normal"/>
            </w:pPr>
            <w:r>
              <w:rPr>
                <w:sz w:val="20"/>
                <w:szCs w:val="22"/>
                <w:lang w:val="en-US" w:eastAsia="en-US" w:bidi="ar-SA"/>
                <w:rFonts w:ascii="Times New Roman" w:hAnsi="Times New Roman" w:eastAsia="Times New Roman" w:cs="Times New Roman"/>
              </w:rPr>
              <w:t>Correct response rate; average reaction time; maximum and minimum reaction time; left- and right-leg strength; symmetry of leg strength; fatigue rate; game score; star rating</w:t>
            </w:r>
          </w:p>
        </w:tc>
      </w:tr>
    </w:tbl>
    <w:p>
      <w:pPr>
        <w:pStyle w:val="Normal"/>
        <w:spacing w:after="40"/>
      </w:pPr>
    </w:p>
    <w:p>
      <w:pPr>
        <w:pStyle w:val="Heading3"/>
      </w:pPr>
      <w:bookmarkStart w:id="81" w:name="_Toc232024574"/>
      <w:r>
        <w:rPr>
          <w:color w:val="000000"/>
          <w:szCs w:val="26"/>
          <w:lang w:val="en-US" w:eastAsia="en-US" w:bidi="ar-SA"/>
        </w:rPr>
        <w:t>5.3.7 Sample User Profile</w:t>
      </w:r>
      <w:bookmarkEnd w:id="81"/>
    </w:p>
    <w:p>
      <w:pPr>
        <w:pStyle w:val="Normal"/>
        <w:jc w:val="both"/>
      </w:pPr>
      <w:r>
        <w:rPr>
          <w:szCs w:val="22"/>
          <w:lang w:val="en-US" w:eastAsia="en-US" w:bidi="ar-SA"/>
          <w:rFonts w:ascii="Times New Roman" w:hAnsi="Times New Roman" w:eastAsia="Times New Roman" w:cs="Times New Roman"/>
          <w:sz w:val="24"/>
        </w:rPr>
        <w:t>As a worked example, the system was tested on a synthetic profile of a 72-year-old female user with average overall physical condition, poor balance, slow reaction speed, weak lower-limb strength, and limited recent exercise. The profile included hypertension and osteoarthritis, antihypertensive and analgesic medication, mild vision and hearing decline, and possible mild cognitive impairment. The specification's test data for this profile give a single-leg standing time of 12 seconds, 15 sit-to-stand repetitions, a pace of 3 m/s, a reaction time of 300 ms, gait-stability ratings of 8, 6 and 5, a correct-response rate of 0.6, a mean reaction time of 2 seconds (maximum 3, minimum 1.5), leg strengths of 30 and 35 kg and a symmetry of 0.86. The difficulty module returned a medium overall difficulty with medium settings for obstacles, speed and balance, each with a one-sentence rationale, and the analysis module returned the five-part report, reading the 2-second reaction time as normal for a 72-year-old and the 60% correct-response rate as room for improvement. The profile illustrates the system's intended behaviour: difficulty calibration is conservative; explanations are plain; recommendations are concrete and personalised. The profile is synthetic test data from the specification (Appendix G, item G.7); it is not a study participant.</w:t>
      </w:r>
    </w:p>
    <w:p>
      <w:pPr>
        <w:pStyle w:val="Heading3"/>
      </w:pPr>
      <w:bookmarkStart w:id="82" w:name="_Toc232024575"/>
      <w:r>
        <w:rPr>
          <w:color w:val="000000"/>
          <w:szCs w:val="26"/>
          <w:lang w:val="en-US" w:eastAsia="en-US" w:bidi="ar-SA"/>
        </w:rPr>
        <w:t>5.3.8 Why a Skiing Game?</w:t>
      </w:r>
      <w:bookmarkEnd w:id="82"/>
    </w:p>
    <w:p>
      <w:pPr>
        <w:jc w:val="both"/>
      </w:pPr>
      <w:r>
        <w:t>The game's lineage is industrial. InBody's own balance games had been installed on the facility's FRA in 2022 (the platform's training mode; InBody Co., Ltd., 2022), and the skiing game was developed by the author in 2023 for the Poly Group centres with those installed games as its starting point - retaining the platform's sensing pathway while replacing the presentation, reward structure and session format with the design described in this chapter.</w:t>
      </w:r>
    </w:p>
    <w:p>
      <w:pPr>
        <w:pStyle w:val="Normal"/>
        <w:jc w:val="both"/>
      </w:pPr>
      <w:r>
        <w:rPr>
          <w:szCs w:val="22"/>
          <w:lang w:val="en-US" w:eastAsia="en-US" w:bidi="ar-SA"/>
          <w:rFonts w:ascii="Times New Roman" w:hAnsi="Times New Roman" w:eastAsia="Times New Roman" w:cs="Times New Roman"/>
          <w:sz w:val="24"/>
        </w:rPr>
        <w:t>The skiing metaphor was selected for three reasons. First, the lateral-shift control mapping is natural: the weight shift required to lean a skier matches the weight shift required to maintain dynamic balance, so the gameplay action and the clinical measurement are the same bodily movement, read by two sensing surfaces (§5.2A). Second, the skiing metaphor is culturally accessible across the Stage-2 cohort: the skiing metaphor was judged at design time to be culturally accessible for the Stage-2 cohort, winter sports being a widely televised genre; participants' prior familiarity with winter sports and any need for genre-specific instruction were not recorded, so this is a design rationale rather than an observed finding. Third, the trail-scrolling visual provides an intrinsic forward-motion cue that does not require the user to read distance or score, reducing the cognitive load on participants with mild visual or attentional impairment.</w:t>
      </w:r>
    </w:p>
    <w:p>
      <w:pPr>
        <w:pStyle w:val="Normal"/>
        <w:jc w:val="both"/>
      </w:pPr>
      <w:r>
        <w:rPr>
          <w:szCs w:val="22"/>
          <w:lang w:val="en-US" w:eastAsia="en-US" w:bidi="ar-SA"/>
          <w:rFonts w:ascii="Times New Roman" w:hAnsi="Times New Roman" w:eastAsia="Times New Roman" w:cs="Times New Roman"/>
          <w:sz w:val="24"/>
        </w:rPr>
        <w:t>The choice of metaphor matters for Stage 3, but the skiing metaphor itself is not the principal design lever under examination. Stage 3 retains the broad skiing mechanic while changing the participant-facing clinical cues and the delivery platform; input was through the keyboard, or a foot-pad sensor where available (§6.4). The comparison therefore reduces some artefact-level variation but does not isolate framing from all procedural, interface, cohort and contextual differences.</w:t>
      </w:r>
    </w:p>
    <w:p>
      <w:pPr>
        <w:pStyle w:val="Heading3"/>
      </w:pPr>
      <w:bookmarkStart w:id="83" w:name="_Toc232024576"/>
      <w:r>
        <w:rPr>
          <w:color w:val="000000"/>
          <w:szCs w:val="26"/>
          <w:lang w:val="en-US" w:eastAsia="en-US" w:bidi="ar-SA"/>
        </w:rPr>
        <w:t>5.3.9 Development Methodology and Tooling</w:t>
      </w:r>
      <w:bookmarkEnd w:id="83"/>
    </w:p>
    <w:p>
      <w:pPr>
        <w:pStyle w:val="Normal"/>
        <w:jc w:val="both"/>
      </w:pPr>
      <w:r>
        <w:rPr>
          <w:szCs w:val="22"/>
          <w:lang w:val="en-US" w:eastAsia="en-US" w:bidi="ar-SA"/>
          <w:rFonts w:ascii="Times New Roman" w:hAnsi="Times New Roman" w:eastAsia="Times New Roman" w:cs="Times New Roman"/>
          <w:sz w:val="24"/>
        </w:rPr>
        <w:t>The development tooling is stated here on the author's account of 3 October 2026, because the method by which an artefact was built belongs to an action-research record and because the record of this programme has been corrected on this point. The Stage-2 skiing game — a browser game in Three.js with Cannon.js physics — was created with generative-AI coding tools under the author's instruction and design framework, taking the manufacturer's installed games as the starting point (§5.3.8): the author specified the game in natural language within a working framework of specifications, and the code was generated and corrected by prompting ChatGPT; the model version used is not on record, and no prompt, revision log or test script from this period is deposited. Anthropic Claude Code, a command-line tool that lets a developer delegate coding tasks to a Claude model with access to the local file system, was used from 2025, when it became available, for the later Stage-2 build generations before the June–August 2025 deployment, for the Stage-3 HTML builds, and for the zero-failure, non-terminal game-state designs reported in §5.3.10 and Appendix I (Appendix G, item G.0A). The vehicle is documented because it shaped what was built and how quickly the design could be revised, not as a contribution in its own right.</w:t>
      </w:r>
    </w:p>
    <w:p>
      <w:pPr>
        <w:jc w:val="both"/>
      </w:pPr>
      <w:r>
        <w:t>A chronology note is required for the auditability of this account. Development of the skiing games began in 2023, whereas Claude Code became available as a research preview only in February 2025; the Claude Code account therefore applies to the build generations engineered from 2025 onward, which include the later Stage-2 generations and the Stage-3 builds, and not to the 2023–2024 origin of the Stage-2 game, which was generated and corrected through ChatGPT under the author's instruction. The Stage-2 game itself dates from this period: its specification of 29 August 2024, its code print of 30 August 2024 and its two runnable versions are deposited (Appendix G, item G.7), a screen recording of 15 January 2025 shows it five months before deployment (item G.17), and the input-coupling demonstration of item G.10 was made in the same week as the specification. Per-generation development dates and tooling are stated in the build-lineage matrix (Appendix G, item G.0A), and no tooling claim is made for any generation beyond that record.</w:t>
      </w:r>
    </w:p>
    <w:p>
      <w:pPr>
        <w:pStyle w:val="Normal"/>
        <w:jc w:val="both"/>
      </w:pPr>
      <w:r>
        <w:rPr>
          <w:szCs w:val="22"/>
          <w:lang w:val="en-US" w:eastAsia="en-US" w:bidi="ar-SA"/>
          <w:rFonts w:ascii="Times New Roman" w:hAnsi="Times New Roman" w:eastAsia="Times New Roman" w:cs="Times New Roman"/>
          <w:sz w:val="24"/>
        </w:rPr>
        <w:t>The platform-to-game input coupling was checked on an off-the-shelf scaffold, separately from the study game's own code. In the earliest development phase the balance platform was connected to the open-source Tux Racer skiing game — a 3D title in which a penguin slides belly-down over a snow slope collecting fish — so that weight-shift steering could be shown end-to-end without depending on the study game's code. Two contemporaneous videos, recorded at the development office on 27 August 2024 and held in the study archive (Appendix G, item G.10), show one of two control persons steering this prototype by weight shift alone. The deployed Stage-2 game described in this chapter is a separate implementation: the Three.js browser game, with a human skier in place of the scaffold's penguin. The open-source scaffold contributed no code to the deployed build; its role — checking the input coupling independently of the custom build — is recorded here so that the development lineage is complete.</w:t>
      </w:r>
    </w:p>
    <w:p>
      <w:pPr>
        <w:pStyle w:val="Normal"/>
        <w:jc w:val="both"/>
      </w:pPr>
      <w:r>
        <w:rPr>
          <w:szCs w:val="22"/>
          <w:lang w:val="en-US" w:eastAsia="en-US" w:bidi="ar-SA"/>
          <w:rFonts w:ascii="Times New Roman" w:hAnsi="Times New Roman" w:eastAsia="Times New Roman" w:cs="Times New Roman"/>
          <w:sz w:val="24"/>
        </w:rPr>
        <w:t>Testing of the Stage-2 game was by play. Each change was run on the test rig and judged from the screen, first with keyboard control and later with the pressure mat (§5.2A); a scripted test of the game logic was run once during development, and no test script or result from it is deposited; the integration with the FRA station — the pressure mat and its reading as arrow keys — was the work of an engineer collaborating with the author (initials WY), on whose computer the January 2025 recordings of item G.17 were captured. The game moved through approximately fifteen design iterations between the first runnable prototype and the version deployed in Stage 2, by the author's count; the count is author-reported and is not verified by any repository artifact, since no Stage-2 build file is deposited (Appendix G, item G.0A). The observations that drove the iterations were of the kind a test session yields — scrolling speed too high for older users, obstacle spacing producing impossible gaps, coin reward salience too low against the snow background — and are stated as the author's recollection, not as a logged list.</w:t>
      </w:r>
    </w:p>
    <w:p>
      <w:pPr>
        <w:pStyle w:val="Normal"/>
        <w:jc w:val="both"/>
      </w:pPr>
      <w:r>
        <w:rPr>
          <w:szCs w:val="22"/>
          <w:lang w:val="en-US" w:eastAsia="en-US" w:bidi="ar-SA"/>
          <w:rFonts w:ascii="Times New Roman" w:hAnsi="Times New Roman" w:eastAsia="Times New Roman" w:cs="Times New Roman"/>
          <w:sz w:val="24"/>
        </w:rPr>
        <w:t>Two methodological points follow. First, the AI tooling did not change the engineering content of the system. The layered architecture, the paired-task arrangement at the FRA station, the weight-shift-to-control mapping and the difficulty-adjustment logic are engineering decisions that an experienced developer would make with or without AI assistance; what the tooling changed was the speed at which a decision could be tried. Second, the use of AI tools to build a system that itself specifies an AI subsystem (the LangChain plus large-language-model adaptation layer in Layer 2) does not collapse into a circular dependence: the tools (ChatGPT, then Claude Code) were used at design time, under the author's instruction, to produce and correct code, whereas the Layer 2 model is specified to run at run time, by the system, to recommend difficulty parameters, and its operational status in the deployed Stage-2 build is not on record (§5.3.5).</w:t>
      </w:r>
    </w:p>
    <w:p>
      <w:pPr>
        <w:pStyle w:val="Normal"/>
        <w:jc w:val="both"/>
      </w:pPr>
      <w:r>
        <w:rPr>
          <w:szCs w:val="22"/>
          <w:lang w:val="en-US" w:eastAsia="en-US" w:bidi="ar-SA"/>
          <w:rFonts w:ascii="Times New Roman" w:hAnsi="Times New Roman" w:eastAsia="Times New Roman" w:cs="Times New Roman"/>
          <w:sz w:val="24"/>
        </w:rPr>
        <w:t>The AI-assisted workflow is documented for reproducibility, not offered as a contribution in its own right: the AI tooling is an enabling technology, and the contribution it enabled is the behavioural design framework. Engineering doctoral programmes increasingly involve software components whose construction is itself an act of design. Documenting the vehicle by which the artefact was built, alongside the artefact itself, makes the action research more reproducible and clarifies which engineering decisions belong to the author and which were accelerated by tooling. The use of generative AI in this programme, in development and in the preparation of this thesis, is declared in the University's required form at submission.</w:t>
      </w:r>
    </w:p>
    <w:p>
      <w:pPr>
        <w:pStyle w:val="Heading3"/>
      </w:pPr>
      <w:bookmarkStart w:id="84" w:name="_Toc232024577"/>
      <w:r>
        <w:rPr>
          <w:color w:val="000000"/>
          <w:szCs w:val="26"/>
          <w:lang w:val="en-US" w:eastAsia="en-US" w:bidi="ar-SA"/>
        </w:rPr>
        <w:t>5.3.10 Dynamic Game States: An Agentic-AI-Driven, Loss-Free Game Mechanic (Secondary Contribution)</w:t>
      </w:r>
      <w:bookmarkEnd w:id="84"/>
    </w:p>
    <w:p>
      <w:pPr>
        <w:pStyle w:val="Normal"/>
        <w:jc w:val="both"/>
      </w:pPr>
      <w:r>
        <w:rPr>
          <w:szCs w:val="22"/>
          <w:lang w:val="en-US" w:eastAsia="en-US" w:bidi="ar-SA"/>
          <w:rFonts w:ascii="Times New Roman" w:hAnsi="Times New Roman" w:eastAsia="Times New Roman" w:cs="Times New Roman"/>
          <w:sz w:val="24"/>
        </w:rPr>
        <w:t>The skiing-game specification reported in §5.3.1 to §5.3.9 was sufficient for the empirical Stage-2 deployment, but it ended every run at the first obstacle collision with a terminal analysis screen, and set difficulty once before play. In response to the theoretical analysis, this subsection proposes a dynamic game-state architecture with non-terminal recovery, mastery, narrative and reframe states. The objective is to reduce verdict-like failure cues while preserving challenge, truthful feedback and the underlying clinical measurement path. This architecture is a prospective secondary design contribution. It was not deployed in Stage 2, and no claim is made here that it prevents FIAS or eliminates non-return. The Stage-2 evidence gives the proposal its force: the deployed game ended a run at the first collision — a failure cue of the starkest kind — and non-return followed; the softened loss economy of three lives, a neutral first hit and an obstacle-clearing second hit was introduced only in the early Stage-3 build (Table 5.0). This observation motivates testing whether loss economy, feedback and clinical framing each contribute, without excluding in-game difficulty or other causes. The proposed repertoire changes the response to difficulty; its behavioural effect remains untested (§2.6.2C).</w:t>
      </w:r>
    </w:p>
    <w:p>
      <w:pPr>
        <w:pStyle w:val="Normal"/>
        <w:jc w:val="both"/>
      </w:pPr>
      <w:r>
        <w:rPr>
          <w:szCs w:val="22"/>
          <w:lang w:val="en-US" w:eastAsia="en-US" w:bidi="ar-SA"/>
          <w:rFonts w:ascii="Times New Roman" w:hAnsi="Times New Roman" w:eastAsia="Times New Roman" w:cs="Times New Roman"/>
          <w:sz w:val="24"/>
        </w:rPr>
        <w:t>Figure 5.3 presents the proposed architecture. L0 is the control-input and in-game event stream. L1 is a performance-state classifier producing variables such as rolling success rate, time-to-fail and a flow proxy. L2 is a policy controller that selects among five non-terminal states: Standard Run, Recovery Run, Mastery Run, Story-Bridge and Reframe Pause. L5 is a user-facing trajectory display that avoids terminal failure labels while preserving informative feedback. L6 is a frame-congruence check intended to prevent accidental reintroduction of contradictory clinical or deficit language. (Layer labels in this subsection follow Figure 5.3 and are local to the proposed state architecture; the frame-congruence check labelled L6 here is a distinct component and is not the staff coaching layer L6 of Table 7.2 and Appendix E.2.) These components are design specifications to be tested. Terms such as "identity-asset guard" describe the design intent, not a verified psychological mechanism.</w:t>
      </w:r>
    </w:p>
    <w:p>
      <w:pPr>
        <w:pStyle w:val="Normal"/>
        <w:keepNext/>
        <w:spacing w:before="160" w:after="40"/>
        <w:jc w:val="center"/>
      </w:pPr>
      <w:r>
        <w:drawing>
          <wp:inline>
            <wp:extent cx="5669280" cy="2829767"/>
            <wp:docPr id="22" name="Picture 22" descr="Figure 5.3." title=""/>
            <wp:cNvGraphicFramePr>
              <a:graphicFrameLocks noChangeAspect="1"/>
            </wp:cNvGraphicFramePr>
            <a:graphic>
              <a:graphicData uri="http://schemas.openxmlformats.org/drawingml/2006/picture">
                <pic:pic>
                  <pic:nvPicPr>
                    <pic:cNvPr id="0" name="fig_5_3.png"/>
                    <pic:cNvPicPr/>
                  </pic:nvPicPr>
                  <pic:blipFill>
                    <a:blip r:embed="rId31"/>
                    <a:stretch>
                      <a:fillRect/>
                    </a:stretch>
                  </pic:blipFill>
                  <pic:spPr>
                    <a:xfrm>
                      <a:off x="0" y="0"/>
                      <a:ext cx="5669280" cy="282976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5.3. Proposed dynamic game-state architecture for the FRA skiing game. The controller selects among five non-terminal states using recorded game information within pre-specified limits. Trajectory feedback and frame-congruence requirements apply across the state repertoire, although selected connections are shown for readability. Trajectories must identify task, difficulty and assistance conditions; they do not establish learning from rising scores alone. The architecture was not evaluated in the Stage-2 or Stage-3 empirical comparisons, and the Stage-3B component record (Appendix I) contains no evaluation of it.</w:t>
      </w:r>
    </w:p>
    <w:p>
      <w:pPr>
        <w:pStyle w:val="Normal"/>
        <w:jc w:val="both"/>
      </w:pPr>
      <w:r>
        <w:rPr>
          <w:szCs w:val="22"/>
          <w:lang w:val="en-US" w:eastAsia="en-US" w:bidi="ar-SA"/>
          <w:rFonts w:ascii="Times New Roman" w:hAnsi="Times New Roman" w:eastAsia="Times New Roman" w:cs="Times New Roman"/>
          <w:sz w:val="24"/>
        </w:rPr>
        <w:t>The proposed instruction pattern has three phases. At design time, Claude Code is given a behavioural and safety specification: avoid terminal "GAME OVER" presentation, preserve meaningful challenge, represent failure as information for the next attempt, maintain truthful disclosure and keep the clinical measurement path separate from the user-facing game layer. The agent can generate candidate state repertoires, executable rules and synthetic test traces. At deployment, the policy would operate alongside the difficulty controller, with precedence rules and safety bounds defined in advance. At run time, state selections and outcomes would be logged for audit and evaluation. The developer remains responsible for the specification, validation, governance and final code; AI-generated policy logic is not treated as self-validating.</w:t>
      </w:r>
    </w:p>
    <w:p>
      <w:pPr>
        <w:pStyle w:val="Normal"/>
        <w:jc w:val="both"/>
      </w:pPr>
      <w:r>
        <w:rPr>
          <w:szCs w:val="22"/>
          <w:lang w:val="en-US" w:eastAsia="en-US" w:bidi="ar-SA"/>
          <w:rFonts w:ascii="Times New Roman" w:hAnsi="Times New Roman" w:eastAsia="Times New Roman" w:cs="Times New Roman"/>
          <w:sz w:val="24"/>
        </w:rPr>
        <w:t>Three points fix the scope of this contribution. First, it is a design specification, not an empirical result; Stage 2 used the original game-state structure, Stage 3 did not test a controlled state-repertoire comparison, and the Stage-3B component study — which crossed a zero-failure (non-terminal) failure mode against game-over as one of its two factors — is reported only as an achieved, descriptive record to its 30 September 2026 cut-off (Appendix I), with no comparison computed from its returns and no confirmatory analysis. Second, the proposal preserves the dual-purpose sensing path but requires separate validation of whether gameplay-derived signals are clinically interpretable. Third, the design should be evaluated against pre-specified outcomes, including immediate retry, return within a common observation window, user comprehension, challenge adequacy and unintended concealment of clinically important information. A "loss-free" surface must not become a challenge-free or misleading surface.</w:t>
      </w:r>
    </w:p>
    <w:p>
      <w:pPr>
        <w:pStyle w:val="Heading2"/>
      </w:pPr>
      <w:bookmarkStart w:id="85" w:name="_Toc232024578"/>
      <w:r>
        <w:rPr>
          <w:lang w:val="en-US" w:eastAsia="en-US" w:bidi="ar-SA"/>
          <w:color w:val="000000"/>
          <w:szCs w:val="22"/>
        </w:rPr>
        <w:t>5.4 Participants and Data Governance</w:t>
      </w:r>
      <w:bookmarkEnd w:id="85"/>
    </w:p>
    <w:p>
      <w:pPr>
        <w:pStyle w:val="Normal"/>
        <w:jc w:val="both"/>
      </w:pPr>
      <w:r>
        <w:rPr>
          <w:szCs w:val="22"/>
          <w:lang w:val="en-US" w:eastAsia="en-US" w:bidi="ar-SA"/>
          <w:rFonts w:ascii="Times New Roman" w:hAnsi="Times New Roman" w:eastAsia="Times New Roman" w:cs="Times New Roman"/>
          <w:sz w:val="24"/>
        </w:rPr>
        <w:t>The facility extended the Stage-2 invitation to the 200 residents who had taken part in the Stage-1 screening survey (Chapter 4); thirty joined, and the remaining 170 declined or did not take up the invitation. Refusal reasons were not individually recorded, but the scale of the non-uptake - among residents who knew the FRA as part of the house's provision - is consistent with the anticipatory-avoidance pattern described in §4.1A, and it is read here as recruitment context, not as evidence for any hypothesis. It also marks the analysed cohort as a self-selecting minority of invitees, a boundary restated among the Stage-2 limitations (§5.9). Thirty residents participated over eight weeks (mean age 71.1 ± 5.9; range 62–84). Data handling followed the PIPL arrangements stated in §3.4: all data were pseudonymised at collection, and no participant identifiers were transmitted to third-party AI services. Consent operated as stated in §3.4 — gatekeeper consent from the facility's operators, nursing team and general manager; incomplete disclosure during the deployment; and written consent obtained retrospectively from the sustained participants at the close of the eight-week cycle; the twenty-one low-engagement participants did not sign research consent and were not interviewed, and their symptom entries are therapist observations compiled by the researcher (§3.4, §5.5). Whether the Layer-2 model endpoint was called in the deployed Stage-2 build is not documented in the retained record (Appendix G, item G.0A; §5.3.5), and no operational claim is made for it; the AI-call records were not retained (§8.9).</w:t>
      </w:r>
    </w:p>
    <w:p>
      <w:pPr>
        <w:pStyle w:val="Heading2"/>
      </w:pPr>
      <w:bookmarkStart w:id="86" w:name="_Toc232024579"/>
      <w:r>
        <w:rPr>
          <w:lang w:val="en-US" w:eastAsia="en-US" w:bidi="ar-SA"/>
          <w:color w:val="000000"/>
          <w:szCs w:val="22"/>
        </w:rPr>
        <w:t>5.5 Quantitative Findings</w:t>
      </w:r>
      <w:bookmarkEnd w:id="86"/>
    </w:p>
    <w:p>
      <w:pPr>
        <w:pStyle w:val="Normal"/>
        <w:jc w:val="both"/>
      </w:pPr>
      <w:r>
        <w:rPr>
          <w:szCs w:val="22"/>
          <w:lang w:val="en-US" w:eastAsia="en-US" w:bidi="ar-SA"/>
          <w:rFonts w:ascii="Times New Roman" w:hAnsi="Times New Roman" w:eastAsia="Times New Roman" w:cs="Times New Roman"/>
          <w:sz w:val="24"/>
        </w:rPr>
        <w:t>The Stage-2 archive (the analysis file stage2_clean.csv, with the FRA_32 data set and the Stage-2 logbook with player IDs; Appendix G, item G.2) contains one record per participant: gender, age, the recorded 'before' and 'after' FRA index values (their provenance is stated below), presenting fall-risk symptoms, the number of completed game cycles, therapist-reported symptom change, satisfaction and a verification flag. Thirty-two records were collected in total; two records from younger control participants (staff test plays, aged 36 and 53; IDs S2-C001 and S2-C002 in the Stage-2 ID register, Appendix G, item G.2) are retained in the archive but not analysed in this thesis, leaving the thirty older-adult participants (aged 62–84, mean 71.1 ± 5.9; 17 female, 13 male) analysed here. One record (S2-P015) failed verification and is retained with a sensitivity note. Because the archive records cycle counts and pre/post index values but no session dates or timestamps, time-to-event methods are not applicable to it: a Cox proportional-hazards model and a Kaplan-Meier estimator both require an observed time variable that this dataset does not contain. The survival-analysis framing used in earlier drafts, including the previously reported hazard ratio, has therefore been withdrawn, and the analysis below uses estimators suited to a small, single-site sample: Wilson score intervals for proportions, paired t and Wilcoxon signed-rank tests for the pre/post index, Welch and Mann-Whitney tests for between-group contrasts, and Fisher's exact test for categorical associations. A completed game cycle denotes one attended play session at the station under the five-attempt rule (§5.3.2); the three-or-fewer-cycles threshold defines the low-engagement group referenced in H1 (§5.1). The three-or-fewer-cycles threshold is observation-derived rather than pre-specified: in field observation, some participants declined the after-game conversations and simply walked away, and their cycle counts clustered at three or fewer; the classification operationalises that observed behavioural boundary. It is therefore a descriptive, retrospectively formalised cut - in the same register as the hypothesis provenance of §3.5 - not a prospectively specified endpoint. Its relation to the intended three-to-five-play protocol (the measurement-provenance statement below) is that three plays met the protocol's lower bound for interpretable index data while still lying inside the observed walk-away cluster: data-sufficiency and engagement are distinct axes, and the threshold tracks the second.</w:t>
      </w:r>
      <w:r>
        <w:rPr/>
      </w:r>
      <w:r>
        <w:t xml:space="preserve"> One consequence for the hypothesis architecture is stated here: the archived dataset contains no per-participant measure of first-experience adversity, so H1's association could not be directly examined and is carried as a design-stage expectation rather than a tested claim.</w:t>
      </w:r>
    </w:p>
    <w:p>
      <w:pPr>
        <w:jc w:val="both"/>
      </w:pPr>
      <w:r>
        <w:rPr/>
        <w:t>A measurement-provenance statement governs how the recorded index values are read, and it rests on a distinction the deployment drew between the game protocol and the measurement. The intended protocol - 'the whole game' - was for each participant to play the skiing game three to five times, both to collect more data and to observe whether players were building up skill across plays. The balancing indexes are a separate product: because the InBody FRA software measured from the footplate beneath the foot pad throughout play (§5.2A), every play produced assessment output, and the InBody system recorded the balance-test indexes on the clinician-side terminal (not on the play screen), from which the therapist read them whenever a participant's play concluded - by choice, at the end of a run, or at the end of the protocol. A participant who played only one, two or three cycles therefore still generated interpretable index data - within a single attendance, the three-to-five-play protocol yields multiple runs - and the facility's physicians could still read physical performance and its direction of change, interpreting the indexes against the manufacturer's evaluation guidelines. The 'after' value for each participant is the index from that participant's final play, at whatever week it occurred; every one of the thirty participants has a recorded value even though not all completed the intended three-to-five-play protocol. The 'before' value is the index from a standard-mode FRA assessment taken at the participant's first attendance, before game play began: participants first used the FRA in its standard mode, and then played the game on the foot pad while the FRA measured beneath it, so the archive holds one assessment-mode index and one game-mode index per participant, both generated by the same InBody measurement engine from the same footplate (§5.2A). This pairing was the deployment's original verification intent - to examine whether gamified play was associated with improved balance performance - an intent retained here only as description, since a single-group deployment cannot establish efficacy. Three consequences are stated plainly: the post-measurement time varies across participants - it is each participant's last play, not a fixed end-of-window date - so pre/post changes span different exposure durations; for single-session participants the pair spans a single attendance (the standard-mode assessment followed by that one game session); and the two values were produced under different task contexts - an assessment protocol and game play - so the measured change contains any effect of the measurement context itself alongside balance change. If the formal assessment frame depresses performance through assessment-related anxiety, part of the recorded improvement may reflect the change of frame rather than physical change; this direction is consistent with the programme's frame-sensitivity account but is not treated as evidence for it. No claim of uniform eight-week change is made.</w:t>
      </w:r>
      <w:r>
        <w:rPr/>
      </w:r>
      <w:r/>
      <w:r>
        <w:rPr/>
      </w:r>
      <w:r/>
    </w:p>
    <w:p>
      <w:pPr>
        <w:jc w:val="both"/>
      </w:pPr>
      <w:r>
        <w:t>A corresponding caution attaches to the symptom variables, which are therapist-observed and researcher-compiled rather than self-administered: therapists reported their observations in ordinary practice, and the researcher attributed values to individuals when compiling near-daily field notes. The satisfaction ratings, by contrast, were collected by the after-game paper questionnaire completed by players (§3.4; Appendix C). A single, unblinded compiler performing individual attribution is a real limitation - recall and expectancy effects cannot be excluded - so the symptom-improvement comparison reported below is read as an observed association in compiled field data. The satisfaction-engagement association (Fisher's exact p = 0.013) rests on a participant-completed paper questionnaire whose completed sheets are not held in the thesis archive (Appendix C); its administered form and response anchors are documented only through the four response categories carried into the Stage-2 ID register and the analysis file — Very satisfied, Satisfied, No comments, Dissatisfied (Appendix G, item G.2) — cross-tabulated against observed engagement; it is a descriptive association under an instrument whose administered form is not on file, not a result from a verified self-report instrument. A future study would replace both pathways with self-administered instruments at pre-specified times. Disengagement itself, by contrast, was directly and behaviourally visible: low-engagement participants typically declined the after-game conversation and walked away, so the engagement classification rests on observed behaviour rather than on the mediated variables this caution concerns.</w:t>
      </w:r>
    </w:p>
    <w:p>
      <w:pPr>
        <w:pStyle w:val="Normal"/>
        <w:jc w:val="both"/>
      </w:pPr>
      <w:r>
        <w:rPr>
          <w:szCs w:val="22"/>
          <w:lang w:val="en-US" w:eastAsia="en-US" w:bidi="ar-SA"/>
          <w:rFonts w:ascii="Times New Roman" w:hAnsi="Times New Roman" w:eastAsia="Times New Roman" w:cs="Times New Roman"/>
          <w:sz w:val="24"/>
        </w:rPr>
        <w:t>The principal descriptive outcome did not support the original expectation of sustained engagement. Engagement showed an early drop-off: twenty-one of thirty participants (70.0%, 95% CI 52.1–83.3%) completed three or fewer cycles, eight (26.7%, 95% CI 14.2–44.4%) ended after a single session, and no re-engagement was observed among the low-engagement group during the eight-week window (0 of 21; 95% CI 0.0–15.5%; Table 5.2; Figure 5.5). Three terms are kept distinct against the retained records: failure refers to adverse first-experience or in-game events, which the archive does not record per participant (as stated above); discontinuation refers to the observed cessation of attendance, read from cycle counts; and the opportunity to return remained open under the facility's standing free-of-charge access to the station (§5.2), so non-return here is an observed behaviour within the eight-week window, not evidence of permanent abandonment (§5.9). The reported exploratory gender comparison (Fisher's exact p = 0.69) and the correlation between age and completed cycles (Spearman ρ = −0.18, p = 0.34) did not provide clear evidence of association in this small sample; neither result establishes the absence of an effect. The gender test is not interpreted further; its cross-tabulation is not reported here.</w:t>
      </w:r>
    </w:p>
    <w:p>
      <w:pPr>
        <w:pStyle w:val="FigureCaption"/>
        <w:keepNext/>
        <w:keepLines/>
        <w:jc w:val="center"/>
      </w:pPr>
      <w:bookmarkStart w:id="87" w:name="_Toc232024699"/>
      <w:r>
        <w:rPr>
          <w:sz w:val="24"/>
          <w:szCs w:val="22"/>
          <w:lang w:val="en-US" w:eastAsia="en-US" w:bidi="ar-SA"/>
          <w:rFonts w:ascii="Times New Roman" w:hAnsi="Times New Roman" w:eastAsia="Times New Roman" w:cs="Times New Roman"/>
          <w:i/>
          <w:b/>
        </w:rPr>
        <w:t>Table 5.2. Stage-2 engagement pattern (N = 30). All counts include S2-P015, the one record that failed verification and is retained with a sensitivity note (§5.5).</w:t>
      </w:r>
      <w:bookmarkEnd w:id="87"/>
    </w:p>
    <w:tbl>
      <w:tblPr>
        <w:tblStyle w:val="TableGrid"/>
        <w:tblW w:w="8505" w:type="dxa"/>
        <w:jc w:val="center"/>
        <w:tblLayout w:type="fixed"/>
        <w:tblLook w:val="04A0" w:firstRow="1" w:lastRow="0" w:firstColumn="1" w:lastColumn="0" w:noHBand="0" w:noVBand="1"/>
      </w:tblPr>
      <w:tblGrid>
        <w:gridCol w:w="4989"/>
        <w:gridCol w:w="3516"/>
      </w:tblGrid>
      <w:tr>
        <w:trPr>
          <w:jc w:val="center"/>
          <w:tblHeader/>
          <w:cantSplit/>
        </w:trPr>
        <w:tc>
          <w:tcPr>
            <w:tcW w:w="4989" w:type="dxa"/>
          </w:tcPr>
          <w:p>
            <w:pPr>
              <w:pStyle w:val="Normal"/>
              <w:keepNext w:val="0"/>
              <w:keepLines/>
            </w:pPr>
            <w:r>
              <w:rPr>
                <w:b/>
                <w:sz w:val="18"/>
                <w:szCs w:val="26"/>
                <w:lang w:val="en-US" w:eastAsia="en-US" w:bidi="ar-SA"/>
                <w:rFonts w:ascii="Times New Roman" w:hAnsi="Times New Roman" w:eastAsia="Times New Roman" w:cs="Times New Roman"/>
              </w:rPr>
              <w:t>Engagement metric</w:t>
            </w:r>
          </w:p>
        </w:tc>
        <w:tc>
          <w:tcPr>
            <w:tcW w:w="3516" w:type="dxa"/>
          </w:tcPr>
          <w:p>
            <w:pPr>
              <w:pStyle w:val="Normal"/>
              <w:keepNext w:val="0"/>
              <w:keepLines/>
            </w:pPr>
            <w:r>
              <w:rPr>
                <w:b/>
                <w:sz w:val="18"/>
                <w:szCs w:val="26"/>
                <w:lang w:val="en-US" w:eastAsia="en-US" w:bidi="ar-SA"/>
                <w:rFonts w:ascii="Times New Roman" w:hAnsi="Times New Roman" w:eastAsia="Times New Roman" w:cs="Times New Roman"/>
              </w:rPr>
              <w:t>Value</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Low engagement (≤ 3 cycles)</w:t>
            </w:r>
          </w:p>
        </w:tc>
        <w:tc>
          <w:tcPr>
            <w:tcW w:w="3516" w:type="dxa"/>
          </w:tcPr>
          <w:p>
            <w:pPr>
              <w:pStyle w:val="Normal"/>
            </w:pPr>
            <w:r>
              <w:rPr>
                <w:sz w:val="24"/>
                <w:szCs w:val="22"/>
                <w:lang w:val="en-US" w:eastAsia="en-US" w:bidi="ar-SA"/>
                <w:rFonts w:ascii="Times New Roman" w:hAnsi="Times New Roman" w:eastAsia="Times New Roman" w:cs="Times New Roman"/>
              </w:rPr>
              <w:t>21/30 (70%)</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Sustained (≥ 4 cycles)</w:t>
            </w:r>
          </w:p>
        </w:tc>
        <w:tc>
          <w:tcPr>
            <w:tcW w:w="3516" w:type="dxa"/>
          </w:tcPr>
          <w:p>
            <w:pPr>
              <w:pStyle w:val="Normal"/>
            </w:pPr>
            <w:r>
              <w:rPr>
                <w:sz w:val="24"/>
                <w:szCs w:val="22"/>
                <w:lang w:val="en-US" w:eastAsia="en-US" w:bidi="ar-SA"/>
                <w:rFonts w:ascii="Times New Roman" w:hAnsi="Times New Roman" w:eastAsia="Times New Roman" w:cs="Times New Roman"/>
              </w:rPr>
              <w:t>9/30 (30%)</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Single-session exits</w:t>
            </w:r>
          </w:p>
        </w:tc>
        <w:tc>
          <w:tcPr>
            <w:tcW w:w="3516" w:type="dxa"/>
          </w:tcPr>
          <w:p>
            <w:pPr>
              <w:pStyle w:val="Normal"/>
            </w:pPr>
            <w:r>
              <w:rPr>
                <w:sz w:val="24"/>
                <w:szCs w:val="22"/>
                <w:lang w:val="en-US" w:eastAsia="en-US" w:bidi="ar-SA"/>
                <w:rFonts w:ascii="Times New Roman" w:hAnsi="Times New Roman" w:eastAsia="Times New Roman" w:cs="Times New Roman"/>
              </w:rPr>
              <w:t>8/30 (27%)</w:t>
            </w:r>
          </w:p>
        </w:tc>
      </w:tr>
      <w:tr>
        <w:trPr>
          <w:jc w:val="center"/>
          <w:cantSplit/>
        </w:trPr>
        <w:tc>
          <w:tcPr>
            <w:tcW w:w="4989" w:type="dxa"/>
          </w:tcPr>
          <w:p>
            <w:pPr>
              <w:pStyle w:val="Normal"/>
            </w:pPr>
            <w:r>
              <w:rPr>
                <w:szCs w:val="22"/>
                <w:lang w:val="en-US" w:eastAsia="en-US" w:bidi="ar-SA"/>
                <w:rFonts w:ascii="Times New Roman" w:hAnsi="Times New Roman" w:eastAsia="Times New Roman" w:cs="Times New Roman"/>
                <w:sz w:val="24"/>
              </w:rPr>
              <w:t>Observed re-engagement after disengagement within eight weeks</w:t>
            </w:r>
          </w:p>
        </w:tc>
        <w:tc>
          <w:tcPr>
            <w:tcW w:w="3516" w:type="dxa"/>
          </w:tcPr>
          <w:p>
            <w:pPr>
              <w:pStyle w:val="Normal"/>
            </w:pPr>
            <w:r>
              <w:rPr>
                <w:szCs w:val="22"/>
                <w:lang w:val="en-US" w:eastAsia="en-US" w:bidi="ar-SA"/>
                <w:rFonts w:ascii="Times New Roman" w:hAnsi="Times New Roman" w:eastAsia="Times New Roman" w:cs="Times New Roman"/>
                <w:sz w:val="24"/>
              </w:rPr>
              <w:t>0/21 low-engagement participants (0%)</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Among the nine sustained participants, the recorded FRA index moved from 42.0 ± 8.3 at the standard-mode baseline to 48.9 ± 9.4 at final play: a mean paired change of +6.9 points (95% CI 4.5–9.3; paired t(8) = 6.67, p &lt; 0.001; Wilcoxon p = 0.004; dz = 2.22, exact 95% CI 0.95–3.46). All thirty participants have recorded pre/post values, so no imputation is required: across the full cohort the paired change was +4.0 points (95% CI 0.5–7.6; t(29) = 2.31, p = 0.028; Wilcoxon p = 0.015; dz = 0.42, exact 95% CI 0.05–0.79; Figure 5.4), with twenty participants recording an increase, nine a decrease and one no change. The pooled (d = 0.78) and zero-imputation (d = 0.57) estimates quoted in earlier drafts do not reproduce from the archive and have been withdrawn. The difference in index change between sustained and low-engagement participants (+6.9 versus +2.8 points) was not statistically reliable (Welch t = 1.55, p = 0.13; Mann-Whitney p = 0.051). The recorded index is the instrument's composite score — the comprehensive score listed among the reportable items in §4.1A and named in §5.2A as the output of the InBody FRA software running in parallel with the game from the same footplate; the archived dataset (Appendix G, item G.2) holds the displayed index value for each assessment, not the constituent step scores from which the instrument computes it. On the InBody FRA system a higher composite score indicates better performance and a lower risk of falling: the composite is calibrated so that the population average lies near 70, and it correlates positively with gold-standard batteries such as the Berg Balance Scale and the Short Physical Performance Battery (InBody Co., Ltd., 2022). The recorded increases therefore indicate improvement in the recorded index — movement in the score's favourable direction — and no more than that: given the task-context and exposure-duration differences stated in the measurement-provenance paragraph above, an index increase is not read as demonstrated improvement in underlying balance capability. The contrary direction note in the legend accompanying the archived data file has been identified as an error and corrected in the archive documentation. A further interpretive constraint remains: single-measurement changes of this size lie within the range of test-retest variability that Kim et al. (2018) report for a multi-component FRA system assessed under that study's own composite score and protocol. Because neither the score definition nor the assessment protocol has been shown to match the index recorded here, that figure is carried as an order-of-magnitude caution rather than as a validated measurement-error threshold for this deployment; nor can it validate the comparability of the standard-mode baseline with the final value measured during game play, which rests on the same InBody instrument measuring under two task contexts, with a foot pad resting on the footplate in the second (§5.2A), and remains an assumption (§4.1A). Within-deployment index change should accordingly be read as a provisional signal rather than a demonstrated clinical effect.</w:t>
      </w:r>
    </w:p>
    <w:p>
      <w:pPr>
        <w:pStyle w:val="Normal"/>
        <w:jc w:val="both"/>
      </w:pPr>
      <w:r>
        <w:rPr>
          <w:szCs w:val="22"/>
          <w:lang w:val="en-US" w:eastAsia="en-US" w:bidi="ar-SA"/>
          <w:rFonts w:ascii="Times New Roman" w:hAnsi="Times New Roman" w:eastAsia="Times New Roman" w:cs="Times New Roman"/>
          <w:sz w:val="24"/>
        </w:rPr>
        <w:t>The therapist-reported and recorded ledgers diverge in an instructive way. Eighteen of thirty participants (60.0%, 95% CI 42.3–75.4%) were reported by therapists as showing symptom improvement after the deployment and twenty (66.7%, 95% CI 48.8–80.8%) were satisfied or very satisfied. Satisfaction was associated with sustained engagement: all nine sustained participants were satisfied, against eleven of twenty-one in the low-engagement group, an observed difference of 47.6 percentage points (Fisher's exact p = 0.013). This concurrent association does not establish whether satisfaction caused continued engagement or followed from it. Therapist-reported symptom improvement (therapist-observed, researcher-compiled; §3.4) showed the same direction, with considerable uncertainty (7 of 9 versus 11 of 21; Fisher's exact p = 0.25). The tests are exploratory and unadjusted for the multiple outcomes and subgroup comparisons reported in this chapter. Among the eight single-session participants, five recorded a positive index change yet only two were reported by therapists as showing any improvement and none returned — the separate margins underlying the recorded-score–engagement discrepancy, subject to the direction caveat above. Read jointly from the archived per-participant record (Appendix G, item G.2), three of the eight recorded a score increase and were reported as showing no symptom improvement (two of seven excluding the unverified record, S2-P015). Excluding the single unverified record does not alter any of these conclusions.</w:t>
      </w:r>
    </w:p>
    <w:p>
      <w:pPr>
        <w:jc w:val="center"/>
      </w:pPr>
      <w:bookmarkStart w:id="88" w:name="_Toc232024700"/>
      <w:bookmarkEnd w:id="88"/>
      <w:r>
        <w:rPr>
          <w:szCs w:val="22"/>
          <w:lang w:val="en-US" w:eastAsia="en-US" w:bidi="ar-SA"/>
          <w:rFonts w:ascii="Times New Roman" w:hAnsi="Times New Roman" w:eastAsia="Times New Roman" w:cs="Times New Roman"/>
          <w:sz w:val="24"/>
        </w:rPr>
        <w:t>Withdrawal note. Earlier drafts reported a week-2 motivational-orientation classification (learning-focused versus health-deficit-focused) with a large but very imprecise association with sustained engagement (odds ratio 31.5, 95% CI 2.9–339), presented in those drafts as a table numbered 5.3 (that number is now carried by the requirements mapping in §5.5A). The classification variable does not appear in the archived dataset and its coding records could not be produced, so the classification, its table and its odds ratio are withdrawn from this thesis. The reproducible association in the archive — satisfaction with sustained engagement (nine of nine sustained participants satisfied versus eleven of twenty-one in the low-engagement group; Fisher's exact p = 0.013, reported above) — remains a descriptive association; it does not replace the withdrawn variable as evidence of a motivational mechanism.</w:t>
      </w:r>
    </w:p>
    <w:p w14:paraId="2E16D01A" w14:textId="77777777" w:rsidR="00EE7E37" w:rsidRDefault="00000000">
      <w:pPr>
        <w:keepNext/>
        <w:spacing w:before="120" w:after="80"/>
      </w:pPr>
      <w:r>
        <w:drawing>
          <wp:inline>
            <wp:extent cx="5486400" cy="2643745"/>
            <wp:docPr id="17" name="Picture 17" descr="Figure 5.4. Participant-level pre/post recorded FRA index (standard-mode baseline to final play; provenance in §5.5) for the Stage-2 cohort (N = 30), by engagement group."/>
            <wp:cNvGraphicFramePr>
              <a:graphicFrameLocks noChangeAspect="1"/>
            </wp:cNvGraphicFramePr>
            <a:graphic>
              <a:graphicData uri="http://schemas.openxmlformats.org/drawingml/2006/picture">
                <pic:pic>
                  <pic:nvPicPr>
                    <pic:cNvPr id="0" name="figure_5_4_prepost.png"/>
                    <pic:cNvPicPr/>
                  </pic:nvPicPr>
                  <pic:blipFill>
                    <a:blip r:embed="rId26"/>
                    <a:stretch>
                      <a:fillRect/>
                    </a:stretch>
                  </pic:blipFill>
                  <pic:spPr>
                    <a:xfrm>
                      <a:off x="0" y="0"/>
                      <a:ext cx="5486400" cy="2643745"/>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5.4. Participant-level pre/post recorded FRA index (standard-mode baseline to final play; provenance in §5.5) for the Stage-2 cohort (N = 30), by engagement group. Thin lines are individual participants; the bold line is the group mean (sustained: 42.0 to 48.9; low engagement: 44.7 to 47.5). Generated from the archived dataset (Appendix G, item G.2); all thirty records are plotted, including the one record that failed verification (S2-P015), retained under the sensitivity note in §5.5. Higher index values indicate better performance (InBody Co., Ltd., 2022).</w:t>
      </w:r>
    </w:p>
    <w:p>
      <w:pPr>
        <w:pStyle w:val="Normal"/>
        <w:keepNext/>
        <w:spacing w:before="160" w:after="40"/>
        <w:jc w:val="center"/>
      </w:pPr>
      <w:r>
        <w:rPr>
          <w:noProof/>
        </w:rPr>
        <w:lastRenderedPageBreak/>
        <w:drawing>
          <wp:inline distT="0" distB="0" distL="0" distR="0" wp14:anchorId="37DD1E16" wp14:editId="7F424516">
            <wp:extent cx="4503193" cy="2799602"/>
            <wp:effectExtent l="0" t="0" r="0" b="0"/>
            <wp:docPr id="8" name="Picture 8" descr="Figure 5.5. Participant flow diagram (Stage 2, N = 30): no re-engagement was observed among the twenty-one low-engagement participants during the eight-week study window (re-engagement branch drawn from the low-engagement group; F4 cluster membership per §5.6; the F4 counts shown, including the three with a recorded index increase, include S2-P015, the record that failed verification, §5.5)."/>
            <wp:cNvGraphicFramePr>
              <a:graphicFrameLocks noChangeAspect="1"/>
            </wp:cNvGraphicFramePr>
            <a:graphic>
              <a:graphicData uri="http://schemas.openxmlformats.org/drawingml/2006/picture">
                <pic:pic>
                  <pic:nvPicPr>
                    <pic:cNvPr id="0" name="fig_5_5.png"/>
                    <pic:cNvPicPr/>
                  </pic:nvPicPr>
                  <pic:blipFill rotWithShape="1">
                    <a:blip r:embed="rId15"/>
                    <a:srcRect l="4841" r="7371" b="14629"/>
                    <a:stretch>
                      <a:fillRect/>
                    </a:stretch>
                  </pic:blipFill>
                  <pic:spPr bwMode="auto">
                    <a:xfrm>
                      <a:off x="0" y="0"/>
                      <a:ext cx="4530972" cy="2816872"/>
                    </a:xfrm>
                    <a:prstGeom prst="rect">
                      <a:avLst/>
                    </a:prstGeom>
                    <a:ln>
                      <a:noFill/>
                    </a:ln>
                    <a:extLst>
                      <a:ext uri="{53640926-AAD7-44D8-BBD7-CCE9431645EC}">
                        <ns8:shadowObscured/>
                      </a:ext>
                    </a:extLs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5.5. Participant flow diagram (Stage 2, N = 30): no re-engagement was observed among the twenty-one low-engagement participants during the eight-week study window (re-engagement branch drawn from the low-engagement group; F4 cluster membership per §5.6; the F4 counts shown, including the three with a recorded index increase, include S2-P015, the record that failed verification, §5.5).</w:t>
      </w:r>
    </w:p>
    <w:p>
      <w:pPr>
        <w:pStyle w:val="Heading2"/>
      </w:pPr>
      <w:r>
        <w:rPr>
          <w:lang w:val="en-US" w:eastAsia="en-US" w:bidi="ar-SA"/>
          <w:color w:val="000000"/>
          <w:szCs w:val="22"/>
        </w:rPr>
        <w:t>5.5A Translating the Findings into Design Priorities: Qualitative Requirements Mapping</w:t>
      </w:r>
    </w:p>
    <w:p>
      <w:pPr>
        <w:pStyle w:val="Normal"/>
        <w:jc w:val="both"/>
      </w:pPr>
      <w:r>
        <w:rPr>
          <w:szCs w:val="22"/>
          <w:lang w:val="en-US" w:eastAsia="en-US" w:bidi="ar-SA"/>
          <w:rFonts w:ascii="Times New Roman" w:hAnsi="Times New Roman" w:eastAsia="Times New Roman" w:cs="Times New Roman"/>
          <w:sz w:val="24"/>
        </w:rPr>
        <w:t>The statistical analysis describes observed engagement and score changes; it does not determine which design feature will improve subsequent outcomes. Quality Function Deployment (QFD; Akao, 1990; Chan &amp; Wu, 2002) informs the qualitative requirements mapping used here. Findings are translated into candidate user needs and related to technical features through explicit design reasoning. The present mapping is not a completed quantitative House of Quality and does not estimate feature effectiveness. Its purpose is to make the proposed transition from observed difficulty to a revised intervention reviewable and testable.</w:t>
      </w:r>
    </w:p>
    <w:p>
      <w:pPr>
        <w:pStyle w:val="Normal"/>
        <w:jc w:val="both"/>
      </w:pPr>
      <w:r>
        <w:rPr>
          <w:szCs w:val="22"/>
          <w:lang w:val="en-US" w:eastAsia="en-US" w:bidi="ar-SA"/>
          <w:rFonts w:ascii="Times New Roman" w:hAnsi="Times New Roman" w:eastAsia="Times New Roman" w:cs="Times New Roman"/>
          <w:sz w:val="24"/>
        </w:rPr>
        <w:t>Table 5.3 presents the deployment matrix. The rows are candidate user needs interpreted from the Stage-1 survey, Stage-2 behavioural records and Stage-2 self-reports, each linked to its motivating finding and a relevant TAM, STAM or Octalysis construct. The columns are the game's technical characteristics: the adaptive difficulty layer (§5.3.5), the loss-free dynamic game states (§5.3.10), the proposed trajectory display (§5.3.10) and the coaching protocol (§7.5). The coin-reward loop enters the matrix as evidence under the reward-for-effort need rather than as a separate column. A strong relationship (●) records an intended direct contribution to the need; a moderate relationship (◐) records an intended partial or indirect contribution; a blank cell indicates no designed relationship. These symbols express the design rationale, not measured causal effects.</w:t>
      </w:r>
    </w:p>
    <w:p>
      <w:pPr>
        <w:sectPr w:rsidR="0062437E" w:rsidSect="00034616">
          <w:footerReference w:type="default" r:id="rId22"/>
          <w:pgSz w:w="11906" w:h="16838"/>
          <w:pgMar w:top="1417" w:right="1417" w:bottom="1417" w:left="1984" w:header="720" w:footer="720" w:gutter="0"/>
          <w:pgNumType w:fmt="decimal"/>
          <w:cols w:space="720"/>
          <w:docGrid w:linePitch="360"/>
        </w:sectPr>
      </w:pPr>
    </w:p>
    <w:p>
      <w:pPr>
        <w:pStyle w:val="FigureCaption"/>
        <w:keepNext/>
        <w:keepLines/>
        <w:jc w:val="center"/>
      </w:pPr>
      <w:r>
        <w:rPr>
          <w:sz w:val="24"/>
          <w:szCs w:val="22"/>
          <w:lang w:val="en-US" w:eastAsia="en-US" w:bidi="ar-SA"/>
          <w:rFonts w:ascii="Times New Roman" w:hAnsi="Times New Roman" w:eastAsia="Times New Roman" w:cs="Times New Roman"/>
          <w:i/>
          <w:b/>
        </w:rPr>
        <w:t>Table 5.3. Qualitative requirements mapping (QFD-style): user needs evidenced by the Stage-1 and Stage-2 data (the Stage-1 figure is an aggregate record whose per-respondent file is not archived, Table 4.1 and Appendix G item G.1), mapped onto the game's technical characteristics. ● strong designed relationship; ◐ moderate or indirect relationship.</w:t>
      </w:r>
    </w:p>
    <w:tbl>
      <w:tblPr>
        <w:tblStyle w:val="TableGrid"/>
        <w:tblW w:type="dxa" w:w="13437"/>
        <w:tblLayout w:type="fixed"/>
        <w:tblLook w:firstColumn="1" w:firstRow="1" w:lastColumn="0" w:lastRow="0" w:noHBand="0" w:noVBand="1" w:val="04A0"/>
      </w:tblPr>
      <w:tblGrid>
        <w:gridCol w:w="2842"/>
        <w:gridCol w:w="4208"/>
        <w:gridCol w:w="2374"/>
        <w:gridCol w:w="1002"/>
        <w:gridCol w:w="1002"/>
        <w:gridCol w:w="1002"/>
        <w:gridCol w:w="1007"/>
      </w:tblGrid>
      <w:tr>
        <w:trPr>
          <w:tblHeader/>
          <w:cantSplit/>
        </w:trPr>
        <w:tc>
          <w:tcPr>
            <w:tcW w:type="dxa" w:w="2842"/>
          </w:tcPr>
          <w:p>
            <w:pPr>
              <w:pStyle w:val="Normal"/>
              <w:keepNext w:val="0"/>
              <w:keepLines/>
            </w:pPr>
            <w:r>
              <w:rPr>
                <w:b/>
                <w:sz w:val="18"/>
                <w:szCs w:val="26"/>
                <w:lang w:val="en-US" w:eastAsia="en-US" w:bidi="ar-SA"/>
                <w:rFonts w:ascii="Times New Roman" w:hAnsi="Times New Roman" w:eastAsia="Times New Roman" w:cs="Times New Roman"/>
              </w:rPr>
              <w:t>User need (voice of the user)</w:t>
            </w:r>
          </w:p>
        </w:tc>
        <w:tc>
          <w:tcPr>
            <w:tcW w:type="dxa" w:w="4208"/>
          </w:tcPr>
          <w:p>
            <w:pPr>
              <w:pStyle w:val="Normal"/>
              <w:keepNext w:val="0"/>
              <w:keepLines/>
            </w:pPr>
            <w:r>
              <w:rPr>
                <w:b/>
                <w:sz w:val="18"/>
                <w:szCs w:val="26"/>
                <w:lang w:val="en-US" w:eastAsia="en-US" w:bidi="ar-SA"/>
                <w:rFonts w:ascii="Times New Roman" w:hAnsi="Times New Roman" w:eastAsia="Times New Roman" w:cs="Times New Roman"/>
              </w:rPr>
              <w:t>Evidence from the data</w:t>
            </w:r>
          </w:p>
        </w:tc>
        <w:tc>
          <w:tcPr>
            <w:tcW w:type="dxa" w:w="2374"/>
          </w:tcPr>
          <w:p>
            <w:pPr>
              <w:pStyle w:val="Normal"/>
              <w:keepNext w:val="0"/>
              <w:keepLines/>
            </w:pPr>
            <w:r>
              <w:rPr>
                <w:b/>
                <w:sz w:val="18"/>
                <w:szCs w:val="26"/>
                <w:lang w:val="en-US" w:eastAsia="en-US" w:bidi="ar-SA"/>
                <w:rFonts w:ascii="Times New Roman" w:hAnsi="Times New Roman" w:eastAsia="Times New Roman" w:cs="Times New Roman"/>
              </w:rPr>
              <w:t>Construct</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Adaptive difficulty (§5.3.5)</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Loss-free states (§5.3.10)</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Trajectory display (§5.3.10)</w:t>
            </w:r>
          </w:p>
        </w:tc>
        <w:tc>
          <w:tcPr>
            <w:tcW w:type="dxa" w:w="1007"/>
          </w:tcPr>
          <w:p>
            <w:pPr>
              <w:pStyle w:val="Normal"/>
              <w:keepNext w:val="0"/>
              <w:keepLines/>
            </w:pPr>
            <w:r>
              <w:rPr>
                <w:b/>
                <w:sz w:val="18"/>
                <w:szCs w:val="26"/>
                <w:lang w:val="en-US" w:eastAsia="en-US" w:bidi="ar-SA"/>
                <w:rFonts w:ascii="Times New Roman" w:hAnsi="Times New Roman" w:eastAsia="Times New Roman" w:cs="Times New Roman"/>
              </w:rPr>
              <w:t>Coaching (§7.5)</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Challenge that matches my ability</w:t>
            </w:r>
          </w:p>
        </w:tc>
        <w:tc>
          <w:tcPr>
            <w:tcW w:type="dxa" w:w="4208"/>
          </w:tcPr>
          <w:p>
            <w:pPr>
              <w:pStyle w:val="Normal"/>
            </w:pPr>
            <w:r>
              <w:rPr>
                <w:sz w:val="20"/>
                <w:szCs w:val="22"/>
                <w:lang w:val="en-US" w:eastAsia="en-US" w:bidi="ar-SA"/>
                <w:rFonts w:ascii="Times New Roman" w:hAnsi="Times New Roman" w:eastAsia="Times New Roman" w:cs="Times New Roman"/>
              </w:rPr>
              <w:t>70.0% disengaged at ≤3 cycles; satisfaction 9/9 among sustained vs 11/21 (p = .013)</w:t>
            </w:r>
          </w:p>
        </w:tc>
        <w:tc>
          <w:tcPr>
            <w:tcW w:type="dxa" w:w="2374"/>
          </w:tcPr>
          <w:p>
            <w:pPr>
              <w:pStyle w:val="Normal"/>
            </w:pPr>
            <w:r>
              <w:rPr>
                <w:sz w:val="20"/>
                <w:szCs w:val="22"/>
                <w:lang w:val="en-US" w:eastAsia="en-US" w:bidi="ar-SA"/>
                <w:rFonts w:ascii="Times New Roman" w:hAnsi="Times New Roman" w:eastAsia="Times New Roman" w:cs="Times New Roman"/>
              </w:rPr>
              <w:t>Flow / PEOU (TAM)</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Failure must not feel like a verdict about me</w:t>
            </w:r>
          </w:p>
        </w:tc>
        <w:tc>
          <w:tcPr>
            <w:tcW w:type="dxa" w:w="4208"/>
          </w:tcPr>
          <w:p>
            <w:pPr>
              <w:pStyle w:val="Normal"/>
            </w:pPr>
            <w:r>
              <w:rPr>
                <w:sz w:val="20"/>
                <w:szCs w:val="22"/>
                <w:lang w:val="en-US" w:eastAsia="en-US" w:bidi="ar-SA"/>
                <w:rFonts w:ascii="Times New Roman" w:hAnsi="Times New Roman" w:eastAsia="Times New Roman" w:cs="Times New Roman"/>
              </w:rPr>
              <w:t>0/21 re-engagement after disengagement; Stage-1: ~74% adverse first experience among prior users (aggregate record, Table 4.1; per-respondent file not archived, Appendix G item G.1)</w:t>
            </w:r>
          </w:p>
        </w:tc>
        <w:tc>
          <w:tcPr>
            <w:tcW w:type="dxa" w:w="2374"/>
          </w:tcPr>
          <w:p>
            <w:pPr>
              <w:pStyle w:val="Normal"/>
            </w:pPr>
            <w:r>
              <w:rPr>
                <w:sz w:val="20"/>
                <w:szCs w:val="22"/>
                <w:lang w:val="en-US" w:eastAsia="en-US" w:bidi="ar-SA"/>
                <w:rFonts w:ascii="Times New Roman" w:hAnsi="Times New Roman" w:eastAsia="Times New Roman" w:cs="Times New Roman"/>
              </w:rPr>
              <w:t>Loss aversion / D8 (Octalysis)</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Visible personal progress</w:t>
            </w:r>
          </w:p>
        </w:tc>
        <w:tc>
          <w:tcPr>
            <w:tcW w:type="dxa" w:w="4208"/>
          </w:tcPr>
          <w:p>
            <w:pPr>
              <w:pStyle w:val="Normal"/>
            </w:pPr>
            <w:r>
              <w:rPr>
                <w:sz w:val="20"/>
                <w:szCs w:val="22"/>
                <w:lang w:val="en-US" w:eastAsia="en-US" w:bidi="ar-SA"/>
                <w:rFonts w:ascii="Times New Roman" w:hAnsi="Times New Roman" w:eastAsia="Times New Roman" w:cs="Times New Roman"/>
              </w:rPr>
              <w:t>Recorded index and therapist-reported symptom change diverge (5/8 single-session positive change, 2/8 therapist-reported improvement; one of the eight records unverified, §5.5)</w:t>
            </w:r>
          </w:p>
        </w:tc>
        <w:tc>
          <w:tcPr>
            <w:tcW w:type="dxa" w:w="2374"/>
          </w:tcPr>
          <w:p>
            <w:pPr>
              <w:pStyle w:val="Normal"/>
            </w:pPr>
            <w:r>
              <w:rPr>
                <w:sz w:val="20"/>
                <w:szCs w:val="22"/>
                <w:lang w:val="en-US" w:eastAsia="en-US" w:bidi="ar-SA"/>
                <w:rFonts w:ascii="Times New Roman" w:hAnsi="Times New Roman" w:eastAsia="Times New Roman" w:cs="Times New Roman"/>
              </w:rPr>
              <w:t>Competence (SDT) / D2</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Understandable, non-clinical feedback</w:t>
            </w:r>
          </w:p>
        </w:tc>
        <w:tc>
          <w:tcPr>
            <w:tcW w:type="dxa" w:w="4208"/>
          </w:tcPr>
          <w:p>
            <w:pPr>
              <w:pStyle w:val="Normal"/>
            </w:pPr>
            <w:r>
              <w:rPr>
                <w:sz w:val="20"/>
                <w:szCs w:val="22"/>
                <w:lang w:val="en-US" w:eastAsia="en-US" w:bidi="ar-SA"/>
                <w:rFonts w:ascii="Times New Roman" w:hAnsi="Times New Roman" w:eastAsia="Times New Roman" w:cs="Times New Roman"/>
              </w:rPr>
              <w:t>60.0% therapist-reported improvement; satisfaction associated with staying</w:t>
            </w:r>
          </w:p>
        </w:tc>
        <w:tc>
          <w:tcPr>
            <w:tcW w:type="dxa" w:w="2374"/>
          </w:tcPr>
          <w:p>
            <w:pPr>
              <w:pStyle w:val="Normal"/>
            </w:pPr>
            <w:r>
              <w:rPr>
                <w:sz w:val="20"/>
                <w:szCs w:val="22"/>
                <w:lang w:val="en-US" w:eastAsia="en-US" w:bidi="ar-SA"/>
                <w:rFonts w:ascii="Times New Roman" w:hAnsi="Times New Roman" w:eastAsia="Times New Roman" w:cs="Times New Roman"/>
              </w:rPr>
              <w:t>Gerontechnology anxiety (STAM)</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Reward for effort, not only outcome</w:t>
            </w:r>
          </w:p>
        </w:tc>
        <w:tc>
          <w:tcPr>
            <w:tcW w:type="dxa" w:w="4208"/>
          </w:tcPr>
          <w:p>
            <w:pPr>
              <w:pStyle w:val="Normal"/>
            </w:pPr>
            <w:r>
              <w:rPr>
                <w:sz w:val="20"/>
                <w:szCs w:val="22"/>
                <w:lang w:val="en-US" w:eastAsia="en-US" w:bidi="ar-SA"/>
                <w:rFonts w:ascii="Times New Roman" w:hAnsi="Times New Roman" w:eastAsia="Times New Roman" w:cs="Times New Roman"/>
              </w:rPr>
              <w:t>Coin loop present for all players; 9/30 completed ≥4 cycles (co-occurrence, not an attributed effect of coins)</w:t>
            </w:r>
          </w:p>
        </w:tc>
        <w:tc>
          <w:tcPr>
            <w:tcW w:type="dxa" w:w="2374"/>
          </w:tcPr>
          <w:p>
            <w:pPr>
              <w:pStyle w:val="Normal"/>
            </w:pPr>
            <w:r>
              <w:rPr>
                <w:sz w:val="20"/>
                <w:szCs w:val="22"/>
                <w:lang w:val="en-US" w:eastAsia="en-US" w:bidi="ar-SA"/>
                <w:rFonts w:ascii="Times New Roman" w:hAnsi="Times New Roman" w:eastAsia="Times New Roman" w:cs="Times New Roman"/>
              </w:rPr>
              <w:t>Learn-to-earn / D4</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A reason to come back</w:t>
            </w:r>
          </w:p>
        </w:tc>
        <w:tc>
          <w:tcPr>
            <w:tcW w:type="dxa" w:w="4208"/>
          </w:tcPr>
          <w:p>
            <w:pPr>
              <w:pStyle w:val="Normal"/>
            </w:pPr>
            <w:r>
              <w:rPr>
                <w:sz w:val="20"/>
                <w:szCs w:val="22"/>
                <w:lang w:val="en-US" w:eastAsia="en-US" w:bidi="ar-SA"/>
                <w:rFonts w:ascii="Times New Roman" w:hAnsi="Times New Roman" w:eastAsia="Times New Roman" w:cs="Times New Roman"/>
              </w:rPr>
              <w:t>No observed return in Stage 2 (0/21); the cross-stage return contrast is reported in Chapter 6</w:t>
            </w:r>
          </w:p>
        </w:tc>
        <w:tc>
          <w:tcPr>
            <w:tcW w:type="dxa" w:w="2374"/>
          </w:tcPr>
          <w:p>
            <w:pPr>
              <w:pStyle w:val="Normal"/>
            </w:pPr>
            <w:r>
              <w:rPr>
                <w:sz w:val="20"/>
                <w:szCs w:val="22"/>
                <w:lang w:val="en-US" w:eastAsia="en-US" w:bidi="ar-SA"/>
                <w:rFonts w:ascii="Times New Roman" w:hAnsi="Times New Roman" w:eastAsia="Times New Roman" w:cs="Times New Roman"/>
              </w:rPr>
              <w:t>Behavioural intention (TAM/STAM)</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Normal"/>
        <w:jc w:val="both"/>
      </w:pPr>
      <w:r>
        <w:rPr>
          <w:szCs w:val="22"/>
          <w:lang w:val="en-US" w:eastAsia="en-US" w:bidi="ar-SA"/>
          <w:rFonts w:ascii="Times New Roman" w:hAnsi="Times New Roman" w:eastAsia="Times New Roman" w:cs="Times New Roman"/>
          <w:sz w:val="24"/>
        </w:rPr>
        <w:t>Read column-wise, the mapping proposes candidate responses to the observed difficulties. Difficulty adjustment addresses the hypothesis that challenge and capability were poorly aligned; non-terminal states and coaching address the possible significance of verdict-like feedback; and the trajectory display addresses the question of whether users can recognise meaningful progress. None of these needs is uniquely identified by the engagement results. A trajectory display also creates a measurement obligation: it must distinguish improvement at comparable demand from improved performance produced by easier tasks or greater assistance (§7.4). Read row-wise, the mapping offers more than one potential response, allowing subsequent evaluation to compare alternatives. Each relationship should therefore become a prospective question about feasibility, user experience and outcomes, with the limitations in §5.9 and §8.6 bounding the present claims.</w:t>
      </w:r>
    </w:p>
    <w:p>
      <w:pPr>
        <w:pStyle w:val="Normal"/>
        <w:jc w:val="both"/>
      </w:pPr>
      <w:r>
        <w:rPr>
          <w:szCs w:val="22"/>
          <w:lang w:val="en-US" w:eastAsia="en-US" w:bidi="ar-SA"/>
          <w:rFonts w:ascii="Times New Roman" w:hAnsi="Times New Roman" w:eastAsia="Times New Roman" w:cs="Times New Roman"/>
          <w:sz w:val="24"/>
        </w:rPr>
        <w:t>A note on what became of this mapping closes the section. The Stage-3B component study specified after Stage 3A crossed an adaptive-support arm (rule-agent difficulty adjustment with coaching enabled) against a static arm (fixed pace, coaching suppressed), and a zero-failure failure mode against a game-over mode. Its record to the 30 September 2026 cut-off — builds, returns and the reasons the study is no longer used as a test of the adaptive-learning proposal — is compiled in Appendix I; it contains one verified pre-freeze return and the clean-run returns listed there, from which no comparison is computed, so no confirmatory analysis is reported and every designed relationship in Table 5.3 remains a prospective question rather than a tested relationship.</w:t>
      </w:r>
    </w:p>
    <w:p>
      <w:pPr>
        <w:pStyle w:val="Heading2"/>
      </w:pPr>
      <w:r>
        <w:rPr>
          <w:lang w:val="en-US" w:eastAsia="en-US" w:bidi="ar-SA"/>
          <w:color w:val="000000"/>
          <w:szCs w:val="22"/>
        </w:rPr>
        <w:t>5.6 The F4 Cluster and the Recorded-Score–Engagement Discrepancy</w:t>
      </w:r>
    </w:p>
    <w:p>
      <w:pPr>
        <w:jc w:val="both"/>
      </w:pPr>
      <w:r>
        <w:t>A recorded observation sequence from the deployment gives the discrepancy its field texture, and it is the recorded sequence from which the FIAS construct was subsequently built; its reading as a cause-and-consequence chain is an interpretation of that record, not an observed causal structure. The researcher's field notes record, in this order: several players acknowledged the benefits of the FRA and recorded positive index gains through game play; across their second and third cycles the same players encountered recurring in-game failure events - obstacle hits, falls, low-scoring runs - and gave up despite the recorded gains; and as dropouts accumulated, remaining players saw that many of their peers had stopped attending, with further abandonment following that visible thinning of the group — an observed co-occurrence that the researcher interpreted at the time as contributory. Provenance is stated plainly: this is the researcher's field-note record, retrieved from the archive in September 2026 during verification of the record; it is a recorded qualitative sequence, not an instrumented measure, and no per-participant counts attach to it. Three readings follow, each taken up elsewhere. Read as failure events outweighing recorded gains in the participants' own weighing, the sequence would carry the loss-aversion signature the FIAS account formalises (§5.7) — an interpretation of the recorded behaviour, since no participant's weighing of gains against failures was elicited or measured. Under the coupled deployment each in-game failure carried the assessment frame's verdict meaning (§5.2A) - the attachment Stage 3 examines by removing it. And the visible-dropout observation is a within-deployment social channel, taken up with the group-narrative account in §8.6B and the panel's group-dynamics interpretation in §6.8A.</w:t>
      </w:r>
    </w:p>
    <w:p>
      <w:pPr>
        <w:jc w:val="both"/>
      </w:pPr>
      <w:r>
        <w:t>The sustained participants' interview record, entered in the author's entry-and-results sheet and archived with the raw data (Appendix C), adds documented texture on the persistence side of the same discrepancy. All nine would play the game again and all nine were willing to continue using the FRA; enjoyment and perceived usefulness were rated high (means 4.3 and 4.7 of 5) with low discouragement (mean 1.9), and self-rated steering and recovery confidence averaged 7.4 and 7.7 of 10 - measures that exist only for the nine and cannot speak to the dropouts' self-appraisals. Two of the nine spontaneously puzzled over the non-participants ('don't know why others don't try') - a perception held by persistent players, not evidence of the non-participants' motives, and the sustained side of the visible-participation channel taken up in §8.6B. Four of the nine criticised the game's visuals as weak or childish even while rating the experience highly - an echo of the infantilisation risk raised in the expert consultations, and a point that strengthens the implementation-quality alternative (§8.5.7), since the persistent participants themselves identified a presentation weakness; and one record contains an internal contradiction (usefulness disclaimed in one item, endorsed in another), retained as recorded: the record does not resolve whether it reflects item ambiguity, inconsistent responding or the therapist's rendering, so the usefulness mean is read with that uncertainty. The administered wording and scale anchors of the nine items are documented from the entry workbook's question guide, and one completed form (participant S2-P024) has been sighted and matches the entry record and the documented wording; archival copies of the completed forms are not filed with this thesis (Appendix C).</w:t>
      </w:r>
    </w:p>
    <w:p>
      <w:pPr>
        <w:pStyle w:val="Normal"/>
        <w:jc w:val="both"/>
      </w:pPr>
      <w:r>
        <w:rPr>
          <w:i w:val="0"/>
          <w:szCs w:val="22"/>
          <w:lang w:val="en-US" w:eastAsia="en-US" w:bidi="ar-SA"/>
          <w:rFonts w:ascii="Times New Roman" w:hAnsi="Times New Roman" w:eastAsia="Times New Roman" w:cs="Times New Roman"/>
          <w:sz w:val="24"/>
        </w:rPr>
        <w:t>A provisional FIAS composite score was applied to the thirty participants using STAM- and Octalysis-derived attributes. The composite is assembled from thirteen binary attributes drawn from STAM and selected Octalysis drives and is reported on a 0–10 range; the rule that maps the thirteen items onto that range is not reproduced in this thesis: Appendix B states the scheme's structure only, and the item-level codebook, weights and thresholds are a deliverable of the proposed confirmatory study (§8.8). A structural caution applies before any use is made of the distribution: several of the thirteen attributes record engagement and exit behaviour, so a participant who abandoned early necessarily scores high — the clustering of the F4 participants at the top of the scale is therefore partly true by construction, and the composite carries no evidential weight in this thesis. It is retained only as a descriptive case-identification device for referring to the F4 cluster (its distribution is shown in Appendix B, Figure B.1); every evidential statement in this section rests on the directly observed behaviours — single-session exit, non-return during the observation window, and the divergence between recorded score direction and return. Six participants clustered at scores 9-10 (F4): S2-P006, S2-P007, S2-P011, S2-P015, S2-P026 and S2-P028 (author's identification, 30 September 2026; each played a single session). Three of the six (S2-P006, S2-P007 and S2-P015) recorded positive change in the FRA index during their single session and did not return during the observation period; S2-P015 is the record that failed verification (§5.5). These three are not the three single-session participants counted in §5.5 as recording a score increase while being reported as showing no symptom improvement: S2-P006 and S2-P007 are the two single-session participants whom therapists reported as showing improvement, so only S2-P015 falls in both counts, and the other two participants in the §5.5 count are the two single-session participants outside the F4 cluster (Appendix G, item G.2). This recorded-score–engagement discrepancy is an engineering problem: positive recorded change did not coincide with continued use in these cases. It does not uniquely distinguish FIAS from acceptance or continuance explanations. A user may improve at an activity while still finding it uninteresting, burdensome, insufficiently relevant or associated with unwelcome consequences. Identity-relevant endowment, as proposed in Table 2.1, is one possible explanation among these alternatives. The observation shows a divergence between recorded score direction and return behaviour; it does not by itself establish clinical benefit, mental-account closure or identity protection. The F4 cluster is a subset of the eight single-session exits reported in §5.5; the remaining two single-session participants also recorded a positive change, so across all single-session exits the divergence held in five of eight cases, and none of the eight returned.</w:t>
      </w:r>
    </w:p>
    <w:p>
      <w:pPr>
        <w:pStyle w:val="Normal"/>
        <w:jc w:val="both"/>
      </w:pPr>
      <w:r>
        <w:rPr>
          <w:szCs w:val="22"/>
          <w:lang w:val="en-US" w:eastAsia="en-US" w:bidi="ar-SA"/>
          <w:rFonts w:ascii="Times New Roman" w:hAnsi="Times New Roman" w:eastAsia="Times New Roman" w:cs="Times New Roman"/>
          <w:sz w:val="24"/>
        </w:rPr>
        <w:t>The empty interval between scores 5 and 9 in Figure B.1 is not read as evidence of a behavioural discontinuity. Given the construction above, it may be a mechanical effect of the scoring thresholds and the outcome-linked items (criterion contamination), or sampling variation in a cohort of thirty. The item-level codebook — all items, weights, decision rules and missing-data handling, with cycle count and non-return excluded from any predictor score that would then be claimed to predict the same outcome — is specified as a deliverable of the proposed confirmatory study (§8.8); pending it, the composite serves only as the descriptive case-identification device described above and carries no evidential weight. The F4 cluster rests on six participants, so every mechanism claim based on it is provisional until two independent coders apply a fixed rubric with reported agreement and the construct is evaluated in an external sample. A nine-question F4 interview protocol was designed (Appendix C) but not administered in Stage 2; no F4 interview data exist, and the protocol is retained for the proposed confirmatory programme (§8.8). The Stage-2 qualitative record instead comprises the after-game questionnaire completed by all participants and post-deployment interviews with the sustained participants (Appendix C).</w:t>
      </w:r>
    </w:p>
    <w:p>
      <w:pPr>
        <w:pStyle w:val="Heading2"/>
      </w:pPr>
      <w:bookmarkStart w:id="90" w:name="_Toc232024581"/>
      <w:r>
        <w:rPr>
          <w:lang w:val="en-US" w:eastAsia="en-US" w:bidi="ar-SA"/>
          <w:color w:val="000000"/>
          <w:szCs w:val="22"/>
        </w:rPr>
        <w:t>5.7 Theoretical Extension: Endowment, Stereotype Threat, Domain Reframing</w:t>
      </w:r>
      <w:bookmarkEnd w:id="90"/>
    </w:p>
    <w:p>
      <w:pPr>
        <w:pStyle w:val="Normal"/>
        <w:jc w:val="both"/>
      </w:pPr>
      <w:r>
        <w:rPr>
          <w:szCs w:val="22"/>
          <w:lang w:val="en-US" w:eastAsia="en-US" w:bidi="ar-SA"/>
          <w:rFonts w:ascii="Times New Roman" w:hAnsi="Times New Roman" w:eastAsia="Times New Roman" w:cs="Times New Roman"/>
          <w:sz w:val="24"/>
        </w:rPr>
        <w:t>Stage 2 extended the FIAS hypothesis with three candidate theoretical components, each of which occupies a row of Table 2.1. First, identity-relevant endowment (row two) conceptualises resistance to unfavourable revaluation of a valued health self-concept — the discrepancy in §5.6 is compatible with this account but is not a distinctive diagnostic signature. Second, stereotype threat (row four) is one possible trigger by which clinical and age-related cues make decline salient. Third, mental accounting (row three) implies the candidate intervention: if the clinical frame is what sorts the session into a high-stakes health account, then presenting the same task as a coordination challenge should change the meaning of failure. That is the prediction Stage 3 was designed to probe. These operators were not directly measured, so H5 was framed as a directional test — whether a participant-facing decoupling package is associated with more post-failure return — not as a definitive test that domain reframing 'prevents FIAS'. Figure 5.6 sets out the observed non-return alongside these candidate explanatory pathways, all of which remain hypotheses.</w:t>
      </w:r>
    </w:p>
    <w:p>
      <w:pPr>
        <w:pStyle w:val="Normal"/>
        <w:keepNext/>
        <w:spacing w:before="160" w:after="40"/>
        <w:jc w:val="center"/>
      </w:pPr>
      <w:r>
        <w:drawing>
          <wp:inline>
            <wp:extent cx="5358384" cy="3302502"/>
            <wp:docPr id="36" name="Picture 36" descr="Figure 5.6. Observed non-return and candidate explanatory pathways."/>
            <wp:cNvGraphicFramePr>
              <a:graphicFrameLocks noChangeAspect="1"/>
            </wp:cNvGraphicFramePr>
            <a:graphic>
              <a:graphicData uri="http://schemas.openxmlformats.org/drawingml/2006/picture">
                <pic:pic>
                  <pic:nvPicPr>
                    <pic:cNvPr id="0" name="figure_P0585.png"/>
                    <pic:cNvPicPr/>
                  </pic:nvPicPr>
                  <pic:blipFill>
                    <a:blip r:embed="rId45"/>
                    <a:stretch>
                      <a:fillRect/>
                    </a:stretch>
                  </pic:blipFill>
                  <pic:spPr>
                    <a:xfrm>
                      <a:off x="0" y="0"/>
                      <a:ext cx="5358384" cy="3302502"/>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5.6. Observed non-return and candidate explanatory pathways. Identity-related appraisal, information avoidance and practical burdens remain hypotheses; none was measured as a causal mechanism. The proposed responses require prospective comparison.</w:t>
      </w:r>
    </w:p>
    <w:p>
      <w:pPr>
        <w:pStyle w:val="Heading2"/>
      </w:pPr>
      <w:bookmarkStart w:id="91" w:name="_Toc232024582"/>
      <w:r>
        <w:rPr>
          <w:lang w:val="en-US" w:eastAsia="en-US" w:bidi="ar-SA"/>
          <w:color w:val="000000"/>
          <w:szCs w:val="22"/>
        </w:rPr>
        <w:t>5.8 Information-Entropy Lens</w:t>
      </w:r>
      <w:bookmarkEnd w:id="91"/>
    </w:p>
    <w:p>
      <w:pPr>
        <w:pStyle w:val="Normal"/>
        <w:jc w:val="both"/>
      </w:pPr>
      <w:r>
        <w:rPr>
          <w:szCs w:val="22"/>
          <w:lang w:val="en-US" w:eastAsia="en-US" w:bidi="ar-SA"/>
          <w:rFonts w:ascii="Times New Roman" w:hAnsi="Times New Roman" w:eastAsia="Times New Roman" w:cs="Times New Roman"/>
          <w:sz w:val="24"/>
        </w:rPr>
        <w:t>The entropy language in this thesis is a bridge model, not a measured result. The archived Stage-2 dataset does not preserve timing between events, so no temporal claim about the interval between first failure and final interaction is made. Whether a belief changed, when it changed, and whether an information-theoretic entropy reduction occurred are propositions that require repeated belief elicitation before and after a failure event.</w:t>
      </w:r>
    </w:p>
    <w:p>
      <w:pPr>
        <w:pStyle w:val="Heading2"/>
      </w:pPr>
      <w:bookmarkStart w:id="92" w:name="_Toc232024583"/>
      <w:r>
        <w:rPr>
          <w:lang w:val="en-US" w:eastAsia="en-US" w:bidi="ar-SA"/>
          <w:color w:val="000000"/>
          <w:szCs w:val="22"/>
        </w:rPr>
        <w:t>5.9 Limitations and What Stage 2 Establishes</w:t>
      </w:r>
      <w:bookmarkEnd w:id="92"/>
    </w:p>
    <w:p>
      <w:pPr>
        <w:pStyle w:val="Normal"/>
        <w:jc w:val="both"/>
      </w:pPr>
      <w:r>
        <w:rPr>
          <w:i w:val="0"/>
          <w:szCs w:val="22"/>
          <w:lang w:val="en-US" w:eastAsia="en-US" w:bidi="ar-SA"/>
          <w:rFonts w:ascii="Times New Roman" w:hAnsi="Times New Roman" w:eastAsia="Times New Roman" w:cs="Times New Roman"/>
          <w:sz w:val="24"/>
        </w:rPr>
        <w:t>Stage 2 is an exploratory field study, and its boundaries are part of its design rather than flaws discovered afterwards. The sample is small, single-site and not demographically diverse, which is what allowed an embedded researcher to watch every participant's journey closely; the observation window is eight weeks, long enough to see the abandonment pattern form but too short for claims about sustained use beyond it. The archive holds cycle counts and pre/post scores rather than timestamps, so the temporal structure of disengagement could not be analysed and remains a question for the instrumented next study. The recorded index derives from a baseline value and from each participant's final play (§5.5), on a single instrument whose short-interval test-retest variability is expected to be non-trivial, judging from the nearest available reliability study — a related multi-component FRA system assessed under its own score and protocol (Kim et al., 2018), so within-deployment change is read as a promising signal to be confirmed. Self-reports were gathered by facility staff, whose familiarity put participants at ease but may also have inclined answers toward courtesy, particularly since participants knew the deployment was a facility initiative — both effects are acknowledged. The week-2 motivational-orientation classification was withdrawn when its coding records could not be produced (§5.5); the provisional FIAS composite reuses cycle-count information and awaits its independent codebook; FES-I was not available as a baseline covariate and is specified as a baseline covariate in the proposed quantitative comparison (§6.10, Table 6.4); the embedded investigator was not complemented by an independent observer; and the clinical meaning of short-term index change is a question this thesis deliberately leaves to clinical colleagues. The cohort is additionally self-selected: thirty of the 200 invited Stage-1 respondents joined (§5.4), so the sample over-represents residents already willing to approach the station - the observed refusal of the remaining 170 sits outside the analysed data, while the early drop-off reported in §5.5 occurred within this already-willing minority.</w:t>
      </w:r>
    </w:p>
    <w:p>
      <w:pPr>
        <w:pStyle w:val="Normal"/>
        <w:jc w:val="both"/>
      </w:pPr>
      <w:r>
        <w:rPr>
          <w:szCs w:val="22"/>
          <w:lang w:val="en-US" w:eastAsia="en-US" w:bidi="ar-SA"/>
          <w:rFonts w:ascii="Times New Roman" w:hAnsi="Times New Roman" w:eastAsia="Times New Roman" w:cs="Times New Roman"/>
          <w:sz w:val="24"/>
        </w:rPr>
        <w:t>What Stage 2 establishes is narrower and stronger: within the eight-week deployment, early disengagement was common (exits clustered at or before three cycles; the archive preserves cycle counts, not timestamps, so no time-to-event claim is made); no re-engagement was observed among low-engagement participants; and a small subgroup showed positive recorded score change without return. Stage 2 also generated candidate mechanisms and the decoupling hypothesis for Stage 3. It does not validate the FIAS composite, prove permanence, verify mental accounting or stereotype threat, or establish that score improvement was clinically meaningful. In the terms set by Chapter 2, these observations did not support the original design expectation labelled H0 (§2.3.5). Designing the intervention around acceptance and gamification principles was insufficient to secure the anticipated engagement in this deployment. That finding motivates refinement of the intervention and its explanatory assumptions; it does not reject the acceptance and gamification literatures or establish that adaptive learning is the only effective response.</w:t>
      </w:r>
    </w:p>
    <w:p>
      <w:pPr>
        <w:pStyle w:val="Normal"/>
        <w:spacing w:after="200" w:line="276" w:lineRule="auto"/>
        <w:rPr>
          <w:rFonts w:asciiTheme="majorHAnsi" w:eastAsiaTheme="majorEastAsia" w:hAnsiTheme="majorHAnsi" w:cstheme="majorBidi"/>
          <w:b/>
          <w:bCs/>
          <w:color w:val="000000"/>
          <w:sz w:val="32"/>
          <w:szCs w:val="28"/>
        </w:rPr>
      </w:pPr>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2"/>
        </w:rPr>
        <w:t>Chapter 6 Stage 3 — Participant-Facing Decoupling: Between-Cohort Evidence for a Frame-Sensitive Account</w:t>
      </w:r>
    </w:p>
    <w:p>
      <w:pPr>
        <w:pStyle w:val="Heading2"/>
      </w:pPr>
      <w:bookmarkStart w:id="93" w:name="_Toc232024585"/>
      <w:r>
        <w:rPr>
          <w:lang w:val="en-US" w:eastAsia="en-US" w:bidi="ar-SA"/>
          <w:color w:val="000000"/>
          <w:szCs w:val="22"/>
        </w:rPr>
        <w:t>6.1 Why a Decoupling Stage</w:t>
      </w:r>
      <w:bookmarkEnd w:id="93"/>
    </w:p>
    <w:p>
      <w:pPr>
        <w:pStyle w:val="Normal"/>
        <w:jc w:val="both"/>
      </w:pPr>
      <w:r>
        <w:rPr>
          <w:szCs w:val="22"/>
          <w:lang w:val="en-US" w:eastAsia="en-US" w:bidi="ar-SA"/>
          <w:rFonts w:ascii="Times New Roman" w:hAnsi="Times New Roman" w:eastAsia="Times New Roman" w:cs="Times New Roman"/>
          <w:sz w:val="24"/>
        </w:rPr>
        <w:t>The engagement observed in Stage 2 did not support the original design expectation and left several explanations open. One was a frame-sensitive account: clinical and assessment-related cues might alter the meaning of difficulty and discourage return. Alternatives included the game's demands or appeal, participants' health and prior experience, practical burdens and the facility context. Stage 3 examined a decoupled implementation in a separate cohort to establish whether return after initial disengagement was possible under that redesigned package. A broad claim that older adults cannot engage with gamified activities would predict little engagement even there, but that universal claim is not the only substantive alternative to the framing account. Stage 3 therefore provides a non-equivalent-cohort comparison that motivates direct causal testing; it does not identify clinical coupling as the cause of the Stage-2 result. Two questions carried over from Stage 2: whether participants would recognise the activity as a coordination challenge and whether post-failure return would occur after the participant-facing clinical cues were removed. Because the formal Stage-2 motivational classification was withdrawn (§5.5), Stage 3 does not test change in that classification. Cohort, setting, platform and recruitment changes remain part of the observed comparison. In programme documents and review presentations this decoupled study is designated Stage 3A; the component experiment specified after it is Stage 3B, whose design parameters, builds and record to the 30 September 2026 cut-off are documented in §8.8 and Appendix I. Stage-3B returns form no part of the evidence on which this thesis concludes, and the adaptive-learning proposition that study was built to examine is treated as a discussion and future-study direction (§6.8, §8.8). This chapter reports the Stage-3A study.</w:t>
      </w:r>
    </w:p>
    <w:p>
      <w:pPr>
        <w:pStyle w:val="Heading2"/>
      </w:pPr>
      <w:bookmarkStart w:id="94" w:name="_Toc232024586"/>
      <w:r>
        <w:rPr>
          <w:lang w:val="en-US" w:eastAsia="en-US" w:bidi="ar-SA"/>
          <w:color w:val="000000"/>
          <w:szCs w:val="22"/>
        </w:rPr>
        <w:t>6.2 Research Question and Predictions</w:t>
      </w:r>
      <w:bookmarkEnd w:id="94"/>
    </w:p>
    <w:p>
      <w:pPr>
        <w:pStyle w:val="Normal"/>
        <w:jc w:val="both"/>
      </w:pPr>
      <w:r>
        <w:rPr>
          <w:i w:val="0"/>
          <w:szCs w:val="22"/>
          <w:lang w:val="en-US" w:eastAsia="en-US" w:bidi="ar-SA"/>
          <w:rFonts w:ascii="Times New Roman" w:hAnsi="Times New Roman" w:eastAsia="Times New Roman" w:cs="Times New Roman"/>
          <w:sz w:val="24"/>
        </w:rPr>
        <w:t>Stage 3 examined three directional expectations associated with the frame-sensitive account. First, observed non-return under the decoupled implementation would be lower than the Stage-2 rate. Second, some initial dropouts would return. Third, most participants would recognise the activity as a coordination challenge and a substantial proportion would express regular-use intention. The coordination item was included to ask whether the player recognised the activity as a coordination challenge; its count is reported as a positive-coded response rather than as a validated check that the intended frame was perceived (§6.5), and it does not measure motivational orientation. The multi-age cohort also permits an exploratory test of H0-age, the equal-proportions null examined after the age-stratified data were tabulated (§3.5). An age difference within the decoupled implementation can reveal remaining age-associated barriers, but cannot distinguish identity-related appraisal from other mechanisms or estimate an age-by-clinical-framing interaction.</w:t>
      </w:r>
    </w:p>
    <w:p>
      <w:pPr>
        <w:pStyle w:val="Heading2"/>
      </w:pPr>
      <w:r>
        <w:rPr>
          <w:lang w:val="en-US" w:eastAsia="en-US" w:bidi="ar-SA"/>
          <w:color w:val="000000"/>
          <w:szCs w:val="22"/>
        </w:rPr>
        <w:t>6.3 Methodology: A Participant-Facing Decoupling Package in a Separate Cohort</w:t>
      </w:r>
    </w:p>
    <w:p>
      <w:pPr>
        <w:pStyle w:val="Normal"/>
        <w:jc w:val="both"/>
      </w:pPr>
      <w:r>
        <w:rPr>
          <w:szCs w:val="22"/>
          <w:lang w:val="en-US" w:eastAsia="en-US" w:bidi="ar-SA"/>
          <w:rFonts w:ascii="Times New Roman" w:hAnsi="Times New Roman" w:eastAsia="Times New Roman" w:cs="Times New Roman"/>
          <w:sz w:val="24"/>
        </w:rPr>
        <w:t>Stage 3 evaluates a participant-facing redesign package in a separate cohort. Stage 2 used a coupled clinical-game context that included an InBody body-composition scan, clinical pass/fail language, parallel clinical recording and repeated use of the term "assessment". Stage 3 removed these participant-facing clinical cues by moving the game off the clinical apparatus altogether: the game was re-implemented as a separate, distributable HTML build and sent to participants by e-mail, no pre-session InBody scan was conducted, the activity was presented as a purely-fun coordination game, clinical labels were removed, and the interface was re-skinned. The skiing mechanic and session structure were carried into the Stage-3 build, which added an in-game five-attempt counter; the pressure-panel apparatus, the clinical setting and in-person supervision were not. These changes constitute a multi-component decoupling package. The design retains the game mechanics but does not isolate lexical framing from procedural, architectural, platform and setting changes, nor from between-cohort differences. The decoupling operated at the artefact level rather than by concealment: the invitation e-mails openly disclosed the doctoral research context, including the programme's fall-risk origin, but the activity itself carried no assessment framing and delivered no health verdict. The disclosed origin and redesigned activity need to be considered separately: return occurred in a setting where the research origin was disclosed and the activity delivered no health verdict. This observation does not isolate the influence of participants' knowledge, the interface response to difficulty or the other changes between stages.</w:t>
      </w:r>
    </w:p>
    <w:p>
      <w:pPr>
        <w:pStyle w:val="Heading2"/>
      </w:pPr>
      <w:bookmarkStart w:id="95" w:name="_Toc232024588"/>
      <w:r>
        <w:rPr>
          <w:lang w:val="en-US" w:eastAsia="en-US" w:bidi="ar-SA"/>
          <w:color w:val="000000"/>
          <w:szCs w:val="22"/>
        </w:rPr>
        <w:t>6.4 Participants and Apparatus</w:t>
      </w:r>
      <w:bookmarkEnd w:id="95"/>
    </w:p>
    <w:p>
      <w:pPr>
        <w:pStyle w:val="Normal"/>
        <w:jc w:val="both"/>
      </w:pPr>
      <w:r>
        <w:rPr>
          <w:szCs w:val="22"/>
          <w:lang w:val="en-US" w:eastAsia="en-US" w:bidi="ar-SA"/>
          <w:rFonts w:ascii="Times New Roman" w:hAnsi="Times New Roman" w:eastAsia="Times New Roman" w:cs="Times New Roman"/>
          <w:sz w:val="24"/>
        </w:rPr>
        <w:t>One hundred and twenty adults aged 25–80 were recruited through the author's Hong Kong-based networks — family and personal contacts, work contacts, a charity community network, university support channels and working peers in medical centres — in three age bands: 38 aged 25–44, 41 aged 45–64 and 41 aged 65–80. Recruitment began on 3 April 2026, later than the period stated in the invitation's heading. By the account of the research assistant who handled collection, relayed by the author on 30 September 2026, most participants played after the recruitment deadline, and returns - especially from the oldest band, who could be reached only with proper communication and arrangements - continued to arrive until July 2026, when the returns were compiled and processed. The invitation on file (a 4 August 2026 reconstruction of the participant invitation, headed 'From March to April 2026') opened with falls and balance training, disclosed the game's origin in an FRA balance platform and offered a browser version with that platform decoupled; the distributor e-mails presented the activity as a purely-fun coordination game; the in-game interface carried no clinical labels, scores or risk outputs and delivered no clinical output. Recruitment materials therefore retained fall-prevention vocabulary, and the decoupling is artefact-level, not a removal of all health framing. The distributor-tier invitations are archived (Appendix G, item G.5). Distribution was carried out by twenty research assistants recruited and briefed by the author through those networks, each asked to find about ten players across the age bands (how many people they invited was not recorded; returns for 120 participants were received, and no Stage-3A participant had played the game before): most participants received the HTML build by e-mail with a written introduction and played on their own computer with arrow keys or a foot-pad sensor where one was available (keyboard or foot-pad control was retained in Stage 3A to keep the control demands closer to the Stage-2 station), while some older participants played on an iPad on which the build had been pre-installed, with an external keyboard; supervision of play was not required (unlike the therapist-supervised Stage-2 sessions); by the author's account, some older participants played on a tablet with a research assistant beside them to help operate the device without playing on their behalf, with input by keyboard on one of the two Stage-3A builds (neither has touch controls); the number of such sessions and the participants concerned were not recorded, so assistance cannot be linked to individual records. By the author's account (2 October 2026), the twenty distributors - members of separate Hong Kong groups, eligible to play and without prior knowledge of the gamified FRA - also played, and their own records are among the 120; they were briefed only on the distribution task, and their records cannot be separated from those of the players they recruited. Of the 120 participants, 48 were recorded as male and 72 as female in the aggregate summary, which gives no breakdown of sex by age band, and all were recorded as having high-school education or above.</w:t>
      </w:r>
    </w:p>
    <w:p>
      <w:pPr>
        <w:jc w:val="both"/>
      </w:pPr>
      <w:r>
        <w:t>Two recruitment decisions were deliberate. First, the Stage-2 facility was not re-used for the decoupled deployment: its residents already carried direct experience of the coupled system, and their prior exposure and attitudes would have contaminated a test of how the decoupled frame is received on first contact. A separate cohort was therefore a design choice, not only a constraint. Second, distribution deliberately extended beyond the author's immediate circle: the organisations and contacts who received the build forwarded it onward, so that a portion of participants were personally unknown to the author. This onward (snowball) distribution broadened recruitment beyond direct acquaintances, but does not quantify or eliminate selection associated with personal networks, interest or obligation to intermediaries. It also leaves the cohort without a compiled invitation denominator: the aggregate record counts the 120 participants whose returned materials were compiled, not the number of people to whom the build was forwarded, so a response rate — and an accounting of recipients who received the build but returned no e-mail, or whose returns lacked the results file or the questionnaire — cannot be computed from the register. The distributor invitations on file (Appendix G, item G.5) record what recipients were told; because the returns were not retained as separate records (Appendix G, item G.3), no index of dates, channels and returned files can be compiled, and the invitation-and-return accounting cannot be reconstructed.</w:t>
      </w:r>
    </w:p>
    <w:p>
      <w:pPr>
        <w:pStyle w:val="Normal"/>
        <w:jc w:val="both"/>
      </w:pPr>
      <w:r>
        <w:rPr>
          <w:szCs w:val="22"/>
          <w:lang w:val="en-US" w:eastAsia="en-US" w:bidi="ar-SA"/>
          <w:rFonts w:ascii="Times New Roman" w:hAnsi="Times New Roman" w:eastAsia="Times New Roman" w:cs="Times New Roman"/>
          <w:sz w:val="24"/>
        </w:rPr>
        <w:t>Stage-3 data collection is complete. The primary records were the participants' returned materials, and they were not retained as separate records. The build saved nothing automatically: after each run it displayed a summary that the player could export as a CSV file or copy, so the returns arrived by e-mail in mixed formats - exported files or copied or typed text - together with the questionnaire responses, and they were not organised at the time. With the first build, results and stopping were recorded by hand by assistants who were not always beside the player, so stopping times are approximate (author's account, 2 October 2026). Exporting results from the archived build was optional and not every player did so, so returns arrived over several weeks; they were compiled into the aggregate summary in July 2026 and were not kept separately afterwards. Three outcome definitions are used throughout this chapter. The classifications follow a failure-then-stop rule stated by the author (30 September and 2 October 2026): initial dropout denotes a participant who stopped playing after a failure, an outcome the aggregate register labels 'dropped out before completing 5 attempts'. For older participants who played with an assistant beside them (which participants these were was not recorded, as noted above), the failure and the stop were observed directly; for the others they were inferred from the reported results - a run ending in failure, which the author's account (30 September 2026) places in the earlier version - or from not playing a further session after the first game, so a participant who stopped after the first game was counted as an initial dropout even where no failure was recorded. Distributors received both builds - an earlier version, in which a run could end in a game over, and later the archived build, first created on 13 July 2026 (both builds open in zero-failure mode by default and carry a game-over mode that must be switched on; a copy of an earlier build supplied by the author on 30 September 2026 is archived as received and entered in the build-lineage matrix, Appendix G, item G.0A) - and passed them on to their networks. Implementation limitations observed with the earlier version led to the archived build, and the main period of play was postponed to late July 2026 (author's account, 2 October 2026), so most returns, including returns after an initial dropout, fell within a few weeks before the compilation; a participant may have played either or both, and the returns did not record which, so the number who played each build is unknown. Whether those attempts fell within one sitting or across separate sessions is not recorded in the aggregate register, so the register's own unit (attempts) is used here and 'session' is reserved for a separately dated play occasion where the returned files record one. A return denotes an initial dropout who played again, on either build, at any time before the July 2026 compilation; how long or how often a participant played on return was not counted, and, by the author's account (2 October 2026), some returners played the archived build, although the returns did not record the build. Whether a return followed a reminder or the receipt of a newer build was not recorded. Counting a participant first as an initial dropout and then as returning inside the same study window presupposes a disengagement checkpoint earlier than the end of that window; the aggregate register preserves neither the operative checkpoint — the inactivity gap that separated a dropout followed by return from an ordinary interval between sessions — nor per-participant session dates, so the timing rule behind the dropout and return classifications cannot be reconstructed from the aggregates alone. Because the returns were not retained separately, a participant-level compilation into the logbook (Appendix G, item G.3) cannot be made, so per-participant observation timelines are not available and the dropout and return counts are reported as compiled, subject to this definitional limit. Observed non-return denotes an initial dropout who never played again inside the study window, and continued or resumed play is its complement over the cohort: a participant who did not drop out, or who dropped out and later played again, is counted. Because a single later play of any length counted as a return and no activity was checked at the end of the window, this is not a retention measure; the single term continued or resumed play is used throughout this chapter for that construct. The chapter therefore reports the aggregate summary compiled from the returns in July 2026 (Appendix G, item G.3); the logbook's participant-level sheets are not populated, so the summary cannot be checked against individual entries. The logbook also retains a raw import sheet whose per-band figures disagree with the summary in ten values; it was staged from a constructed file received in July 2026, not a transcription of the returns, and is quarantined and not used, so its disagreement says nothing about the summary's accuracy; the summary's only checks are internal arithmetic and agreement of its band sizes with the workbook's codebook counts (Appendix G, item G.3).</w:t>
      </w:r>
    </w:p>
    <w:p>
      <w:pPr>
        <w:pStyle w:val="Normal"/>
        <w:jc w:val="both"/>
      </w:pPr>
      <w:r>
        <w:rPr>
          <w:szCs w:val="22"/>
          <w:lang w:val="en-US" w:eastAsia="en-US" w:bidi="ar-SA"/>
          <w:rFonts w:ascii="Times New Roman" w:hAnsi="Times New Roman" w:eastAsia="Times New Roman" w:cs="Times New Roman"/>
          <w:sz w:val="24"/>
        </w:rPr>
        <w:t>How the record's limits bear on each headline figure. The record's limits apply to every Stage-3 figure: there is no invitation denominator; the returns were not retained, so no figure can be checked against individual records; the checkpoint separating a dropout followed by return from an ordinary interval between sessions is not reconstructable; some initial dropouts were classified without a recorded failure; the 120 include the distributors' own records, which cannot be separated from those of the players they recruited; and two builds were in use, with no per-participant record of which build each participant played. Their bearing differs by figure. The 93.3% and 85.4% figures for continued or resumed play describe the compiled cohort only: without a denominator they are not participation or uptake rates, and because a single later play counted as a return, they show that play continued or resumed, not that it was sustained. The return figures - 15 of 23 initial dropouts overall and 10 of 16 (62.5%) aged 65–80 - are the most exposed to the classification limits: a dropout inferred without a recorded failure, or a short pause read as a dropout, would enter both numerator and denominator in ways the record cannot check, and because the main period of play fell in late July 2026 and the returns were compiled in July 2026, the window for a return after the main period of play was short; its length is not recorded, and a return on the earlier build could have occurred at any time after first play. None of these figures supports a causal estimate of decoupling, a comparison between builds, or a separation of distributors from the players they recruited; the 93.3% and 85.4% figures support only the descriptive statement that, in this compiled cohort, continued or resumed play was recorded for most participants, and the return figures support only the descriptive statement that most initial dropouts were recorded as playing again.</w:t>
      </w:r>
    </w:p>
    <w:p>
      <w:pPr>
        <w:pStyle w:val="Heading2"/>
      </w:pPr>
      <w:bookmarkStart w:id="96" w:name="_Toc232024589"/>
      <w:r>
        <w:rPr>
          <w:lang w:val="en-US" w:eastAsia="en-US" w:bidi="ar-SA"/>
          <w:color w:val="000000"/>
          <w:szCs w:val="22"/>
        </w:rPr>
        <w:t>6.5 Findings: A Substantial Behavioural Shift</w:t>
      </w:r>
      <w:bookmarkEnd w:id="96"/>
    </w:p>
    <w:p>
      <w:pPr>
        <w:pStyle w:val="FigureCaption"/>
        <w:keepNext/>
        <w:keepLines/>
        <w:jc w:val="center"/>
      </w:pPr>
      <w:bookmarkStart w:id="97" w:name="_Toc232024701"/>
      <w:r>
        <w:rPr>
          <w:sz w:val="24"/>
          <w:szCs w:val="22"/>
          <w:lang w:val="en-US" w:eastAsia="en-US" w:bidi="ar-SA"/>
          <w:rFonts w:ascii="Times New Roman" w:hAnsi="Times New Roman" w:eastAsia="Times New Roman" w:cs="Times New Roman"/>
          <w:i/>
          <w:b/>
        </w:rPr>
        <w:t>Table 6.1. Stage-3 overall engagement and dropout (N = 120).</w:t>
      </w:r>
      <w:bookmarkEnd w:id="97"/>
    </w:p>
    <w:tbl>
      <w:tblPr>
        <w:tblStyle w:val="TableGrid"/>
        <w:tblW w:w="8505" w:type="dxa"/>
        <w:jc w:val="center"/>
        <w:tblLayout w:type="fixed"/>
        <w:tblLook w:val="04A0" w:firstRow="1" w:lastRow="0" w:firstColumn="1" w:lastColumn="0" w:noHBand="0" w:noVBand="1"/>
      </w:tblPr>
      <w:tblGrid>
        <w:gridCol w:w="4518"/>
        <w:gridCol w:w="1993"/>
        <w:gridCol w:w="1994"/>
      </w:tblGrid>
      <w:tr>
        <w:trPr>
          <w:jc w:val="center"/>
          <w:tblHeader/>
          <w:cantSplit/>
        </w:trPr>
        <w:tc>
          <w:tcPr>
            <w:tcW w:w="4518" w:type="dxa"/>
          </w:tcPr>
          <w:p>
            <w:pPr>
              <w:pStyle w:val="Normal"/>
              <w:keepNext w:val="0"/>
              <w:keepLines/>
            </w:pPr>
            <w:r>
              <w:rPr>
                <w:b/>
                <w:sz w:val="18"/>
                <w:szCs w:val="26"/>
                <w:lang w:val="en-US" w:eastAsia="en-US" w:bidi="ar-SA"/>
                <w:rFonts w:ascii="Times New Roman" w:hAnsi="Times New Roman" w:eastAsia="Times New Roman" w:cs="Times New Roman"/>
              </w:rPr>
              <w:t>Engagement metric</w:t>
            </w:r>
          </w:p>
        </w:tc>
        <w:tc>
          <w:tcPr>
            <w:tcW w:w="1993" w:type="dxa"/>
          </w:tcPr>
          <w:p>
            <w:pPr>
              <w:pStyle w:val="Normal"/>
              <w:keepNext w:val="0"/>
              <w:keepLines/>
            </w:pPr>
            <w:r>
              <w:rPr>
                <w:b/>
                <w:sz w:val="18"/>
                <w:szCs w:val="26"/>
                <w:lang w:val="en-US" w:eastAsia="en-US" w:bidi="ar-SA"/>
                <w:rFonts w:ascii="Times New Roman" w:hAnsi="Times New Roman" w:eastAsia="Times New Roman" w:cs="Times New Roman"/>
              </w:rPr>
              <w:t>Count</w:t>
            </w:r>
          </w:p>
        </w:tc>
        <w:tc>
          <w:tcPr>
            <w:tcW w:w="1994" w:type="dxa"/>
          </w:tcPr>
          <w:p>
            <w:pPr>
              <w:pStyle w:val="Normal"/>
              <w:keepNext w:val="0"/>
              <w:keepLines/>
            </w:pPr>
            <w:r>
              <w:rPr>
                <w:b/>
                <w:sz w:val="18"/>
                <w:szCs w:val="26"/>
                <w:lang w:val="en-US" w:eastAsia="en-US" w:bidi="ar-SA"/>
                <w:rFonts w:ascii="Times New Roman" w:hAnsi="Times New Roman" w:eastAsia="Times New Roman" w:cs="Times New Roman"/>
              </w:rPr>
              <w:t>Percentage</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Initial dropout</w:t>
            </w:r>
          </w:p>
        </w:tc>
        <w:tc>
          <w:tcPr>
            <w:tcW w:w="1993" w:type="dxa"/>
          </w:tcPr>
          <w:p>
            <w:pPr>
              <w:pStyle w:val="Normal"/>
            </w:pPr>
            <w:r>
              <w:rPr>
                <w:sz w:val="24"/>
                <w:szCs w:val="22"/>
                <w:lang w:val="en-US" w:eastAsia="en-US" w:bidi="ar-SA"/>
                <w:rFonts w:ascii="Times New Roman" w:hAnsi="Times New Roman" w:eastAsia="Times New Roman" w:cs="Times New Roman"/>
              </w:rPr>
              <w:t>23/120</w:t>
            </w:r>
          </w:p>
        </w:tc>
        <w:tc>
          <w:tcPr>
            <w:tcW w:w="1994" w:type="dxa"/>
          </w:tcPr>
          <w:p>
            <w:pPr>
              <w:pStyle w:val="Normal"/>
            </w:pPr>
            <w:r>
              <w:rPr>
                <w:sz w:val="24"/>
                <w:szCs w:val="22"/>
                <w:lang w:val="en-US" w:eastAsia="en-US" w:bidi="ar-SA"/>
                <w:rFonts w:ascii="Times New Roman" w:hAnsi="Times New Roman" w:eastAsia="Times New Roman" w:cs="Times New Roman"/>
              </w:rPr>
              <w:t>19.2</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Returned after dropout</w:t>
            </w:r>
          </w:p>
        </w:tc>
        <w:tc>
          <w:tcPr>
            <w:tcW w:w="1993" w:type="dxa"/>
          </w:tcPr>
          <w:p>
            <w:pPr>
              <w:pStyle w:val="Normal"/>
            </w:pPr>
            <w:r>
              <w:rPr>
                <w:sz w:val="24"/>
                <w:szCs w:val="22"/>
                <w:lang w:val="en-US" w:eastAsia="en-US" w:bidi="ar-SA"/>
                <w:rFonts w:ascii="Times New Roman" w:hAnsi="Times New Roman" w:eastAsia="Times New Roman" w:cs="Times New Roman"/>
              </w:rPr>
              <w:t>15/23</w:t>
            </w:r>
          </w:p>
        </w:tc>
        <w:tc>
          <w:tcPr>
            <w:tcW w:w="1994" w:type="dxa"/>
          </w:tcPr>
          <w:p>
            <w:pPr>
              <w:pStyle w:val="Normal"/>
            </w:pPr>
            <w:r>
              <w:rPr>
                <w:sz w:val="24"/>
                <w:szCs w:val="22"/>
                <w:lang w:val="en-US" w:eastAsia="en-US" w:bidi="ar-SA"/>
                <w:rFonts w:ascii="Times New Roman" w:hAnsi="Times New Roman" w:eastAsia="Times New Roman" w:cs="Times New Roman"/>
              </w:rPr>
              <w:t>65.2</w:t>
            </w:r>
          </w:p>
        </w:tc>
      </w:tr>
      <w:tr>
        <w:trPr>
          <w:jc w:val="center"/>
          <w:cantSplit/>
        </w:trPr>
        <w:tc>
          <w:tcPr>
            <w:tcW w:w="4518" w:type="dxa"/>
          </w:tcPr>
          <w:p>
            <w:pPr>
              <w:pStyle w:val="Normal"/>
            </w:pPr>
            <w:r>
              <w:rPr>
                <w:szCs w:val="22"/>
                <w:lang w:val="en-US" w:eastAsia="en-US" w:bidi="ar-SA"/>
                <w:rFonts w:ascii="Times New Roman" w:hAnsi="Times New Roman" w:eastAsia="Times New Roman" w:cs="Times New Roman"/>
                <w:sz w:val="24"/>
              </w:rPr>
              <w:t>Observed non-return by the July 2026 compilation</w:t>
            </w:r>
          </w:p>
        </w:tc>
        <w:tc>
          <w:tcPr>
            <w:tcW w:w="1993" w:type="dxa"/>
          </w:tcPr>
          <w:p>
            <w:pPr>
              <w:pStyle w:val="Normal"/>
            </w:pPr>
            <w:r>
              <w:rPr>
                <w:sz w:val="24"/>
                <w:szCs w:val="22"/>
                <w:lang w:val="en-US" w:eastAsia="en-US" w:bidi="ar-SA"/>
                <w:rFonts w:ascii="Times New Roman" w:hAnsi="Times New Roman" w:eastAsia="Times New Roman" w:cs="Times New Roman"/>
              </w:rPr>
              <w:t>8/120</w:t>
            </w:r>
          </w:p>
        </w:tc>
        <w:tc>
          <w:tcPr>
            <w:tcW w:w="1994" w:type="dxa"/>
          </w:tcPr>
          <w:p>
            <w:pPr>
              <w:pStyle w:val="Normal"/>
            </w:pPr>
            <w:r>
              <w:rPr>
                <w:sz w:val="24"/>
                <w:szCs w:val="22"/>
                <w:lang w:val="en-US" w:eastAsia="en-US" w:bidi="ar-SA"/>
                <w:rFonts w:ascii="Times New Roman" w:hAnsi="Times New Roman" w:eastAsia="Times New Roman" w:cs="Times New Roman"/>
              </w:rPr>
              <w:t>6.7</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Continued or resumed play</w:t>
            </w:r>
          </w:p>
        </w:tc>
        <w:tc>
          <w:tcPr>
            <w:tcW w:w="1993" w:type="dxa"/>
          </w:tcPr>
          <w:p>
            <w:pPr>
              <w:pStyle w:val="Normal"/>
            </w:pPr>
            <w:r>
              <w:rPr>
                <w:sz w:val="24"/>
                <w:szCs w:val="22"/>
                <w:lang w:val="en-US" w:eastAsia="en-US" w:bidi="ar-SA"/>
                <w:rFonts w:ascii="Times New Roman" w:hAnsi="Times New Roman" w:eastAsia="Times New Roman" w:cs="Times New Roman"/>
              </w:rPr>
              <w:t>112/120</w:t>
            </w:r>
          </w:p>
        </w:tc>
        <w:tc>
          <w:tcPr>
            <w:tcW w:w="1994" w:type="dxa"/>
          </w:tcPr>
          <w:p>
            <w:pPr>
              <w:pStyle w:val="Normal"/>
            </w:pPr>
            <w:r>
              <w:rPr>
                <w:sz w:val="24"/>
                <w:szCs w:val="22"/>
                <w:lang w:val="en-US" w:eastAsia="en-US" w:bidi="ar-SA"/>
                <w:rFonts w:ascii="Times New Roman" w:hAnsi="Times New Roman" w:eastAsia="Times New Roman" w:cs="Times New Roman"/>
              </w:rPr>
              <w:t>93.3</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Return rate among initial dropouts</w:t>
            </w:r>
          </w:p>
        </w:tc>
        <w:tc>
          <w:tcPr>
            <w:tcW w:w="1993" w:type="dxa"/>
          </w:tcPr>
          <w:p>
            <w:pPr>
              <w:pStyle w:val="Normal"/>
            </w:pPr>
            <w:r>
              <w:rPr>
                <w:sz w:val="24"/>
                <w:szCs w:val="22"/>
                <w:lang w:val="en-US" w:eastAsia="en-US" w:bidi="ar-SA"/>
                <w:rFonts w:ascii="Times New Roman" w:hAnsi="Times New Roman" w:eastAsia="Times New Roman" w:cs="Times New Roman"/>
              </w:rPr>
              <w:t>—</w:t>
            </w:r>
          </w:p>
        </w:tc>
        <w:tc>
          <w:tcPr>
            <w:tcW w:w="1994" w:type="dxa"/>
          </w:tcPr>
          <w:p>
            <w:pPr>
              <w:pStyle w:val="Normal"/>
            </w:pPr>
            <w:r>
              <w:rPr>
                <w:sz w:val="24"/>
                <w:szCs w:val="22"/>
                <w:lang w:val="en-US" w:eastAsia="en-US" w:bidi="ar-SA"/>
                <w:rFonts w:ascii="Times New Roman" w:hAnsi="Times New Roman" w:eastAsia="Times New Roman" w:cs="Times New Roman"/>
              </w:rPr>
              <w:t>65.2</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The older Stage-3 group showed substantial engagement with the decoupled implementation: continued or resumed play was recorded for 85.4% of the 65–80 band, ten of sixteen initial dropouts returned, and a majority expressed regular-use intention. These observations show that engagement and return were possible among older participants in this implementation. They are consistent with a frame-sensitive explanation, but do not establish that the game or participants were uninvolved in the Stage-2 difficulty, or that the theory stack was validated. The cross-stage contrast in observed return is substantial, while its causal interpretation remains bounded by separate cohorts, settings, recruitment channels and observation structures. Within Stage 3, initial dropout increased with age (0.0%, 17.1%, 39.0%; chi-square across bands p &lt; 0.001), providing exploratory evidence against equal dropout proportions. Because all three bands received the decoupled condition, this result indicates that age-associated barriers remained despite the redesign. It cannot identify the burden imposed by clinical coupling or locate the explanation specifically at identity level. Motor demands, familiarity, fatigue, interest and identity-related appraisal remain plausible contributors. Participation, continued or resumed play and regular-use intention are distinct outcomes and should not be collapsed into a claim that every participant accepted the game in the same sense.</w:t>
      </w:r>
    </w:p>
    <w:p>
      <w:pPr>
        <w:pStyle w:val="FigureCaption"/>
        <w:keepNext/>
        <w:keepLines/>
        <w:jc w:val="center"/>
      </w:pPr>
      <w:bookmarkStart w:id="98" w:name="_Toc232024702"/>
      <w:r>
        <w:rPr>
          <w:sz w:val="24"/>
          <w:szCs w:val="22"/>
          <w:lang w:val="en-US" w:eastAsia="en-US" w:bidi="ar-SA"/>
          <w:rFonts w:ascii="Times New Roman" w:hAnsi="Times New Roman" w:eastAsia="Times New Roman" w:cs="Times New Roman"/>
          <w:i/>
          <w:b/>
        </w:rPr>
        <w:t>Table 6.2. Stage-3 age-stratified engagement.</w:t>
      </w:r>
      <w:bookmarkEnd w:id="98"/>
    </w:p>
    <w:tbl>
      <w:tblPr>
        <w:tblStyle w:val="TableGrid"/>
        <w:tblW w:w="8505" w:type="dxa"/>
        <w:jc w:val="center"/>
        <w:tblLayout w:type="fixed"/>
        <w:tblLook w:val="04A0" w:firstRow="1" w:lastRow="0" w:firstColumn="1" w:lastColumn="0" w:noHBand="0" w:noVBand="1"/>
      </w:tblPr>
      <w:tblGrid>
        <w:gridCol w:w="1318"/>
        <w:gridCol w:w="1114"/>
        <w:gridCol w:w="1796"/>
        <w:gridCol w:w="1114"/>
        <w:gridCol w:w="1796"/>
        <w:gridCol w:w="1367"/>
      </w:tblGrid>
      <w:tr>
        <w:trPr>
          <w:jc w:val="center"/>
          <w:tblHeader/>
          <w:cantSplit/>
        </w:trPr>
        <w:tc>
          <w:tcPr>
            <w:tcW w:w="1318" w:type="dxa"/>
          </w:tcPr>
          <w:p>
            <w:pPr>
              <w:pStyle w:val="Normal"/>
              <w:keepNext w:val="0"/>
              <w:keepLines/>
            </w:pPr>
            <w:r>
              <w:rPr>
                <w:szCs w:val="26"/>
                <w:lang w:val="en-US" w:eastAsia="en-US" w:bidi="ar-SA"/>
                <w:rFonts w:ascii="Times New Roman" w:hAnsi="Times New Roman" w:eastAsia="Times New Roman" w:cs="Times New Roman"/>
                <w:sz w:val="18"/>
                <w:b/>
              </w:rPr>
              <w:t>Age band</w:t>
            </w:r>
          </w:p>
        </w:tc>
        <w:tc>
          <w:tcPr>
            <w:tcW w:w="1114" w:type="dxa"/>
          </w:tcPr>
          <w:p>
            <w:pPr>
              <w:pStyle w:val="Normal"/>
              <w:keepNext w:val="0"/>
              <w:keepLines/>
            </w:pPr>
            <w:r>
              <w:rPr>
                <w:b/>
                <w:sz w:val="18"/>
                <w:szCs w:val="26"/>
                <w:lang w:val="en-US" w:eastAsia="en-US" w:bidi="ar-SA"/>
                <w:rFonts w:ascii="Times New Roman" w:hAnsi="Times New Roman" w:eastAsia="Times New Roman" w:cs="Times New Roman"/>
              </w:rPr>
              <w:t>n</w:t>
            </w:r>
          </w:p>
        </w:tc>
        <w:tc>
          <w:tcPr>
            <w:tcW w:w="1796" w:type="dxa"/>
          </w:tcPr>
          <w:p>
            <w:pPr>
              <w:pStyle w:val="Normal"/>
              <w:keepNext w:val="0"/>
              <w:keepLines/>
            </w:pPr>
            <w:r>
              <w:rPr>
                <w:b/>
                <w:sz w:val="18"/>
                <w:szCs w:val="26"/>
                <w:lang w:val="en-US" w:eastAsia="en-US" w:bidi="ar-SA"/>
                <w:rFonts w:ascii="Times New Roman" w:hAnsi="Times New Roman" w:eastAsia="Times New Roman" w:cs="Times New Roman"/>
              </w:rPr>
              <w:t>Initial dropout</w:t>
            </w:r>
          </w:p>
        </w:tc>
        <w:tc>
          <w:tcPr>
            <w:tcW w:w="1114" w:type="dxa"/>
          </w:tcPr>
          <w:p>
            <w:pPr>
              <w:pStyle w:val="Normal"/>
              <w:keepNext w:val="0"/>
              <w:keepLines/>
            </w:pPr>
            <w:r>
              <w:rPr>
                <w:b/>
                <w:sz w:val="18"/>
                <w:szCs w:val="26"/>
                <w:lang w:val="en-US" w:eastAsia="en-US" w:bidi="ar-SA"/>
                <w:rFonts w:ascii="Times New Roman" w:hAnsi="Times New Roman" w:eastAsia="Times New Roman" w:cs="Times New Roman"/>
              </w:rPr>
              <w:t>Returned</w:t>
            </w:r>
          </w:p>
        </w:tc>
        <w:tc>
          <w:tcPr>
            <w:tcW w:w="1796" w:type="dxa"/>
          </w:tcPr>
          <w:p>
            <w:pPr>
              <w:pStyle w:val="Normal"/>
              <w:keepNext w:val="0"/>
              <w:keepLines/>
            </w:pPr>
            <w:r>
              <w:rPr>
                <w:szCs w:val="22"/>
                <w:lang w:val="en-US" w:eastAsia="en-US" w:bidi="ar-SA"/>
                <w:rFonts w:ascii="Times New Roman" w:hAnsi="Times New Roman" w:eastAsia="Times New Roman" w:cs="Times New Roman"/>
                <w:b/>
                <w:sz w:val="18"/>
              </w:rPr>
              <w:t>Observed non-return</w:t>
            </w:r>
          </w:p>
        </w:tc>
        <w:tc>
          <w:tcPr>
            <w:tcW w:w="1367" w:type="dxa"/>
          </w:tcPr>
          <w:p>
            <w:pPr>
              <w:pStyle w:val="Normal"/>
              <w:keepNext w:val="0"/>
              <w:keepLines/>
            </w:pPr>
            <w:r>
              <w:rPr>
                <w:b/>
                <w:sz w:val="18"/>
                <w:szCs w:val="26"/>
                <w:lang w:val="en-US" w:eastAsia="en-US" w:bidi="ar-SA"/>
                <w:rFonts w:ascii="Times New Roman" w:hAnsi="Times New Roman" w:eastAsia="Times New Roman" w:cs="Times New Roman"/>
              </w:rPr>
              <w:t>Continued or resumed play</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25–44</w:t>
            </w:r>
          </w:p>
        </w:tc>
        <w:tc>
          <w:tcPr>
            <w:tcW w:w="1114" w:type="dxa"/>
          </w:tcPr>
          <w:p>
            <w:pPr>
              <w:pStyle w:val="Normal"/>
            </w:pPr>
            <w:r>
              <w:rPr>
                <w:szCs w:val="22"/>
                <w:lang w:val="en-US" w:eastAsia="en-US" w:bidi="ar-SA"/>
                <w:rFonts w:ascii="Times New Roman" w:hAnsi="Times New Roman" w:eastAsia="Times New Roman" w:cs="Times New Roman"/>
                <w:sz w:val="24"/>
              </w:rPr>
              <w:t>38</w:t>
            </w:r>
          </w:p>
        </w:tc>
        <w:tc>
          <w:tcPr>
            <w:tcW w:w="1796" w:type="dxa"/>
          </w:tcPr>
          <w:p>
            <w:pPr>
              <w:pStyle w:val="Normal"/>
            </w:pPr>
            <w:r>
              <w:rPr>
                <w:sz w:val="24"/>
                <w:szCs w:val="22"/>
                <w:lang w:val="en-US" w:eastAsia="en-US" w:bidi="ar-SA"/>
                <w:rFonts w:ascii="Times New Roman" w:hAnsi="Times New Roman" w:eastAsia="Times New Roman" w:cs="Times New Roman"/>
              </w:rPr>
              <w:t>0 (0.0%)</w:t>
            </w:r>
          </w:p>
        </w:tc>
        <w:tc>
          <w:tcPr>
            <w:tcW w:w="1114" w:type="dxa"/>
          </w:tcPr>
          <w:p>
            <w:pPr>
              <w:pStyle w:val="Normal"/>
            </w:pPr>
            <w:r>
              <w:rPr>
                <w:sz w:val="24"/>
                <w:szCs w:val="22"/>
                <w:lang w:val="en-US" w:eastAsia="en-US" w:bidi="ar-SA"/>
                <w:rFonts w:ascii="Times New Roman" w:hAnsi="Times New Roman" w:eastAsia="Times New Roman" w:cs="Times New Roman"/>
              </w:rPr>
              <w:t>0</w:t>
            </w:r>
          </w:p>
        </w:tc>
        <w:tc>
          <w:tcPr>
            <w:tcW w:w="1796" w:type="dxa"/>
          </w:tcPr>
          <w:p>
            <w:pPr>
              <w:pStyle w:val="Normal"/>
            </w:pPr>
            <w:r>
              <w:rPr>
                <w:sz w:val="24"/>
                <w:szCs w:val="22"/>
                <w:lang w:val="en-US" w:eastAsia="en-US" w:bidi="ar-SA"/>
                <w:rFonts w:ascii="Times New Roman" w:hAnsi="Times New Roman" w:eastAsia="Times New Roman" w:cs="Times New Roman"/>
              </w:rPr>
              <w:t>0 (0.0%)</w:t>
            </w:r>
          </w:p>
        </w:tc>
        <w:tc>
          <w:tcPr>
            <w:tcW w:w="1367" w:type="dxa"/>
          </w:tcPr>
          <w:p>
            <w:pPr>
              <w:pStyle w:val="Normal"/>
            </w:pPr>
            <w:r>
              <w:rPr>
                <w:sz w:val="24"/>
                <w:szCs w:val="22"/>
                <w:lang w:val="en-US" w:eastAsia="en-US" w:bidi="ar-SA"/>
                <w:rFonts w:ascii="Times New Roman" w:hAnsi="Times New Roman" w:eastAsia="Times New Roman" w:cs="Times New Roman"/>
              </w:rPr>
              <w:t>100.0%</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45–64</w:t>
            </w:r>
          </w:p>
        </w:tc>
        <w:tc>
          <w:tcPr>
            <w:tcW w:w="1114" w:type="dxa"/>
          </w:tcPr>
          <w:p>
            <w:pPr>
              <w:pStyle w:val="Normal"/>
            </w:pPr>
            <w:r>
              <w:rPr>
                <w:szCs w:val="22"/>
                <w:lang w:val="en-US" w:eastAsia="en-US" w:bidi="ar-SA"/>
                <w:rFonts w:ascii="Times New Roman" w:hAnsi="Times New Roman" w:eastAsia="Times New Roman" w:cs="Times New Roman"/>
                <w:sz w:val="24"/>
              </w:rPr>
              <w:t>41</w:t>
            </w:r>
          </w:p>
        </w:tc>
        <w:tc>
          <w:tcPr>
            <w:tcW w:w="1796" w:type="dxa"/>
          </w:tcPr>
          <w:p>
            <w:pPr>
              <w:pStyle w:val="Normal"/>
            </w:pPr>
            <w:r>
              <w:rPr>
                <w:szCs w:val="22"/>
                <w:lang w:val="en-US" w:eastAsia="en-US" w:bidi="ar-SA"/>
                <w:rFonts w:ascii="Times New Roman" w:hAnsi="Times New Roman" w:eastAsia="Times New Roman" w:cs="Times New Roman"/>
                <w:sz w:val="24"/>
              </w:rPr>
              <w:t>7 (17.1%)</w:t>
            </w:r>
          </w:p>
        </w:tc>
        <w:tc>
          <w:tcPr>
            <w:tcW w:w="1114" w:type="dxa"/>
          </w:tcPr>
          <w:p>
            <w:pPr>
              <w:pStyle w:val="Normal"/>
            </w:pPr>
            <w:r>
              <w:rPr>
                <w:sz w:val="24"/>
                <w:szCs w:val="22"/>
                <w:lang w:val="en-US" w:eastAsia="en-US" w:bidi="ar-SA"/>
                <w:rFonts w:ascii="Times New Roman" w:hAnsi="Times New Roman" w:eastAsia="Times New Roman" w:cs="Times New Roman"/>
              </w:rPr>
              <w:t>5</w:t>
            </w:r>
          </w:p>
        </w:tc>
        <w:tc>
          <w:tcPr>
            <w:tcW w:w="1796" w:type="dxa"/>
          </w:tcPr>
          <w:p>
            <w:pPr>
              <w:pStyle w:val="Normal"/>
            </w:pPr>
            <w:r>
              <w:rPr>
                <w:szCs w:val="22"/>
                <w:lang w:val="en-US" w:eastAsia="en-US" w:bidi="ar-SA"/>
                <w:rFonts w:ascii="Times New Roman" w:hAnsi="Times New Roman" w:eastAsia="Times New Roman" w:cs="Times New Roman"/>
                <w:sz w:val="24"/>
              </w:rPr>
              <w:t>2 (4.9%)</w:t>
            </w:r>
          </w:p>
        </w:tc>
        <w:tc>
          <w:tcPr>
            <w:tcW w:w="1367" w:type="dxa"/>
          </w:tcPr>
          <w:p>
            <w:pPr>
              <w:pStyle w:val="Normal"/>
            </w:pPr>
            <w:r>
              <w:rPr>
                <w:szCs w:val="22"/>
                <w:lang w:val="en-US" w:eastAsia="en-US" w:bidi="ar-SA"/>
                <w:rFonts w:ascii="Times New Roman" w:hAnsi="Times New Roman" w:eastAsia="Times New Roman" w:cs="Times New Roman"/>
                <w:sz w:val="24"/>
              </w:rPr>
              <w:t>95.1%</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65–80</w:t>
            </w:r>
          </w:p>
        </w:tc>
        <w:tc>
          <w:tcPr>
            <w:tcW w:w="1114" w:type="dxa"/>
          </w:tcPr>
          <w:p>
            <w:pPr>
              <w:pStyle w:val="Normal"/>
            </w:pPr>
            <w:r>
              <w:rPr>
                <w:szCs w:val="22"/>
                <w:lang w:val="en-US" w:eastAsia="en-US" w:bidi="ar-SA"/>
                <w:rFonts w:ascii="Times New Roman" w:hAnsi="Times New Roman" w:eastAsia="Times New Roman" w:cs="Times New Roman"/>
                <w:sz w:val="24"/>
              </w:rPr>
              <w:t>41</w:t>
            </w:r>
          </w:p>
        </w:tc>
        <w:tc>
          <w:tcPr>
            <w:tcW w:w="1796" w:type="dxa"/>
          </w:tcPr>
          <w:p>
            <w:pPr>
              <w:pStyle w:val="Normal"/>
            </w:pPr>
            <w:r>
              <w:rPr>
                <w:szCs w:val="22"/>
                <w:lang w:val="en-US" w:eastAsia="en-US" w:bidi="ar-SA"/>
                <w:rFonts w:ascii="Times New Roman" w:hAnsi="Times New Roman" w:eastAsia="Times New Roman" w:cs="Times New Roman"/>
                <w:sz w:val="24"/>
              </w:rPr>
              <w:t>16 (39.0%)</w:t>
            </w:r>
          </w:p>
        </w:tc>
        <w:tc>
          <w:tcPr>
            <w:tcW w:w="1114" w:type="dxa"/>
          </w:tcPr>
          <w:p>
            <w:pPr>
              <w:pStyle w:val="Normal"/>
            </w:pPr>
            <w:r>
              <w:rPr>
                <w:sz w:val="24"/>
                <w:szCs w:val="22"/>
                <w:lang w:val="en-US" w:eastAsia="en-US" w:bidi="ar-SA"/>
                <w:rFonts w:ascii="Times New Roman" w:hAnsi="Times New Roman" w:eastAsia="Times New Roman" w:cs="Times New Roman"/>
              </w:rPr>
              <w:t>10</w:t>
            </w:r>
          </w:p>
        </w:tc>
        <w:tc>
          <w:tcPr>
            <w:tcW w:w="1796" w:type="dxa"/>
          </w:tcPr>
          <w:p>
            <w:pPr>
              <w:pStyle w:val="Normal"/>
            </w:pPr>
            <w:r>
              <w:rPr>
                <w:szCs w:val="22"/>
                <w:lang w:val="en-US" w:eastAsia="en-US" w:bidi="ar-SA"/>
                <w:rFonts w:ascii="Times New Roman" w:hAnsi="Times New Roman" w:eastAsia="Times New Roman" w:cs="Times New Roman"/>
                <w:sz w:val="24"/>
              </w:rPr>
              <w:t>6 (14.6%)</w:t>
            </w:r>
          </w:p>
        </w:tc>
        <w:tc>
          <w:tcPr>
            <w:tcW w:w="1367" w:type="dxa"/>
          </w:tcPr>
          <w:p>
            <w:pPr>
              <w:pStyle w:val="Normal"/>
            </w:pPr>
            <w:r>
              <w:rPr>
                <w:szCs w:val="22"/>
                <w:lang w:val="en-US" w:eastAsia="en-US" w:bidi="ar-SA"/>
                <w:rFonts w:ascii="Times New Roman" w:hAnsi="Times New Roman" w:eastAsia="Times New Roman" w:cs="Times New Roman"/>
                <w:sz w:val="24"/>
              </w:rPr>
              <w:t>85.4%</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Total</w:t>
            </w:r>
          </w:p>
        </w:tc>
        <w:tc>
          <w:tcPr>
            <w:tcW w:w="1114" w:type="dxa"/>
          </w:tcPr>
          <w:p>
            <w:pPr>
              <w:pStyle w:val="Normal"/>
            </w:pPr>
            <w:r>
              <w:rPr>
                <w:sz w:val="24"/>
                <w:szCs w:val="22"/>
                <w:lang w:val="en-US" w:eastAsia="en-US" w:bidi="ar-SA"/>
                <w:rFonts w:ascii="Times New Roman" w:hAnsi="Times New Roman" w:eastAsia="Times New Roman" w:cs="Times New Roman"/>
              </w:rPr>
              <w:t>120</w:t>
            </w:r>
          </w:p>
        </w:tc>
        <w:tc>
          <w:tcPr>
            <w:tcW w:w="1796" w:type="dxa"/>
          </w:tcPr>
          <w:p>
            <w:pPr>
              <w:pStyle w:val="Normal"/>
            </w:pPr>
            <w:r>
              <w:rPr>
                <w:sz w:val="24"/>
                <w:szCs w:val="22"/>
                <w:lang w:val="en-US" w:eastAsia="en-US" w:bidi="ar-SA"/>
                <w:rFonts w:ascii="Times New Roman" w:hAnsi="Times New Roman" w:eastAsia="Times New Roman" w:cs="Times New Roman"/>
              </w:rPr>
              <w:t>23 (19.2%)</w:t>
            </w:r>
          </w:p>
        </w:tc>
        <w:tc>
          <w:tcPr>
            <w:tcW w:w="1114" w:type="dxa"/>
          </w:tcPr>
          <w:p>
            <w:pPr>
              <w:pStyle w:val="Normal"/>
            </w:pPr>
            <w:r>
              <w:rPr>
                <w:sz w:val="24"/>
                <w:szCs w:val="22"/>
                <w:lang w:val="en-US" w:eastAsia="en-US" w:bidi="ar-SA"/>
                <w:rFonts w:ascii="Times New Roman" w:hAnsi="Times New Roman" w:eastAsia="Times New Roman" w:cs="Times New Roman"/>
              </w:rPr>
              <w:t>15</w:t>
            </w:r>
          </w:p>
        </w:tc>
        <w:tc>
          <w:tcPr>
            <w:tcW w:w="1796" w:type="dxa"/>
          </w:tcPr>
          <w:p>
            <w:pPr>
              <w:pStyle w:val="Normal"/>
            </w:pPr>
            <w:r>
              <w:rPr>
                <w:sz w:val="24"/>
                <w:szCs w:val="22"/>
                <w:lang w:val="en-US" w:eastAsia="en-US" w:bidi="ar-SA"/>
                <w:rFonts w:ascii="Times New Roman" w:hAnsi="Times New Roman" w:eastAsia="Times New Roman" w:cs="Times New Roman"/>
              </w:rPr>
              <w:t>8 (6.7%)</w:t>
            </w:r>
          </w:p>
        </w:tc>
        <w:tc>
          <w:tcPr>
            <w:tcW w:w="1367" w:type="dxa"/>
          </w:tcPr>
          <w:p>
            <w:pPr>
              <w:pStyle w:val="Normal"/>
            </w:pPr>
            <w:r>
              <w:rPr>
                <w:sz w:val="24"/>
                <w:szCs w:val="22"/>
                <w:lang w:val="en-US" w:eastAsia="en-US" w:bidi="ar-SA"/>
                <w:rFonts w:ascii="Times New Roman" w:hAnsi="Times New Roman" w:eastAsia="Times New Roman" w:cs="Times New Roman"/>
              </w:rPr>
              <w:t>93.3%</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The 65–80 band is the closest available age comparator to the Stage-2 residential cohort; it is not a matched group. In this band, 10 of 16 initial dropouts returned (62.5%; 95% CI 38.6–81.5%, Wilson interval). In Stage 2, 0 of 21 low-engagement participants returned within the eight-week observation window (95% CI 0.0–15.5%). The intervals describe sampling uncertainty around the group-specific proportions, but do not account for cohort differences or establish a causal effect. Return is also conditional on an earlier engagement outcome: the people selected into the dropout subgroup under one implementation need not resemble those selected under another. The pooled Stage-3 65.2% figure and the older-band result are therefore descriptive comparisons. A future causal evaluation should prioritise an outcome measured for all assigned participants and treat return conditional on dropout as a secondary, selection-sensitive analysis.</w:t>
      </w:r>
    </w:p>
    <w:p>
      <w:pPr>
        <w:pStyle w:val="Normal"/>
        <w:jc w:val="both"/>
      </w:pPr>
      <w:r>
        <w:rPr>
          <w:szCs w:val="22"/>
          <w:lang w:val="en-US" w:eastAsia="en-US" w:bidi="ar-SA"/>
          <w:rFonts w:ascii="Times New Roman" w:hAnsi="Times New Roman" w:eastAsia="Times New Roman" w:cs="Times New Roman"/>
          <w:sz w:val="24"/>
        </w:rPr>
        <w:t>Positive responses to the coordination-related item were recorded for 71.7% (86 of 120), and positive responses to the regular-use item for 63.3% overall and 56.1% in the 65–80 band. No comparison is made with the Stage-2 motivational-orientation classification, which has been withdrawn (§5.5). The coordination item was included to check whether players recognised the game as a coordination challenge (Appendix D). Because the questionnaire as sent has not been linked to the study record and the summary's item labels differ from the invitation wording, its count is reported as a positive-coded response; it is not treated as a manipulation check or as evidence that the intended frame was perceived. The regular-use item is a stated intention that may not predict longitudinal use.</w:t>
      </w:r>
    </w:p>
    <w:p>
      <w:pPr>
        <w:pStyle w:val="FigureCaption"/>
        <w:keepNext/>
        <w:keepLines/>
        <w:jc w:val="center"/>
      </w:pPr>
      <w:bookmarkStart w:id="99" w:name="_Toc232024703"/>
      <w:r>
        <w:rPr>
          <w:sz w:val="24"/>
          <w:szCs w:val="22"/>
          <w:lang w:val="en-US" w:eastAsia="en-US" w:bidi="ar-SA"/>
          <w:rFonts w:ascii="Times New Roman" w:hAnsi="Times New Roman" w:eastAsia="Times New Roman" w:cs="Times New Roman"/>
          <w:i/>
          <w:b/>
        </w:rPr>
        <w:t>Table 6.3. Stage-3 coordination endorsement and regular-use intention by age band.</w:t>
      </w:r>
      <w:bookmarkEnd w:id="99"/>
    </w:p>
    <w:tbl>
      <w:tblPr>
        <w:tblStyle w:val="TableGrid"/>
        <w:tblW w:w="8505" w:type="dxa"/>
        <w:jc w:val="center"/>
        <w:tblLayout w:type="fixed"/>
        <w:tblLook w:val="04A0" w:firstRow="1" w:lastRow="0" w:firstColumn="1" w:lastColumn="0" w:noHBand="0" w:noVBand="1"/>
      </w:tblPr>
      <w:tblGrid>
        <w:gridCol w:w="3197"/>
        <w:gridCol w:w="1393"/>
        <w:gridCol w:w="1356"/>
        <w:gridCol w:w="1318"/>
        <w:gridCol w:w="1241"/>
      </w:tblGrid>
      <w:tr>
        <w:trPr>
          <w:jc w:val="center"/>
          <w:tblHeader/>
          <w:cantSplit/>
        </w:trPr>
        <w:tc>
          <w:tcPr>
            <w:tcW w:w="3197" w:type="dxa"/>
          </w:tcPr>
          <w:p>
            <w:pPr>
              <w:pStyle w:val="Normal"/>
              <w:keepNext w:val="0"/>
              <w:keepLines/>
            </w:pPr>
            <w:r>
              <w:rPr>
                <w:b/>
                <w:sz w:val="18"/>
                <w:szCs w:val="26"/>
                <w:lang w:val="en-US" w:eastAsia="en-US" w:bidi="ar-SA"/>
                <w:rFonts w:ascii="Times New Roman" w:hAnsi="Times New Roman" w:eastAsia="Times New Roman" w:cs="Times New Roman"/>
              </w:rPr>
              <w:t>Item</w:t>
            </w:r>
          </w:p>
        </w:tc>
        <w:tc>
          <w:tcPr>
            <w:tcW w:w="1393" w:type="dxa"/>
          </w:tcPr>
          <w:p>
            <w:pPr>
              <w:pStyle w:val="Normal"/>
              <w:keepNext w:val="0"/>
              <w:keepLines/>
            </w:pPr>
            <w:r>
              <w:rPr>
                <w:b/>
                <w:sz w:val="18"/>
                <w:szCs w:val="26"/>
                <w:lang w:val="en-US" w:eastAsia="en-US" w:bidi="ar-SA"/>
                <w:rFonts w:ascii="Times New Roman" w:hAnsi="Times New Roman" w:eastAsia="Times New Roman" w:cs="Times New Roman"/>
              </w:rPr>
              <w:t>Younger 25–44</w:t>
            </w:r>
          </w:p>
        </w:tc>
        <w:tc>
          <w:tcPr>
            <w:tcW w:w="1356" w:type="dxa"/>
          </w:tcPr>
          <w:p>
            <w:pPr>
              <w:pStyle w:val="Normal"/>
              <w:keepNext w:val="0"/>
              <w:keepLines/>
            </w:pPr>
            <w:r>
              <w:rPr>
                <w:b/>
                <w:sz w:val="18"/>
                <w:szCs w:val="26"/>
                <w:lang w:val="en-US" w:eastAsia="en-US" w:bidi="ar-SA"/>
                <w:rFonts w:ascii="Times New Roman" w:hAnsi="Times New Roman" w:eastAsia="Times New Roman" w:cs="Times New Roman"/>
              </w:rPr>
              <w:t>Middle 45–64</w:t>
            </w:r>
          </w:p>
        </w:tc>
        <w:tc>
          <w:tcPr>
            <w:tcW w:w="1318" w:type="dxa"/>
          </w:tcPr>
          <w:p>
            <w:pPr>
              <w:pStyle w:val="Normal"/>
              <w:keepNext w:val="0"/>
              <w:keepLines/>
            </w:pPr>
            <w:r>
              <w:rPr>
                <w:b/>
                <w:sz w:val="18"/>
                <w:szCs w:val="26"/>
                <w:lang w:val="en-US" w:eastAsia="en-US" w:bidi="ar-SA"/>
                <w:rFonts w:ascii="Times New Roman" w:hAnsi="Times New Roman" w:eastAsia="Times New Roman" w:cs="Times New Roman"/>
              </w:rPr>
              <w:t>Older 65–80</w:t>
            </w:r>
          </w:p>
        </w:tc>
        <w:tc>
          <w:tcPr>
            <w:tcW w:w="1241" w:type="dxa"/>
          </w:tcPr>
          <w:p>
            <w:pPr>
              <w:pStyle w:val="Normal"/>
              <w:keepNext w:val="0"/>
              <w:keepLines/>
            </w:pPr>
            <w:r>
              <w:rPr>
                <w:b/>
                <w:sz w:val="18"/>
                <w:szCs w:val="26"/>
                <w:lang w:val="en-US" w:eastAsia="en-US" w:bidi="ar-SA"/>
                <w:rFonts w:ascii="Times New Roman" w:hAnsi="Times New Roman" w:eastAsia="Times New Roman" w:cs="Times New Roman"/>
              </w:rPr>
              <w:t>Total</w:t>
            </w:r>
          </w:p>
        </w:tc>
      </w:tr>
      <w:tr>
        <w:trPr>
          <w:jc w:val="center"/>
          <w:cantSplit/>
        </w:trPr>
        <w:tc>
          <w:tcPr>
            <w:tcW w:w="3197" w:type="dxa"/>
          </w:tcPr>
          <w:p>
            <w:pPr>
              <w:pStyle w:val="Normal"/>
            </w:pPr>
            <w:r>
              <w:rPr>
                <w:szCs w:val="22"/>
                <w:lang w:val="en-US" w:eastAsia="en-US" w:bidi="ar-SA"/>
                <w:rFonts w:ascii="Times New Roman" w:hAnsi="Times New Roman" w:eastAsia="Times New Roman" w:cs="Times New Roman"/>
                <w:sz w:val="24"/>
              </w:rPr>
              <w:t>Coordination-challenge endorsement (positive-coded coordination-related item)</w:t>
            </w:r>
          </w:p>
        </w:tc>
        <w:tc>
          <w:tcPr>
            <w:tcW w:w="1393" w:type="dxa"/>
          </w:tcPr>
          <w:p>
            <w:pPr>
              <w:pStyle w:val="Normal"/>
            </w:pPr>
            <w:r>
              <w:rPr>
                <w:sz w:val="24"/>
                <w:szCs w:val="22"/>
                <w:lang w:val="en-US" w:eastAsia="en-US" w:bidi="ar-SA"/>
                <w:rFonts w:ascii="Times New Roman" w:hAnsi="Times New Roman" w:eastAsia="Times New Roman" w:cs="Times New Roman"/>
              </w:rPr>
              <w:t>—</w:t>
            </w:r>
          </w:p>
        </w:tc>
        <w:tc>
          <w:tcPr>
            <w:tcW w:w="1356" w:type="dxa"/>
          </w:tcPr>
          <w:p>
            <w:pPr>
              <w:pStyle w:val="Normal"/>
            </w:pPr>
            <w:r>
              <w:rPr>
                <w:sz w:val="24"/>
                <w:szCs w:val="22"/>
                <w:lang w:val="en-US" w:eastAsia="en-US" w:bidi="ar-SA"/>
                <w:rFonts w:ascii="Times New Roman" w:hAnsi="Times New Roman" w:eastAsia="Times New Roman" w:cs="Times New Roman"/>
              </w:rPr>
              <w:t>—</w:t>
            </w:r>
          </w:p>
        </w:tc>
        <w:tc>
          <w:tcPr>
            <w:tcW w:w="1318" w:type="dxa"/>
          </w:tcPr>
          <w:p>
            <w:pPr>
              <w:pStyle w:val="Normal"/>
            </w:pPr>
            <w:r>
              <w:rPr>
                <w:sz w:val="24"/>
                <w:szCs w:val="22"/>
                <w:lang w:val="en-US" w:eastAsia="en-US" w:bidi="ar-SA"/>
                <w:rFonts w:ascii="Times New Roman" w:hAnsi="Times New Roman" w:eastAsia="Times New Roman" w:cs="Times New Roman"/>
              </w:rPr>
              <w:t>—</w:t>
            </w:r>
          </w:p>
        </w:tc>
        <w:tc>
          <w:tcPr>
            <w:tcW w:w="1241" w:type="dxa"/>
          </w:tcPr>
          <w:p>
            <w:pPr>
              <w:pStyle w:val="Normal"/>
            </w:pPr>
            <w:r>
              <w:rPr>
                <w:sz w:val="24"/>
                <w:szCs w:val="22"/>
                <w:lang w:val="en-US" w:eastAsia="en-US" w:bidi="ar-SA"/>
                <w:rFonts w:ascii="Times New Roman" w:hAnsi="Times New Roman" w:eastAsia="Times New Roman" w:cs="Times New Roman"/>
              </w:rPr>
              <w:t>71.7%</w:t>
            </w:r>
          </w:p>
        </w:tc>
      </w:tr>
      <w:tr>
        <w:trPr>
          <w:jc w:val="center"/>
          <w:cantSplit/>
        </w:trPr>
        <w:tc>
          <w:tcPr>
            <w:tcW w:w="3197" w:type="dxa"/>
          </w:tcPr>
          <w:p>
            <w:pPr>
              <w:pStyle w:val="Normal"/>
            </w:pPr>
            <w:r>
              <w:rPr>
                <w:szCs w:val="22"/>
                <w:lang w:val="en-US" w:eastAsia="en-US" w:bidi="ar-SA"/>
                <w:rFonts w:ascii="Times New Roman" w:hAnsi="Times New Roman" w:eastAsia="Times New Roman" w:cs="Times New Roman"/>
                <w:sz w:val="24"/>
              </w:rPr>
              <w:t>Would use regularly if accessible</w:t>
            </w:r>
          </w:p>
        </w:tc>
        <w:tc>
          <w:tcPr>
            <w:tcW w:w="1393" w:type="dxa"/>
          </w:tcPr>
          <w:p>
            <w:pPr>
              <w:pStyle w:val="Normal"/>
            </w:pPr>
            <w:r>
              <w:rPr>
                <w:szCs w:val="22"/>
                <w:lang w:val="en-US" w:eastAsia="en-US" w:bidi="ar-SA"/>
                <w:rFonts w:ascii="Times New Roman" w:hAnsi="Times New Roman" w:eastAsia="Times New Roman" w:cs="Times New Roman"/>
                <w:sz w:val="24"/>
              </w:rPr>
              <w:t>65.8%</w:t>
            </w:r>
          </w:p>
        </w:tc>
        <w:tc>
          <w:tcPr>
            <w:tcW w:w="1356" w:type="dxa"/>
          </w:tcPr>
          <w:p>
            <w:pPr>
              <w:pStyle w:val="Normal"/>
            </w:pPr>
            <w:r>
              <w:rPr>
                <w:szCs w:val="22"/>
                <w:lang w:val="en-US" w:eastAsia="en-US" w:bidi="ar-SA"/>
                <w:rFonts w:ascii="Times New Roman" w:hAnsi="Times New Roman" w:eastAsia="Times New Roman" w:cs="Times New Roman"/>
                <w:sz w:val="24"/>
              </w:rPr>
              <w:t>68.3%</w:t>
            </w:r>
          </w:p>
        </w:tc>
        <w:tc>
          <w:tcPr>
            <w:tcW w:w="1318" w:type="dxa"/>
          </w:tcPr>
          <w:p>
            <w:pPr>
              <w:pStyle w:val="Normal"/>
            </w:pPr>
            <w:r>
              <w:rPr>
                <w:szCs w:val="22"/>
                <w:lang w:val="en-US" w:eastAsia="en-US" w:bidi="ar-SA"/>
                <w:rFonts w:ascii="Times New Roman" w:hAnsi="Times New Roman" w:eastAsia="Times New Roman" w:cs="Times New Roman"/>
                <w:sz w:val="24"/>
              </w:rPr>
              <w:t>56.1%</w:t>
            </w:r>
          </w:p>
        </w:tc>
        <w:tc>
          <w:tcPr>
            <w:tcW w:w="1241" w:type="dxa"/>
          </w:tcPr>
          <w:p>
            <w:pPr>
              <w:pStyle w:val="Normal"/>
            </w:pPr>
            <w:r>
              <w:rPr>
                <w:sz w:val="24"/>
                <w:szCs w:val="22"/>
                <w:lang w:val="en-US" w:eastAsia="en-US" w:bidi="ar-SA"/>
                <w:rFonts w:ascii="Times New Roman" w:hAnsi="Times New Roman" w:eastAsia="Times New Roman" w:cs="Times New Roman"/>
              </w:rPr>
              <w:t>63.3%</w:t>
            </w:r>
          </w:p>
        </w:tc>
      </w:tr>
    </w:tbl>
    <w:p>
      <w:pPr>
        <w:pStyle w:val="Normal"/>
        <w:spacing w:after="40"/>
        <w:jc w:val="both"/>
      </w:pPr>
      <w:r>
        <w:rPr>
          <w:szCs w:val="22"/>
          <w:lang w:val="en-US" w:eastAsia="en-US" w:bidi="ar-SA"/>
          <w:rFonts w:ascii="Times New Roman" w:hAnsi="Times New Roman" w:eastAsia="Times New Roman" w:cs="Times New Roman"/>
          <w:sz w:val="24"/>
        </w:rPr>
        <w:t>Interpretive note: the coordination item was designed to ask whether the participant recognised the presented activity as a coordination challenge. Its count is not read as a measure of motivational orientation, nor as a validated check that the intended frame was perceived.</w:t>
      </w:r>
    </w:p>
    <w:p>
      <w:pPr>
        <w:pStyle w:val="Normal"/>
        <w:jc w:val="both"/>
      </w:pPr>
      <w:r>
        <w:rPr>
          <w:szCs w:val="22"/>
          <w:lang w:val="en-US" w:eastAsia="en-US" w:bidi="ar-SA"/>
          <w:rFonts w:ascii="Times New Roman" w:hAnsi="Times New Roman" w:eastAsia="Times New Roman" w:cs="Times New Roman"/>
          <w:sz w:val="24"/>
        </w:rPr>
        <w:t>Note on Table 6.3: coordination-challenge endorsement is reported as a total (86 of 120, 71.7%); per-age-band endorsement counts are not reported in this thesis, and no per-band endorsement claim is made.</w:t>
      </w:r>
    </w:p>
    <w:p>
      <w:pPr>
        <w:pStyle w:val="Normal"/>
        <w:keepNext/>
        <w:spacing w:before="160" w:after="40"/>
        <w:jc w:val="center"/>
      </w:pPr>
      <w:r>
        <w:rPr>
          <w:szCs w:val="22"/>
          <w:lang w:val="en-US" w:eastAsia="en-US" w:bidi="ar-SA"/>
          <w:rFonts w:ascii="Times New Roman" w:hAnsi="Times New Roman" w:eastAsia="Times New Roman" w:cs="Times New Roman"/>
          <w:sz w:val="24"/>
        </w:rPr>
        <w:t>The strongest Stage-3 behavioural outcome is observed return after initial dropout, particularly the 62.5% return in the 65–80 band. Stated intention and frame endorsement are supportive secondary outcomes, not substitutes for longitudinal behaviour.</w:t>
      </w:r>
    </w:p>
    <w:p>
      <w:pPr>
        <w:pStyle w:val="Normal"/>
        <w:keepNext/>
      </w:pPr>
      <w:r>
        <w:drawing>
          <wp:inline>
            <wp:extent cx="5303520" cy="3436083"/>
            <wp:docPr id="26" name="Picture 26" descr="Figure 6.1. Stage-3 continued or resumed play and observed non-return by the July 2026 compilation, by age band (N = 120)."/>
            <wp:cNvGraphicFramePr>
              <a:graphicFrameLocks noChangeAspect="1"/>
            </wp:cNvGraphicFramePr>
            <a:graphic>
              <a:graphicData uri="http://schemas.openxmlformats.org/drawingml/2006/picture">
                <pic:pic>
                  <pic:nvPicPr>
                    <pic:cNvPr id="0" name="figure_6_1_v12.png"/>
                    <pic:cNvPicPr/>
                  </pic:nvPicPr>
                  <pic:blipFill>
                    <a:blip r:embed="rId35"/>
                    <a:stretch>
                      <a:fillRect/>
                    </a:stretch>
                  </pic:blipFill>
                  <pic:spPr>
                    <a:xfrm>
                      <a:off x="0" y="0"/>
                      <a:ext cx="5303520" cy="3436083"/>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6.1. Stage-3 continued or resumed play and observed non-return by the July 2026 compilation, by age band (N = 120). Dropout and return are compiled classifications from the returned files; the inactivity checkpoint that separates a return from an ordinary interval between sessions is not reconstructable from the aggregate record (§6.4).</w:t>
      </w:r>
    </w:p>
    <w:p>
      <w:pPr>
        <w:pStyle w:val="Normal"/>
        <w:jc w:val="both"/>
      </w:pPr>
      <w:r>
        <w:rPr>
          <w:i w:val="0"/>
          <w:szCs w:val="22"/>
          <w:lang w:val="en-US" w:eastAsia="en-US" w:bidi="ar-SA"/>
          <w:rFonts w:ascii="Times New Roman" w:hAnsi="Times New Roman" w:eastAsia="Times New Roman" w:cs="Times New Roman"/>
          <w:sz w:val="24"/>
        </w:rPr>
        <w:t>Figure 6.1 is drawn from the counts in Table 6.2.</w:t>
      </w:r>
    </w:p>
    <w:p>
      <w:pPr>
        <w:pStyle w:val="Normal"/>
        <w:keepNext/>
        <w:spacing w:before="160" w:after="40"/>
        <w:jc w:val="center"/>
      </w:pPr>
      <w:r>
        <w:rPr>
          <w:noProof/>
        </w:rPr>
        <w:drawing>
          <wp:inline distT="0" distB="0" distL="0" distR="0" wp14:anchorId="55036841" wp14:editId="7EC35D5A">
            <wp:extent cx="5120640" cy="3166321"/>
            <wp:effectExtent l="0" t="0" r="0" b="0"/>
            <wp:docPr id="12" name="Picture 12" descr="Figure 6.2. Return after initial dropout by age band in Stage 3, including 62.5% in the 65–80 band."/>
            <wp:cNvGraphicFramePr>
              <a:graphicFrameLocks noChangeAspect="1"/>
            </wp:cNvGraphicFramePr>
            <a:graphic>
              <a:graphicData uri="http://schemas.openxmlformats.org/drawingml/2006/picture">
                <pic:pic>
                  <pic:nvPicPr>
                    <pic:cNvPr id="0" name="fig_6_2.png"/>
                    <pic:cNvPicPr/>
                  </pic:nvPicPr>
                  <pic:blipFill>
                    <a:blip r:embed="rId18"/>
                    <a:stretch>
                      <a:fillRect/>
                    </a:stretch>
                  </pic:blipFill>
                  <pic:spPr>
                    <a:xfrm>
                      <a:off x="0" y="0"/>
                      <a:ext cx="5120640" cy="3166321"/>
                    </a:xfrm>
                    <a:prstGeom prst="rect">
                      <a:avLst/>
                    </a:prstGeom>
                  </pic:spPr>
                </pic:pic>
              </a:graphicData>
            </a:graphic>
          </wp:inline>
        </w:drawing>
      </w:r>
    </w:p>
    <w:p>
      <w:pPr>
        <w:pStyle w:val="FigureCaption"/>
        <w:keepLines/>
        <w:jc w:val="center"/>
      </w:pPr>
      <w:bookmarkStart w:id="100" w:name="_Toc232024690"/>
      <w:bookmarkEnd w:id="100"/>
      <w:r>
        <w:rPr>
          <w:sz w:val="24"/>
          <w:szCs w:val="22"/>
          <w:lang w:val="en-US" w:eastAsia="en-US" w:bidi="ar-SA"/>
          <w:rFonts w:ascii="Times New Roman" w:hAnsi="Times New Roman" w:eastAsia="Times New Roman" w:cs="Times New Roman"/>
          <w:i/>
          <w:b/>
        </w:rPr>
        <w:t>Figure 6.2. Return after initial dropout by age band in Stage 3, including 62.5% in the 65–80 band. Dropout and return are compiled classifications from the returned files; the inactivity checkpoint that separates a return from an ordinary interval between sessions is not reconstructable from the aggregate record (§6.4). The zero-return line refers descriptively to the separate Stage-2 cohort; it is not a repeated-measures baseline or an estimate of the causal benefit of the Stage-3 package.</w:t>
      </w:r>
    </w:p>
    <w:p>
      <w:pPr>
        <w:pStyle w:val="Heading2"/>
      </w:pPr>
      <w:r>
        <w:rPr>
          <w:lang w:val="en-US" w:eastAsia="en-US" w:bidi="ar-SA"/>
          <w:color w:val="000000"/>
          <w:szCs w:val="22"/>
        </w:rPr>
        <w:t>6.6 The Recorded-Score–Engagement Discrepancy Reconsidered</w:t>
      </w:r>
    </w:p>
    <w:p>
      <w:pPr>
        <w:pStyle w:val="Normal"/>
        <w:jc w:val="both"/>
      </w:pPr>
      <w:r>
        <w:rPr>
          <w:szCs w:val="22"/>
          <w:lang w:val="en-US" w:eastAsia="en-US" w:bidi="ar-SA"/>
          <w:rFonts w:ascii="Times New Roman" w:hAnsi="Times New Roman" w:eastAsia="Times New Roman" w:cs="Times New Roman"/>
          <w:sz w:val="24"/>
        </w:rPr>
        <w:t>Stage 3 deliberately did not collect participant-level clinical balance telemetry, so the Stage-2 score-improvement/non-return pattern cannot be replicated directly. What Stage 3 measures is a different outcome: whether participants who initially disengaged returned under a participant-facing decoupled condition. Fifteen of twenty-three did so. This finding is consistent with the proposition that an adverse gameplay event need not become an absorbing non-return state under decoupling. It does not demonstrate that the proposed mental account remained open, that the Stage-2 discrepancy was resolved, or that the same individuals would have behaved differently under the coupled condition. The studies document different co-occurrences: some Stage-2 participants recorded positive score change without return, whereas some Stage-3 participants returned after initial disengagement. Their comparison motivates further study of the relation between experience, perceived progress and continued participation, without showing that the same people changed behaviour because of the frame.</w:t>
      </w:r>
    </w:p>
    <w:p>
      <w:pPr>
        <w:pStyle w:val="Heading2"/>
      </w:pPr>
      <w:r>
        <w:rPr>
          <w:lang w:val="en-US" w:eastAsia="en-US" w:bidi="ar-SA"/>
          <w:color w:val="000000"/>
          <w:szCs w:val="22"/>
        </w:rPr>
        <w:t>6.7 Frame-Sensitive versus Dispositional Accounts: Calibrated Inference</w:t>
      </w:r>
    </w:p>
    <w:p>
      <w:pPr>
        <w:pStyle w:val="Normal"/>
        <w:jc w:val="both"/>
      </w:pPr>
      <w:r>
        <w:rPr>
          <w:i w:val="0"/>
          <w:szCs w:val="22"/>
          <w:lang w:val="en-US" w:eastAsia="en-US" w:bidi="ar-SA"/>
          <w:rFonts w:ascii="Times New Roman" w:hAnsi="Times New Roman" w:eastAsia="Times New Roman" w:cs="Times New Roman"/>
          <w:sz w:val="24"/>
        </w:rPr>
        <w:t>The Stage-3 result is inconsistent with the strongest purely dispositional prediction that post-failure return would remain near zero regardless of frame and context. It is consistent with a frame-sensitive account in which participant-facing clinical cues contribute to the meaning of failure. However, the design cannot attribute the difference exclusively to framing because the cohorts differed in setting, recruitment, residential status, age distribution, health profile, prior exposure and potentially staff interaction and observation window. The evidence therefore supports a frame-sensitive interpretation without rejecting every dispositional or contextual contribution. The combined evidence motivates a candidate scope condition: engagement may depend partly on how a gamified activity communicates consequential judgements about the user. FIAS names one proposed explanation of that relationship. Neither the psychological mechanism nor the proposed boundary of gamification theory has been established by the present comparison. The engineering contribution is to translate this candidate explanation into an explicit redesign and evaluation programme.</w:t>
      </w:r>
    </w:p>
    <w:p>
      <w:pPr>
        <w:pStyle w:val="Normal"/>
        <w:jc w:val="both"/>
      </w:pPr>
      <w:r>
        <w:rPr>
          <w:szCs w:val="22"/>
          <w:lang w:val="en-US" w:eastAsia="en-US" w:bidi="ar-SA"/>
          <w:rFonts w:ascii="Times New Roman" w:hAnsi="Times New Roman" w:eastAsia="Times New Roman" w:cs="Times New Roman"/>
          <w:sz w:val="24"/>
        </w:rPr>
        <w:t>The principal causal test proposed is a within-cohort randomised comparison with harmonised eligibility criteria, staff scripts, software, measures and follow-up. Until such a study is conducted, the thesis's calibrated claim is that participant-facing decoupling was associated with substantially greater post-failure return in a separate cohort, and that the pattern warrants direct causal testing.</w:t>
      </w:r>
    </w:p>
    <w:p>
      <w:pPr>
        <w:pStyle w:val="Heading2"/>
      </w:pPr>
      <w:bookmarkStart w:id="101" w:name="_Toc232024592"/>
      <w:r>
        <w:rPr>
          <w:lang w:val="en-US" w:eastAsia="en-US" w:bidi="ar-SA"/>
          <w:color w:val="000000"/>
          <w:szCs w:val="22"/>
        </w:rPr>
        <w:t>6.8 The Commitment Gap and Its Design Implication</w:t>
      </w:r>
      <w:bookmarkEnd w:id="101"/>
    </w:p>
    <w:p>
      <w:pPr>
        <w:pStyle w:val="Normal"/>
        <w:jc w:val="both"/>
      </w:pPr>
      <w:r>
        <w:rPr>
          <w:szCs w:val="22"/>
          <w:lang w:val="en-US" w:eastAsia="en-US" w:bidi="ar-SA"/>
          <w:rFonts w:ascii="Times New Roman" w:hAnsi="Times New Roman" w:eastAsia="Times New Roman" w:cs="Times New Roman"/>
          <w:sz w:val="24"/>
        </w:rPr>
        <w:t>In the 65–80 band, continued or resumed play was 85.4% and stated regular-use intention was 56.1%, a difference of 29.3 percentage points. These are marginal proportions for different constructs: recorded continued or resumed play and hypothetical future intention. Because continued or resumed play includes dropouts who played again even once (§6.4), the 29.3-point contrast is between recorded play and stated intention, not between uninterrupted play and intention. They do not reveal which of these individuals intended regular use, so the difference is not an observed within-person conversion loss. It is a design diagnostic that raises questions about continuing value, burden, access and enjoyment. Decoupling was associated with substantial engagement in this cohort, but its effectiveness as a route to regular clinical participation remains untested. The clinical purpose also remains central to the innovation's intended value. The design question is therefore how to communicate that purpose honestly, preserve meaningful challenge and support a reason to return, while maintaining credible evidence of what is improving.</w:t>
      </w:r>
    </w:p>
    <w:p>
      <w:pPr>
        <w:pStyle w:val="Normal"/>
        <w:jc w:val="both"/>
      </w:pPr>
      <w:r>
        <w:rPr>
          <w:szCs w:val="22"/>
          <w:lang w:val="en-US" w:eastAsia="en-US" w:bidi="ar-SA"/>
          <w:rFonts w:ascii="Times New Roman" w:hAnsi="Times New Roman" w:eastAsia="Times New Roman" w:cs="Times New Roman"/>
          <w:sz w:val="24"/>
        </w:rPr>
        <w:t>The programme proposes adaptive learning as one response (§2.6.2A–B): challenge and support would be adjusted to the user, and feedback would help the user interpret performance in relation to a developing capability. Such a system must not imply improvement merely because tasks become easier, rewards increase or assistance is added. A credible progress display needs separate information about comparable-task performance, the challenge attempted and the support provided; when a substantial redesign changes what is measured, the comparison must be bridged through evidence or presented as a new baseline (Chapter 7). Within the thesis title, continuous improvement concerns this evidence-guided learning process, and innovation enhancement concerns the evaluated revision of the intervention when the existing design encounters difficulty. Neither requires a continuously rising score: an unsuccessful attempt can identify a limitation and inform a better next step, while remaining an unsuccessful attempt. The present data motivate this design hypothesis but do not establish its efficacy, necessity or ability to make clinical reattachment safe. Anticipated fatigue, access barriers, scheduling burden, insufficient relevance, motor difficulty and limited enjoyment remain plausible explanations for the difference between continued play and stated intention. Prospective evaluation must therefore combine longitudinal behaviour with measures or interviews addressing competence, autonomy, burden, enjoyment and identity relevance, and compare adaptive learning with other plausible design responses.</w:t>
      </w:r>
    </w:p>
    <w:p>
      <w:pPr>
        <w:pStyle w:val="Normal"/>
        <w:jc w:val="both"/>
      </w:pPr>
      <w:r>
        <w:rPr>
          <w:szCs w:val="22"/>
          <w:lang w:val="en-US" w:eastAsia="en-US" w:bidi="ar-SA"/>
          <w:rFonts w:ascii="Times New Roman" w:hAnsi="Times New Roman" w:eastAsia="Times New Roman" w:cs="Times New Roman"/>
          <w:sz w:val="24"/>
        </w:rPr>
        <w:t>The Stage-3B component study specified after Stage 3A did not supply such an evaluation: its learning measurement was not articulated to the adaptive-learning construct, and its record to the 30 September 2026 cut-off is documented in §8.8 without any adaptive-learning result.</w:t>
      </w:r>
    </w:p>
    <w:p>
      <w:pPr>
        <w:pStyle w:val="Normal"/>
        <w:keepNext/>
        <w:spacing w:before="160" w:after="40"/>
        <w:jc w:val="center"/>
      </w:pPr>
      <w:r>
        <w:drawing>
          <wp:inline>
            <wp:extent cx="5303520" cy="3436083"/>
            <wp:docPr id="27" name="Picture 27" descr="Figure 6.3. Continued or resumed play and regular-use intention by age band."/>
            <wp:cNvGraphicFramePr>
              <a:graphicFrameLocks noChangeAspect="1"/>
            </wp:cNvGraphicFramePr>
            <a:graphic>
              <a:graphicData uri="http://schemas.openxmlformats.org/drawingml/2006/picture">
                <pic:pic>
                  <pic:nvPicPr>
                    <pic:cNvPr id="0" name="figure_6_3_v12.png"/>
                    <pic:cNvPicPr/>
                  </pic:nvPicPr>
                  <pic:blipFill>
                    <a:blip r:embed="rId36"/>
                    <a:stretch>
                      <a:fillRect/>
                    </a:stretch>
                  </pic:blipFill>
                  <pic:spPr>
                    <a:xfrm>
                      <a:off x="0" y="0"/>
                      <a:ext cx="5303520" cy="3436083"/>
                    </a:xfrm>
                    <a:prstGeom prst="rect"/>
                  </pic:spPr>
                </pic:pic>
              </a:graphicData>
            </a:graphic>
          </wp:inline>
        </w:drawing>
      </w:r>
    </w:p>
    <w:p>
      <w:pPr>
        <w:pStyle w:val="FigureCaption"/>
        <w:keepLines/>
        <w:jc w:val="center"/>
      </w:pPr>
      <w:bookmarkStart w:id="102" w:name="_Toc232024691"/>
      <w:bookmarkEnd w:id="102"/>
      <w:r>
        <w:rPr>
          <w:sz w:val="24"/>
          <w:szCs w:val="22"/>
          <w:lang w:val="en-US" w:eastAsia="en-US" w:bidi="ar-SA"/>
          <w:rFonts w:ascii="Times New Roman" w:hAnsi="Times New Roman" w:eastAsia="Times New Roman" w:cs="Times New Roman"/>
          <w:i/>
          <w:b/>
        </w:rPr>
        <w:t>Figure 6.3. Continued or resumed play and regular-use intention by age band. In the 65–80 band the marginal proportions differ by 29.3 percentage points; the figure does not show an individual-level transition from continued play to intention.</w:t>
      </w:r>
    </w:p>
    <w:p>
      <w:pPr>
        <w:pStyle w:val="Heading2"/>
      </w:pPr>
      <w:r>
        <w:rPr>
          <w:lang w:val="en-US" w:eastAsia="en-US" w:bidi="ar-SA"/>
          <w:color w:val="000000"/>
          <w:szCs w:val="22"/>
        </w:rPr>
        <w:t>6.8A The Commitment Gap Read Through Group Dynamics: The First Interpretive Consultation (Dr Yuan)</w:t>
      </w:r>
    </w:p>
    <w:p>
      <w:pPr>
        <w:pStyle w:val="Normal"/>
        <w:jc w:val="both"/>
      </w:pPr>
      <w:r>
        <w:rPr>
          <w:szCs w:val="22"/>
          <w:lang w:val="en-US" w:eastAsia="en-US" w:bidi="ar-SA"/>
          <w:rFonts w:ascii="Times New Roman" w:hAnsi="Times New Roman" w:eastAsia="Times New Roman" w:cs="Times New Roman"/>
          <w:sz w:val="24"/>
        </w:rPr>
        <w:t>The interpretation of the commitment gap was examined after the empirical programme through expert consultation, beginning with Dr Sarah C.W. Yuan of the Center on the Family, University of Hawai'i at Mānoa — a medical sociologist and demographer of aging whose work includes the Hawai'i Healthy Aging Partnership and statewide community falls-prevention programming. Her field of practice is deliberately distant from this programme's apparatus: group exercise and physical games for balance, with no electronic game and no clinical instrument attached to the activity. The consultation is reported as interpretive evidence from an independent discipline, not as additional participant data; the record is the author's structured notes, reproduced in Appendix H.</w:t>
      </w:r>
    </w:p>
    <w:p>
      <w:pPr>
        <w:pStyle w:val="Normal"/>
        <w:jc w:val="both"/>
      </w:pPr>
      <w:r>
        <w:rPr>
          <w:szCs w:val="22"/>
          <w:lang w:val="en-US" w:eastAsia="en-US" w:bidi="ar-SA"/>
          <w:rFonts w:ascii="Times New Roman" w:hAnsi="Times New Roman" w:eastAsia="Times New Roman" w:cs="Times New Roman"/>
          <w:sz w:val="24"/>
        </w:rPr>
        <w:t>Three of her observations bear directly on this thesis. First, from her programme experience and publications: older adults who join social exercise groups tend to drop out after a failure unless a physician, assistant or coach helps them past the rejection; with a group around them and a coach who leads them to continue, they perform and persist markedly better. Failure-linked dropout therefore appears even in her setting — with no clinical attachment at all — and is recoverable through human support. Second, in her experience older adults intrinsically avoid straight clinically oriented individual assessment of their current health status: they fear facing a negative risk result, and psychologically avoid the clinical evidence that would describe their condition. This is a practice-based interpretation consistent with the proposed avoidance account; it does not distinguish identity-related threat from other reasons to avoid unwelcome health information. Third, she regards gamification as very effective for promoting health technology — and expects hard rejection precisely when the game or exercise is linked to clinical results. On that basis she explicitly supported the Stage-3 decoupling design, and she supported the FIDS-to-FIAS construction and the adaptive-learning proposition as consistent with the behaviour of older adults she has observed.</w:t>
      </w:r>
    </w:p>
    <w:p>
      <w:pPr>
        <w:pStyle w:val="Normal"/>
        <w:jc w:val="both"/>
      </w:pPr>
      <w:r>
        <w:rPr>
          <w:szCs w:val="22"/>
          <w:lang w:val="en-US" w:eastAsia="en-US" w:bidi="ar-SA"/>
          <w:rFonts w:ascii="Times New Roman" w:hAnsi="Times New Roman" w:eastAsia="Times New Roman" w:cs="Times New Roman"/>
          <w:sz w:val="24"/>
        </w:rPr>
        <w:t>The consultation adds a candidate social explanation and design considerations that the programme's participant data did not directly measure. In her account, partnering, group play and a coach who leads the activity reduce initial dropout and, downstream, abandonment of the technology; and the components that support adoption extend beyond engineering excellence and design to the environment, the people using the same technology, and predictable or expected results. The mapping onto the framework is direct: the coach and the group correspond to the staff coaching layer (L6, §7.5.3) and motivate a group-deployment variant of the protocol; predictable or expected results motivate clearer explanation of task demands and feedback in trajectory installation (P2), although a visible trajectory does not necessarily make outcomes predictable or non-threatening. Her account also refines the Chapter 2 caution that social influence (Octalysis D5) can be double-edged for older users: structured group dynamics with a leading coach appears protective in her experience, whereas unstructured peer comparison may still threaten identity — a distinction a future within-cohort study could operationalise (§8.8). The evidential limits are stated plainly: this is one consultation, recorded in the author's notes; it is interpretive support from an adjacent discipline, not validation; and its observations concern physical group exercise, so their transfer to electronic games is an argued expectation rather than a demonstrated result.</w:t>
      </w:r>
    </w:p>
    <w:p>
      <w:pPr>
        <w:pStyle w:val="Heading2"/>
      </w:pPr>
      <w:bookmarkStart w:id="103" w:name="_Toc232024593"/>
      <w:r>
        <w:rPr>
          <w:lang w:val="en-US" w:eastAsia="en-US" w:bidi="ar-SA"/>
          <w:color w:val="000000"/>
          <w:szCs w:val="22"/>
        </w:rPr>
        <w:t>6.9 Limitations of Stage 3</w:t>
      </w:r>
      <w:bookmarkEnd w:id="103"/>
    </w:p>
    <w:p>
      <w:pPr>
        <w:pStyle w:val="Normal"/>
        <w:jc w:val="both"/>
      </w:pPr>
      <w:r>
        <w:rPr>
          <w:i w:val="0"/>
          <w:szCs w:val="22"/>
          <w:lang w:val="en-US" w:eastAsia="en-US" w:bidi="ar-SA"/>
          <w:rFonts w:ascii="Times New Roman" w:hAnsi="Times New Roman" w:eastAsia="Times New Roman" w:cs="Times New Roman"/>
          <w:sz w:val="24"/>
        </w:rPr>
        <w:t>Stage 3 is a between-cycle, between-cohort comparison and supports associations rather than isolated causal effects. The decoupling package was delivered through an e-mailed HTML build played without in-person supervision, so platform, input device, setting and supervision changed alongside participant-facing clinical cues; dispersed home play also removed the communal setting in which peers' dropout had been visible in Stage 2 (§5.6), a further component of the package. Volunteer and network recruitment limit representativeness; short follow-up limits conclusions about continued use; and the cultural setting limits transferability. Mental accounting, loss aversion, identity protection and stereotype threat were not directly measured. The framing item measures recognition of the presented activity only, and the complete adaptive-learning framework was not deployed. Return after initial dropout was common in Stage 3 and absent in the reported Stage-2 low-engagement group, but conditional subgroup selection and other cross-stage differences limit causal interpretation. The result motivates a harmonised comparison and direct appraisal measures rather than establishing the mechanism or efficacy of the proposed redesign.</w:t>
      </w:r>
    </w:p>
    <w:p>
      <w:pPr>
        <w:pStyle w:val="Heading2"/>
      </w:pPr>
      <w:bookmarkStart w:id="104" w:name="_Toc232024594"/>
      <w:r>
        <w:rPr>
          <w:lang w:val="en-US" w:eastAsia="en-US" w:bidi="ar-SA"/>
          <w:color w:val="000000"/>
          <w:szCs w:val="22"/>
        </w:rPr>
        <w:t>6.10 Quantitative Comparison Against Existing Models</w:t>
      </w:r>
      <w:bookmarkEnd w:id="104"/>
    </w:p>
    <w:p>
      <w:pPr>
        <w:pStyle w:val="Normal"/>
        <w:jc w:val="both"/>
      </w:pPr>
      <w:r>
        <w:rPr>
          <w:szCs w:val="22"/>
          <w:lang w:val="en-US" w:eastAsia="en-US" w:bidi="ar-SA"/>
          <w:rFonts w:ascii="Times New Roman" w:hAnsi="Times New Roman" w:eastAsia="Times New Roman" w:cs="Times New Roman"/>
          <w:sz w:val="24"/>
        </w:rPr>
        <w:t>This section is design only: it specifies a comparison that has not been executed, and no model in it has been fitted. The quantitative advantage of the FIAS-augmented specification is therefore hypothesised, not demonstrated. Sections 6.10.1–6.10.5 record a prospective analysis architecture — a specification, not results — and the final executable protocol must be fixed before analysis of a suitable new dataset. A persistent question is whether FIAS adds incremental explanatory power beyond what TAM, STAM and a simple usage-attrition baseline can already explain. The Stage-2 and Stage-3 datasets do not yet allow a definitive nested-model comparison, but the architecture of such a comparison is set out here to make the next evaluation requirements explicit. The architecture remains available for any future dataset that includes harmonised STAM instrumentation alongside FIAS coding.</w:t>
      </w:r>
    </w:p>
    <w:p>
      <w:pPr>
        <w:pStyle w:val="Heading3"/>
      </w:pPr>
      <w:bookmarkStart w:id="105" w:name="_Toc232024595"/>
      <w:r>
        <w:rPr>
          <w:color w:val="000000"/>
          <w:szCs w:val="22"/>
          <w:lang w:val="en-US" w:eastAsia="en-US" w:bidi="ar-SA"/>
        </w:rPr>
        <w:t>6.10.1 Three-Tier Nested Model Specification</w:t>
      </w:r>
      <w:bookmarkEnd w:id="105"/>
    </w:p>
    <w:p>
      <w:pPr>
        <w:pStyle w:val="Normal"/>
        <w:jc w:val="both"/>
      </w:pPr>
      <w:r>
        <w:rPr>
          <w:szCs w:val="22"/>
          <w:lang w:val="en-US" w:eastAsia="en-US" w:bidi="ar-SA"/>
          <w:rFonts w:ascii="Times New Roman" w:hAnsi="Times New Roman" w:eastAsia="Times New Roman" w:cs="Times New Roman"/>
          <w:sz w:val="24"/>
        </w:rPr>
        <w:t>The planned comparison is structured as three nested models with an observed non-return outcome defined over a common, pre-specified window and a time-to-observed-dropout outcome. The final protocol must define the target population, prediction time, outcome and intended decision, and prevent predictor–outcome overlap: any FIAS score used as a predictor must exclude cycle count, return status and other elements that define the outcome. Appraisals recorded after a first difficulty cannot be treated as baseline predictors; they require an explicitly defined post-event prediction time. Sample-size planning must count predictor parameters, including categorical levels, nonlinear terms and interactions, and justify the expected outcome events and precision. The eight observed Stage-3 non-return events are insufficient for the proposed multivariable architecture, which is accordingly reserved for a separately designed future dataset.</w:t>
      </w:r>
    </w:p>
    <w:p>
      <w:pPr>
        <w:pStyle w:val="FigureCaption"/>
        <w:keepNext/>
        <w:keepLines/>
        <w:jc w:val="center"/>
      </w:pPr>
      <w:bookmarkStart w:id="106" w:name="_Toc232024704"/>
      <w:r>
        <w:rPr>
          <w:sz w:val="24"/>
          <w:szCs w:val="22"/>
          <w:lang w:val="en-US" w:eastAsia="en-US" w:bidi="ar-SA"/>
          <w:rFonts w:ascii="Times New Roman" w:hAnsi="Times New Roman" w:eastAsia="Times New Roman" w:cs="Times New Roman"/>
          <w:i/>
          <w:b/>
        </w:rPr>
        <w:t>Table 6.4. Three-tier nested model specification for the FIAS-vs-TAM/STAM quantitative comparison.</w:t>
      </w:r>
      <w:bookmarkEnd w:id="106"/>
    </w:p>
    <w:tbl>
      <w:tblPr>
        <w:tblStyle w:val="TableGrid"/>
        <w:tblW w:w="8505" w:type="dxa"/>
        <w:jc w:val="center"/>
        <w:tblLayout w:type="fixed"/>
        <w:tblLook w:val="04A0" w:firstRow="1" w:lastRow="0" w:firstColumn="1" w:lastColumn="0" w:noHBand="0" w:noVBand="1"/>
      </w:tblPr>
      <w:tblGrid>
        <w:gridCol w:w="1605"/>
        <w:gridCol w:w="3764"/>
        <w:gridCol w:w="3136"/>
      </w:tblGrid>
      <w:tr>
        <w:trPr>
          <w:jc w:val="center"/>
          <w:tblHeader/>
          <w:cantSplit/>
        </w:trPr>
        <w:tc>
          <w:tcPr>
            <w:tcW w:w="1605" w:type="dxa"/>
          </w:tcPr>
          <w:p>
            <w:pPr>
              <w:pStyle w:val="Normal"/>
              <w:keepNext w:val="0"/>
              <w:keepLines/>
            </w:pPr>
            <w:r>
              <w:rPr>
                <w:b/>
                <w:sz w:val="18"/>
                <w:szCs w:val="26"/>
                <w:lang w:val="en-US" w:eastAsia="en-US" w:bidi="ar-SA"/>
                <w:rFonts w:ascii="Times New Roman" w:hAnsi="Times New Roman" w:eastAsia="Times New Roman" w:cs="Times New Roman"/>
              </w:rPr>
              <w:t>Model</w:t>
            </w:r>
          </w:p>
        </w:tc>
        <w:tc>
          <w:tcPr>
            <w:tcW w:w="3764" w:type="dxa"/>
          </w:tcPr>
          <w:p>
            <w:pPr>
              <w:pStyle w:val="Normal"/>
              <w:keepNext w:val="0"/>
              <w:keepLines/>
            </w:pPr>
            <w:r>
              <w:rPr>
                <w:b/>
                <w:sz w:val="18"/>
                <w:szCs w:val="26"/>
                <w:lang w:val="en-US" w:eastAsia="en-US" w:bidi="ar-SA"/>
                <w:rFonts w:ascii="Times New Roman" w:hAnsi="Times New Roman" w:eastAsia="Times New Roman" w:cs="Times New Roman"/>
              </w:rPr>
              <w:t>Predictors</w:t>
            </w:r>
          </w:p>
        </w:tc>
        <w:tc>
          <w:tcPr>
            <w:tcW w:w="3136" w:type="dxa"/>
          </w:tcPr>
          <w:p>
            <w:pPr>
              <w:pStyle w:val="Normal"/>
              <w:keepNext w:val="0"/>
              <w:keepLines/>
            </w:pPr>
            <w:r>
              <w:rPr>
                <w:b/>
                <w:sz w:val="18"/>
                <w:szCs w:val="26"/>
                <w:lang w:val="en-US" w:eastAsia="en-US" w:bidi="ar-SA"/>
                <w:rFonts w:ascii="Times New Roman" w:hAnsi="Times New Roman" w:eastAsia="Times New Roman" w:cs="Times New Roman"/>
              </w:rPr>
              <w:t>Construct represented</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M0 Demographic baseline</w:t>
            </w:r>
          </w:p>
        </w:tc>
        <w:tc>
          <w:tcPr>
            <w:tcW w:w="3764" w:type="dxa"/>
          </w:tcPr>
          <w:p>
            <w:pPr>
              <w:pStyle w:val="Normal"/>
            </w:pPr>
            <w:r>
              <w:rPr>
                <w:sz w:val="24"/>
                <w:szCs w:val="22"/>
                <w:lang w:val="en-US" w:eastAsia="en-US" w:bidi="ar-SA"/>
                <w:rFonts w:ascii="Times New Roman" w:hAnsi="Times New Roman" w:eastAsia="Times New Roman" w:cs="Times New Roman"/>
              </w:rPr>
              <w:t>Age band, sex, education, baseline FES-I, fall history</w:t>
            </w:r>
          </w:p>
        </w:tc>
        <w:tc>
          <w:tcPr>
            <w:tcW w:w="3136" w:type="dxa"/>
          </w:tcPr>
          <w:p>
            <w:pPr>
              <w:pStyle w:val="Normal"/>
            </w:pPr>
            <w:r>
              <w:rPr>
                <w:sz w:val="24"/>
                <w:szCs w:val="22"/>
                <w:lang w:val="en-US" w:eastAsia="en-US" w:bidi="ar-SA"/>
                <w:rFonts w:ascii="Times New Roman" w:hAnsi="Times New Roman" w:eastAsia="Times New Roman" w:cs="Times New Roman"/>
              </w:rPr>
              <w:t>Standard control covariates</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M1 STAM-only</w:t>
            </w:r>
          </w:p>
        </w:tc>
        <w:tc>
          <w:tcPr>
            <w:tcW w:w="3764" w:type="dxa"/>
          </w:tcPr>
          <w:p>
            <w:pPr>
              <w:pStyle w:val="Normal"/>
            </w:pPr>
            <w:r>
              <w:rPr>
                <w:sz w:val="24"/>
                <w:szCs w:val="22"/>
                <w:lang w:val="en-US" w:eastAsia="en-US" w:bidi="ar-SA"/>
                <w:rFonts w:ascii="Times New Roman" w:hAnsi="Times New Roman" w:eastAsia="Times New Roman" w:cs="Times New Roman"/>
              </w:rPr>
              <w:t>M0 + PU, PEOU, gerontechnology self-efficacy, gerontechnology anxiety, social influence, facilitating conditions</w:t>
            </w:r>
          </w:p>
        </w:tc>
        <w:tc>
          <w:tcPr>
            <w:tcW w:w="3136" w:type="dxa"/>
          </w:tcPr>
          <w:p>
            <w:pPr>
              <w:pStyle w:val="Normal"/>
            </w:pPr>
            <w:r>
              <w:rPr>
                <w:sz w:val="24"/>
                <w:szCs w:val="22"/>
                <w:lang w:val="en-US" w:eastAsia="en-US" w:bidi="ar-SA"/>
                <w:rFonts w:ascii="Times New Roman" w:hAnsi="Times New Roman" w:eastAsia="Times New Roman" w:cs="Times New Roman"/>
              </w:rPr>
              <w:t>Senior acceptance and use-related beliefs; incremental prediction to be evaluated</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M2 STAM + FIAS operators</w:t>
            </w:r>
          </w:p>
        </w:tc>
        <w:tc>
          <w:tcPr>
            <w:tcW w:w="3764" w:type="dxa"/>
          </w:tcPr>
          <w:p>
            <w:pPr>
              <w:pStyle w:val="Normal"/>
            </w:pPr>
            <w:r>
              <w:rPr>
                <w:szCs w:val="22"/>
                <w:lang w:val="en-US" w:eastAsia="en-US" w:bidi="ar-SA"/>
                <w:rFonts w:ascii="Times New Roman" w:hAnsi="Times New Roman" w:eastAsia="Times New Roman" w:cs="Times New Roman"/>
                <w:sz w:val="24"/>
              </w:rPr>
              <w:t>M1 + first-failure event, frame condition, prospectively measured identity-threat/appraisal score, WTA-WTP proxy, mental-accounting frame score, and non-outcome FIAS indicators</w:t>
            </w:r>
          </w:p>
        </w:tc>
        <w:tc>
          <w:tcPr>
            <w:tcW w:w="3136" w:type="dxa"/>
          </w:tcPr>
          <w:p>
            <w:pPr>
              <w:pStyle w:val="Normal"/>
            </w:pPr>
            <w:r>
              <w:rPr>
                <w:szCs w:val="22"/>
                <w:lang w:val="en-US" w:eastAsia="en-US" w:bidi="ar-SA"/>
                <w:rFonts w:ascii="Times New Roman" w:hAnsi="Times New Roman" w:eastAsia="Times New Roman" w:cs="Times New Roman"/>
                <w:sz w:val="24"/>
              </w:rPr>
              <w:t>Prospective frame-sensitive account; predictors must precede the prediction interval and exclude outcome-defining variables; the model has not been estimated</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In the proposed comparison, M0 versus M1 assesses the contribution of the senior-acceptance variables beyond the specified baseline covariates. M1 versus M2 then assesses the incremental contribution of the candidate FIAS variables. Neither comparison has been estimated in the present programme.</w:t>
      </w:r>
    </w:p>
    <w:p>
      <w:pPr>
        <w:pStyle w:val="Heading3"/>
      </w:pPr>
      <w:bookmarkStart w:id="107" w:name="_Toc232024596"/>
      <w:r>
        <w:rPr>
          <w:color w:val="000000"/>
          <w:szCs w:val="22"/>
          <w:lang w:val="en-US" w:eastAsia="en-US" w:bidi="ar-SA"/>
        </w:rPr>
        <w:t>6.10.2 Statistical Comparison Plan</w:t>
      </w:r>
      <w:bookmarkEnd w:id="107"/>
    </w:p>
    <w:p>
      <w:pPr>
        <w:pStyle w:val="Normal"/>
        <w:jc w:val="both"/>
      </w:pPr>
      <w:r>
        <w:rPr>
          <w:szCs w:val="22"/>
          <w:lang w:val="en-US" w:eastAsia="en-US" w:bidi="ar-SA"/>
          <w:rFonts w:ascii="Times New Roman" w:hAnsi="Times New Roman" w:eastAsia="Times New Roman" w:cs="Times New Roman"/>
          <w:sz w:val="24"/>
        </w:rPr>
        <w:t>Three classes of comparison statistic are proposed for the final protocol. First, a likelihood-ratio test of M2 versus M1, with degrees of freedom equal to the added model parameters where the fitted models satisfy the test's assumptions. Second, an information-criterion comparison using ΔAIC and ΔBIC as descriptive evidence of relative fit. Third, discrimination and calibration, including McFadden's pseudo-R² change, AUC for observed non-return over a common pre-specified window, and appropriate calibration assessment. For time-to-event outcomes — available only once session timestamps are captured, which the Stage-2 archive did not do — the plan uses Cox partial-likelihood ratio tests and Harrell's C-index. Any use of IDI should be justified and interpreted cautiously. No Stage-2 survival estimate is carried forward, because the Stage-2 archive contains no time variable; the Stage-2 anchors are the engagement and paired-change statistics of §5.5. Before recruitment, the protocol must also specify the modelling family, missing-predictor handling, any regularisation, and resampling or external validation, with uncertainty reported for performance differences. These decisions should reflect the available event information rather than a nominal total sample alone.</w:t>
      </w:r>
    </w:p>
    <w:p>
      <w:pPr>
        <w:pStyle w:val="Heading3"/>
      </w:pPr>
      <w:bookmarkStart w:id="108" w:name="_Toc232024597"/>
      <w:r>
        <w:rPr>
          <w:color w:val="000000"/>
          <w:szCs w:val="22"/>
          <w:lang w:val="en-US" w:eastAsia="en-US" w:bidi="ar-SA"/>
        </w:rPr>
        <w:t>6.10.3 Decision-Curve Analysis and Practical Significance</w:t>
      </w:r>
      <w:bookmarkEnd w:id="108"/>
    </w:p>
    <w:p>
      <w:pPr>
        <w:pStyle w:val="Normal"/>
        <w:jc w:val="both"/>
      </w:pPr>
      <w:r>
        <w:rPr>
          <w:szCs w:val="22"/>
          <w:lang w:val="en-US" w:eastAsia="en-US" w:bidi="ar-SA"/>
          <w:rFonts w:ascii="Times New Roman" w:hAnsi="Times New Roman" w:eastAsia="Times New Roman" w:cs="Times New Roman"/>
          <w:sz w:val="24"/>
        </w:rPr>
        <w:t>Statistical significance alone is neither necessary nor sufficient for decision value. Decision-curve analysis (Vickers &amp; Elkin, 2006) is proposed to examine the consequences of using a model to trigger a specified action, such as an offer of coaching. Its use requires an explicit service context, a plausible threshold range, and defensible consequences for missed non-return and unnecessary intervention. Calibration and validation must precede deployment of a decision rule. A favourable comparison of model net benefit would concern the decision rule under those assumptions; it would not establish that the proposed coaching or frame switch causally improves engagement. That intervention effect requires separate evaluation.</w:t>
      </w:r>
    </w:p>
    <w:p>
      <w:pPr>
        <w:pStyle w:val="Heading3"/>
      </w:pPr>
      <w:bookmarkStart w:id="109" w:name="_Toc232024598"/>
      <w:r>
        <w:rPr>
          <w:color w:val="000000"/>
          <w:szCs w:val="22"/>
          <w:lang w:val="en-US" w:eastAsia="en-US" w:bidi="ar-SA"/>
        </w:rPr>
        <w:t>6.10.4 Pre-Specified Predictions</w:t>
      </w:r>
      <w:bookmarkEnd w:id="109"/>
    </w:p>
    <w:p>
      <w:pPr>
        <w:pStyle w:val="Normal"/>
        <w:jc w:val="both"/>
      </w:pPr>
      <w:r>
        <w:rPr>
          <w:szCs w:val="22"/>
          <w:lang w:val="en-US" w:eastAsia="en-US" w:bidi="ar-SA"/>
          <w:rFonts w:ascii="Times New Roman" w:hAnsi="Times New Roman" w:eastAsia="Times New Roman" w:cs="Times New Roman"/>
          <w:sz w:val="24"/>
        </w:rPr>
        <w:t>The prospective hypothesis is that FIAS-specific appraisals measured before the prediction interval improve prediction beyond demographics and STAM. This remains a future test. Incremental value should be judged against a predefined decision objective using the magnitude and uncertainty of changes in fit, calibration, discrimination and, where justified, net benefit. A non-significant likelihood-ratio test alone does not demonstrate no value, just as a significant test does not establish practical usefulness or construct validity. The analysis should report optimism-corrected or externally validated performance and revise or reject the augmented specification if it fails to meet its predefined performance requirements.</w:t>
      </w:r>
    </w:p>
    <w:p>
      <w:pPr>
        <w:pStyle w:val="Heading3"/>
      </w:pPr>
      <w:bookmarkStart w:id="110" w:name="_Toc232024599"/>
      <w:r>
        <w:rPr>
          <w:color w:val="000000"/>
          <w:szCs w:val="22"/>
          <w:lang w:val="en-US" w:eastAsia="en-US" w:bidi="ar-SA"/>
        </w:rPr>
        <w:t>6.10.5 Provisional Estimates from the Existing Datasets</w:t>
      </w:r>
      <w:bookmarkEnd w:id="110"/>
    </w:p>
    <w:p>
      <w:pPr>
        <w:pStyle w:val="Normal"/>
        <w:jc w:val="both"/>
      </w:pPr>
      <w:r>
        <w:rPr>
          <w:szCs w:val="22"/>
          <w:lang w:val="en-US" w:eastAsia="en-US" w:bidi="ar-SA"/>
          <w:rFonts w:ascii="Times New Roman" w:hAnsi="Times New Roman" w:eastAsia="Times New Roman" w:cs="Times New Roman"/>
          <w:sz w:val="24"/>
        </w:rPr>
        <w:t>The Stage-2 early-disengagement proportion (70.0%, 95% CI 52.1–83.3%) and the Stage-3 observed non-return proportions provide provisional effect-size anchors for design and sample-size planning; they are inputs to the specification, not results of the comparison. A formal pooled or nested analysis is not appropriate until a future dataset uses harmonised recruitment, covariates, measures, outcome definitions and observation windows.</w:t>
      </w:r>
    </w:p>
    <w:p>
      <w:pPr>
        <w:pStyle w:val="Heading2"/>
      </w:pPr>
      <w:r>
        <w:rPr>
          <w:lang w:val="en-US" w:eastAsia="en-US" w:bidi="ar-SA"/>
          <w:color w:val="000000"/>
          <w:szCs w:val="22"/>
        </w:rPr>
        <w:t>6.11 Consolidated Statistical Results</w:t>
      </w:r>
    </w:p>
    <w:p>
      <w:pPr>
        <w:pStyle w:val="Normal"/>
        <w:jc w:val="both"/>
      </w:pPr>
      <w:r>
        <w:rPr>
          <w:szCs w:val="22"/>
          <w:lang w:val="en-US" w:eastAsia="en-US" w:bidi="ar-SA"/>
          <w:rFonts w:ascii="Times New Roman" w:hAnsi="Times New Roman" w:eastAsia="Times New Roman" w:cs="Times New Roman"/>
          <w:sz w:val="24"/>
        </w:rPr>
        <w:t>The key quantitative claims of Stages 2 and 3 are reported in different sections and in different notations. Table 6.5 consolidates them so that the point estimate, the interval, the sample size and the test behind each claim can be assessed at a glance.</w:t>
      </w:r>
    </w:p>
    <w:p>
      <w:pPr>
        <w:pStyle w:val="FigureCaption"/>
        <w:keepNext/>
        <w:keepLines/>
        <w:jc w:val="center"/>
      </w:pPr>
      <w:r>
        <w:rPr>
          <w:sz w:val="24"/>
          <w:szCs w:val="22"/>
          <w:lang w:val="en-US" w:eastAsia="en-US" w:bidi="ar-SA"/>
          <w:rFonts w:ascii="Times New Roman" w:hAnsi="Times New Roman" w:eastAsia="Times New Roman" w:cs="Times New Roman"/>
          <w:i/>
          <w:b/>
        </w:rPr>
        <w:t>Table 6.5. Consolidated statistical results for the key contrasts of Stages 2 and 3.</w:t>
      </w:r>
    </w:p>
    <w:tbl>
      <w:tblPr>
        <w:tblStyle w:val="TableGrid"/>
        <w:tblW w:w="8505" w:type="dxa"/>
        <w:jc w:val="center"/>
        <w:tblLayout w:type="fixed"/>
        <w:tblLook w:val="04A0" w:firstRow="1" w:lastRow="0" w:firstColumn="1" w:lastColumn="0" w:noHBand="0" w:noVBand="1"/>
      </w:tblPr>
      <w:tblGrid>
        <w:gridCol w:w="2649"/>
        <w:gridCol w:w="1290"/>
        <w:gridCol w:w="1365"/>
        <w:gridCol w:w="772"/>
        <w:gridCol w:w="2429"/>
      </w:tblGrid>
      <w:tr>
        <w:trPr>
          <w:jc w:val="center"/>
          <w:tblHeader/>
          <w:cantSplit/>
        </w:trPr>
        <w:tc>
          <w:tcPr>
            <w:tcW w:w="2649" w:type="dxa"/>
          </w:tcPr>
          <w:p>
            <w:pPr>
              <w:pStyle w:val="Normal"/>
              <w:keepNext w:val="0"/>
              <w:keepLines/>
            </w:pPr>
            <w:r>
              <w:rPr>
                <w:b/>
                <w:sz w:val="18"/>
                <w:szCs w:val="22"/>
                <w:lang w:val="en-US" w:eastAsia="en-US" w:bidi="ar-SA"/>
                <w:rFonts w:ascii="Times New Roman" w:hAnsi="Times New Roman" w:eastAsia="Times New Roman" w:cs="Times New Roman"/>
              </w:rPr>
              <w:t>Contrast or quantity</w:t>
            </w:r>
          </w:p>
        </w:tc>
        <w:tc>
          <w:tcPr>
            <w:tcW w:w="1290" w:type="dxa"/>
          </w:tcPr>
          <w:p>
            <w:pPr>
              <w:pStyle w:val="Normal"/>
              <w:keepNext w:val="0"/>
              <w:keepLines/>
            </w:pPr>
            <w:r>
              <w:rPr>
                <w:b/>
                <w:sz w:val="18"/>
                <w:szCs w:val="22"/>
                <w:lang w:val="en-US" w:eastAsia="en-US" w:bidi="ar-SA"/>
                <w:rFonts w:ascii="Times New Roman" w:hAnsi="Times New Roman" w:eastAsia="Times New Roman" w:cs="Times New Roman"/>
              </w:rPr>
              <w:t>Estimate</w:t>
            </w:r>
          </w:p>
        </w:tc>
        <w:tc>
          <w:tcPr>
            <w:tcW w:w="1365" w:type="dxa"/>
          </w:tcPr>
          <w:p>
            <w:pPr>
              <w:pStyle w:val="Normal"/>
              <w:keepNext w:val="0"/>
              <w:keepLines/>
            </w:pPr>
            <w:r>
              <w:rPr>
                <w:b/>
                <w:sz w:val="18"/>
                <w:szCs w:val="22"/>
                <w:lang w:val="en-US" w:eastAsia="en-US" w:bidi="ar-SA"/>
                <w:rFonts w:ascii="Times New Roman" w:hAnsi="Times New Roman" w:eastAsia="Times New Roman" w:cs="Times New Roman"/>
              </w:rPr>
              <w:t>95% CI</w:t>
            </w:r>
          </w:p>
        </w:tc>
        <w:tc>
          <w:tcPr>
            <w:tcW w:w="772" w:type="dxa"/>
          </w:tcPr>
          <w:p>
            <w:pPr>
              <w:pStyle w:val="Normal"/>
              <w:keepNext w:val="0"/>
              <w:keepLines/>
            </w:pPr>
            <w:r>
              <w:rPr>
                <w:b/>
                <w:sz w:val="18"/>
                <w:szCs w:val="22"/>
                <w:lang w:val="en-US" w:eastAsia="en-US" w:bidi="ar-SA"/>
                <w:rFonts w:ascii="Times New Roman" w:hAnsi="Times New Roman" w:eastAsia="Times New Roman" w:cs="Times New Roman"/>
              </w:rPr>
              <w:t>n</w:t>
            </w:r>
          </w:p>
        </w:tc>
        <w:tc>
          <w:tcPr>
            <w:tcW w:w="2429" w:type="dxa"/>
          </w:tcPr>
          <w:p>
            <w:pPr>
              <w:pStyle w:val="Normal"/>
              <w:keepNext w:val="0"/>
              <w:keepLines/>
            </w:pPr>
            <w:r>
              <w:rPr>
                <w:b/>
                <w:sz w:val="18"/>
                <w:szCs w:val="22"/>
                <w:lang w:val="en-US" w:eastAsia="en-US" w:bidi="ar-SA"/>
                <w:rFonts w:ascii="Times New Roman" w:hAnsi="Times New Roman" w:eastAsia="Times New Roman" w:cs="Times New Roman"/>
              </w:rPr>
              <w:t>Test / source</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Early disengagement, ≤ 3 cycles (Stage 2)</w:t>
            </w:r>
          </w:p>
        </w:tc>
        <w:tc>
          <w:tcPr>
            <w:tcW w:w="1290" w:type="dxa"/>
          </w:tcPr>
          <w:p>
            <w:pPr>
              <w:pStyle w:val="Normal"/>
            </w:pPr>
            <w:r>
              <w:rPr>
                <w:szCs w:val="22"/>
                <w:lang w:val="en-US" w:eastAsia="en-US" w:bidi="ar-SA"/>
                <w:rFonts w:ascii="Times New Roman" w:hAnsi="Times New Roman" w:eastAsia="Times New Roman" w:cs="Times New Roman"/>
                <w:sz w:val="24"/>
              </w:rPr>
              <w:t>70.0%</w:t>
            </w:r>
          </w:p>
        </w:tc>
        <w:tc>
          <w:tcPr>
            <w:tcW w:w="1365" w:type="dxa"/>
          </w:tcPr>
          <w:p>
            <w:pPr>
              <w:pStyle w:val="Normal"/>
            </w:pPr>
            <w:r>
              <w:rPr>
                <w:szCs w:val="22"/>
                <w:lang w:val="en-US" w:eastAsia="en-US" w:bidi="ar-SA"/>
                <w:rFonts w:ascii="Times New Roman" w:hAnsi="Times New Roman" w:eastAsia="Times New Roman" w:cs="Times New Roman"/>
                <w:sz w:val="24"/>
              </w:rPr>
              <w:t>52.1–83.3%*</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Wilson score interval; Table 5.2. (Survival modelling withdrawn: no time variable in the archive;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FRA index change, sustained participants (Stage 2)</w:t>
            </w:r>
          </w:p>
        </w:tc>
        <w:tc>
          <w:tcPr>
            <w:tcW w:w="1290" w:type="dxa"/>
          </w:tcPr>
          <w:p>
            <w:pPr>
              <w:pStyle w:val="Normal"/>
            </w:pPr>
            <w:r>
              <w:rPr>
                <w:szCs w:val="22"/>
                <w:lang w:val="en-US" w:eastAsia="en-US" w:bidi="ar-SA"/>
                <w:rFonts w:ascii="Times New Roman" w:hAnsi="Times New Roman" w:eastAsia="Times New Roman" w:cs="Times New Roman"/>
                <w:sz w:val="24"/>
              </w:rPr>
              <w:t>dz = 2.22 (paired); mean +6.9 points</w:t>
            </w:r>
          </w:p>
        </w:tc>
        <w:tc>
          <w:tcPr>
            <w:tcW w:w="1365" w:type="dxa"/>
          </w:tcPr>
          <w:p>
            <w:pPr>
              <w:pStyle w:val="Normal"/>
            </w:pPr>
            <w:r>
              <w:rPr>
                <w:szCs w:val="22"/>
                <w:lang w:val="en-US" w:eastAsia="en-US" w:bidi="ar-SA"/>
                <w:rFonts w:ascii="Times New Roman" w:hAnsi="Times New Roman" w:eastAsia="Times New Roman" w:cs="Times New Roman"/>
                <w:sz w:val="24"/>
              </w:rPr>
              <w:t>dz 0.95–3.46; mean 4.5–9.3</w:t>
            </w:r>
          </w:p>
        </w:tc>
        <w:tc>
          <w:tcPr>
            <w:tcW w:w="772" w:type="dxa"/>
          </w:tcPr>
          <w:p>
            <w:pPr>
              <w:pStyle w:val="Normal"/>
            </w:pPr>
            <w:r>
              <w:rPr>
                <w:szCs w:val="22"/>
                <w:lang w:val="en-US" w:eastAsia="en-US" w:bidi="ar-SA"/>
                <w:rFonts w:ascii="Times New Roman" w:hAnsi="Times New Roman" w:eastAsia="Times New Roman" w:cs="Times New Roman"/>
                <w:sz w:val="24"/>
              </w:rPr>
              <w:t>9</w:t>
            </w:r>
          </w:p>
        </w:tc>
        <w:tc>
          <w:tcPr>
            <w:tcW w:w="2429"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FRA index change, all participants (Stage 2, archived paired data)</w:t>
            </w:r>
          </w:p>
        </w:tc>
        <w:tc>
          <w:tcPr>
            <w:tcW w:w="1290" w:type="dxa"/>
          </w:tcPr>
          <w:p>
            <w:pPr>
              <w:pStyle w:val="Normal"/>
            </w:pPr>
            <w:r>
              <w:rPr>
                <w:szCs w:val="22"/>
                <w:lang w:val="en-US" w:eastAsia="en-US" w:bidi="ar-SA"/>
                <w:rFonts w:ascii="Times New Roman" w:hAnsi="Times New Roman" w:eastAsia="Times New Roman" w:cs="Times New Roman"/>
                <w:sz w:val="24"/>
              </w:rPr>
              <w:t>dz = 0.42; mean +4.0 points</w:t>
            </w:r>
          </w:p>
        </w:tc>
        <w:tc>
          <w:tcPr>
            <w:tcW w:w="1365" w:type="dxa"/>
          </w:tcPr>
          <w:p>
            <w:pPr>
              <w:pStyle w:val="Normal"/>
            </w:pPr>
            <w:r>
              <w:rPr>
                <w:szCs w:val="22"/>
                <w:lang w:val="en-US" w:eastAsia="en-US" w:bidi="ar-SA"/>
                <w:rFonts w:ascii="Times New Roman" w:hAnsi="Times New Roman" w:eastAsia="Times New Roman" w:cs="Times New Roman"/>
                <w:sz w:val="24"/>
              </w:rPr>
              <w:t>dz 0.05–0.79; mean 0.5–7.6</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Satisfaction association with sustained engagement (Stage 2)</w:t>
            </w:r>
          </w:p>
        </w:tc>
        <w:tc>
          <w:tcPr>
            <w:tcW w:w="1290" w:type="dxa"/>
          </w:tcPr>
          <w:p>
            <w:pPr>
              <w:pStyle w:val="Normal"/>
            </w:pPr>
            <w:r>
              <w:rPr>
                <w:szCs w:val="22"/>
                <w:lang w:val="en-US" w:eastAsia="en-US" w:bidi="ar-SA"/>
                <w:rFonts w:ascii="Times New Roman" w:hAnsi="Times New Roman" w:eastAsia="Times New Roman" w:cs="Times New Roman"/>
                <w:sz w:val="24"/>
              </w:rPr>
              <w:t>9/9 vs 11/21 satisfied; observed difference 47.6 pp</w:t>
            </w:r>
          </w:p>
        </w:tc>
        <w:tc>
          <w:tcPr>
            <w:tcW w:w="1365" w:type="dxa"/>
          </w:tcPr>
          <w:p>
            <w:pPr>
              <w:pStyle w:val="Normal"/>
            </w:pPr>
            <w:r>
              <w:rPr>
                <w:szCs w:val="22"/>
                <w:lang w:val="en-US" w:eastAsia="en-US" w:bidi="ar-SA"/>
                <w:rFonts w:ascii="Times New Roman" w:hAnsi="Times New Roman" w:eastAsia="Times New Roman" w:cs="Times New Roman"/>
                <w:sz w:val="24"/>
              </w:rPr>
              <w:t>Not estimated</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Fisher's exact p = 0.013 (exploratory, unadjusted); §5.5</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Re-engagement after dropout (Stage 2)</w:t>
            </w:r>
          </w:p>
        </w:tc>
        <w:tc>
          <w:tcPr>
            <w:tcW w:w="1290" w:type="dxa"/>
          </w:tcPr>
          <w:p>
            <w:pPr>
              <w:pStyle w:val="Normal"/>
            </w:pPr>
            <w:r>
              <w:rPr>
                <w:sz w:val="24"/>
                <w:szCs w:val="22"/>
                <w:lang w:val="en-US" w:eastAsia="en-US" w:bidi="ar-SA"/>
                <w:rFonts w:ascii="Times New Roman" w:hAnsi="Times New Roman" w:eastAsia="Times New Roman" w:cs="Times New Roman"/>
                <w:b/>
              </w:rPr>
              <w:t>0.0%</w:t>
            </w:r>
          </w:p>
        </w:tc>
        <w:tc>
          <w:tcPr>
            <w:tcW w:w="1365" w:type="dxa"/>
          </w:tcPr>
          <w:p>
            <w:pPr>
              <w:pStyle w:val="Normal"/>
            </w:pPr>
            <w:r>
              <w:rPr>
                <w:sz w:val="24"/>
                <w:szCs w:val="22"/>
                <w:lang w:val="en-US" w:eastAsia="en-US" w:bidi="ar-SA"/>
                <w:rFonts w:ascii="Times New Roman" w:hAnsi="Times New Roman" w:eastAsia="Times New Roman" w:cs="Times New Roman"/>
                <w:b/>
              </w:rPr>
              <w:t>0.0–15.5%*</w:t>
            </w:r>
          </w:p>
        </w:tc>
        <w:tc>
          <w:tcPr>
            <w:tcW w:w="772" w:type="dxa"/>
          </w:tcPr>
          <w:p>
            <w:pPr>
              <w:pStyle w:val="Normal"/>
            </w:pPr>
            <w:r>
              <w:rPr>
                <w:sz w:val="24"/>
                <w:szCs w:val="22"/>
                <w:lang w:val="en-US" w:eastAsia="en-US" w:bidi="ar-SA"/>
                <w:rFonts w:ascii="Times New Roman" w:hAnsi="Times New Roman" w:eastAsia="Times New Roman" w:cs="Times New Roman"/>
                <w:b/>
              </w:rPr>
              <w:t>21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5.2</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Return after initial dropout, all bands (Stage 3)</w:t>
            </w:r>
          </w:p>
        </w:tc>
        <w:tc>
          <w:tcPr>
            <w:tcW w:w="1290" w:type="dxa"/>
          </w:tcPr>
          <w:p>
            <w:pPr>
              <w:pStyle w:val="Normal"/>
            </w:pPr>
            <w:r>
              <w:rPr>
                <w:sz w:val="24"/>
                <w:szCs w:val="22"/>
                <w:lang w:val="en-US" w:eastAsia="en-US" w:bidi="ar-SA"/>
                <w:rFonts w:ascii="Times New Roman" w:hAnsi="Times New Roman" w:eastAsia="Times New Roman" w:cs="Times New Roman"/>
                <w:b/>
              </w:rPr>
              <w:t>65.2%</w:t>
            </w:r>
          </w:p>
        </w:tc>
        <w:tc>
          <w:tcPr>
            <w:tcW w:w="1365" w:type="dxa"/>
          </w:tcPr>
          <w:p>
            <w:pPr>
              <w:pStyle w:val="Normal"/>
            </w:pPr>
            <w:r>
              <w:rPr>
                <w:sz w:val="24"/>
                <w:szCs w:val="22"/>
                <w:lang w:val="en-US" w:eastAsia="en-US" w:bidi="ar-SA"/>
                <w:rFonts w:ascii="Times New Roman" w:hAnsi="Times New Roman" w:eastAsia="Times New Roman" w:cs="Times New Roman"/>
                <w:b/>
              </w:rPr>
              <w:t>44.9–81.2%*</w:t>
            </w:r>
          </w:p>
        </w:tc>
        <w:tc>
          <w:tcPr>
            <w:tcW w:w="772" w:type="dxa"/>
          </w:tcPr>
          <w:p>
            <w:pPr>
              <w:pStyle w:val="Normal"/>
            </w:pPr>
            <w:r>
              <w:rPr>
                <w:sz w:val="24"/>
                <w:szCs w:val="22"/>
                <w:lang w:val="en-US" w:eastAsia="en-US" w:bidi="ar-SA"/>
                <w:rFonts w:ascii="Times New Roman" w:hAnsi="Times New Roman" w:eastAsia="Times New Roman" w:cs="Times New Roman"/>
                <w:b/>
              </w:rPr>
              <w:t>23</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6.1</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Return after initial dropout, 65–80 band (Stage 3)</w:t>
            </w:r>
          </w:p>
        </w:tc>
        <w:tc>
          <w:tcPr>
            <w:tcW w:w="1290" w:type="dxa"/>
          </w:tcPr>
          <w:p>
            <w:pPr>
              <w:pStyle w:val="Normal"/>
            </w:pPr>
            <w:r>
              <w:rPr>
                <w:sz w:val="24"/>
                <w:szCs w:val="22"/>
                <w:lang w:val="en-US" w:eastAsia="en-US" w:bidi="ar-SA"/>
                <w:rFonts w:ascii="Times New Roman" w:hAnsi="Times New Roman" w:eastAsia="Times New Roman" w:cs="Times New Roman"/>
                <w:b/>
              </w:rPr>
              <w:t>62.5%</w:t>
            </w:r>
          </w:p>
        </w:tc>
        <w:tc>
          <w:tcPr>
            <w:tcW w:w="1365" w:type="dxa"/>
          </w:tcPr>
          <w:p>
            <w:pPr>
              <w:pStyle w:val="Normal"/>
            </w:pPr>
            <w:r>
              <w:rPr>
                <w:sz w:val="24"/>
                <w:szCs w:val="22"/>
                <w:lang w:val="en-US" w:eastAsia="en-US" w:bidi="ar-SA"/>
                <w:rFonts w:ascii="Times New Roman" w:hAnsi="Times New Roman" w:eastAsia="Times New Roman" w:cs="Times New Roman"/>
                <w:b/>
              </w:rPr>
              <w:t>38.6–81.5%*</w:t>
            </w:r>
          </w:p>
        </w:tc>
        <w:tc>
          <w:tcPr>
            <w:tcW w:w="772" w:type="dxa"/>
          </w:tcPr>
          <w:p>
            <w:pPr>
              <w:pStyle w:val="Normal"/>
            </w:pPr>
            <w:r>
              <w:rPr>
                <w:sz w:val="24"/>
                <w:szCs w:val="22"/>
                <w:lang w:val="en-US" w:eastAsia="en-US" w:bidi="ar-SA"/>
                <w:rFonts w:ascii="Times New Roman" w:hAnsi="Times New Roman" w:eastAsia="Times New Roman" w:cs="Times New Roman"/>
                <w:b/>
              </w:rPr>
              <w:t>16</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Observed non-return, 65–80 band (Stage 3)</w:t>
            </w:r>
          </w:p>
        </w:tc>
        <w:tc>
          <w:tcPr>
            <w:tcW w:w="1290" w:type="dxa"/>
          </w:tcPr>
          <w:p>
            <w:pPr>
              <w:pStyle w:val="Normal"/>
            </w:pPr>
            <w:r>
              <w:rPr>
                <w:szCs w:val="22"/>
                <w:lang w:val="en-US" w:eastAsia="en-US" w:bidi="ar-SA"/>
                <w:rFonts w:ascii="Times New Roman" w:hAnsi="Times New Roman" w:eastAsia="Times New Roman" w:cs="Times New Roman"/>
                <w:sz w:val="24"/>
              </w:rPr>
              <w:t>14.6%</w:t>
            </w:r>
          </w:p>
        </w:tc>
        <w:tc>
          <w:tcPr>
            <w:tcW w:w="1365" w:type="dxa"/>
          </w:tcPr>
          <w:p>
            <w:pPr>
              <w:pStyle w:val="Normal"/>
            </w:pPr>
            <w:r>
              <w:rPr>
                <w:szCs w:val="22"/>
                <w:lang w:val="en-US" w:eastAsia="en-US" w:bidi="ar-SA"/>
                <w:rFonts w:ascii="Times New Roman" w:hAnsi="Times New Roman" w:eastAsia="Times New Roman" w:cs="Times New Roman"/>
                <w:sz w:val="24"/>
              </w:rPr>
              <w:t>6.9–28.4%*</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Coordination challenge endorsement (Stage 3)</w:t>
            </w:r>
          </w:p>
        </w:tc>
        <w:tc>
          <w:tcPr>
            <w:tcW w:w="1290" w:type="dxa"/>
          </w:tcPr>
          <w:p>
            <w:pPr>
              <w:pStyle w:val="Normal"/>
            </w:pPr>
            <w:r>
              <w:rPr>
                <w:sz w:val="24"/>
                <w:szCs w:val="22"/>
                <w:lang w:val="en-US" w:eastAsia="en-US" w:bidi="ar-SA"/>
                <w:rFonts w:ascii="Times New Roman" w:hAnsi="Times New Roman" w:eastAsia="Times New Roman" w:cs="Times New Roman"/>
                <w:b/>
              </w:rPr>
              <w:t>71.7%</w:t>
            </w:r>
          </w:p>
        </w:tc>
        <w:tc>
          <w:tcPr>
            <w:tcW w:w="1365" w:type="dxa"/>
          </w:tcPr>
          <w:p>
            <w:pPr>
              <w:pStyle w:val="Normal"/>
            </w:pPr>
            <w:r>
              <w:rPr>
                <w:sz w:val="24"/>
                <w:szCs w:val="22"/>
                <w:lang w:val="en-US" w:eastAsia="en-US" w:bidi="ar-SA"/>
                <w:rFonts w:ascii="Times New Roman" w:hAnsi="Times New Roman" w:eastAsia="Times New Roman" w:cs="Times New Roman"/>
                <w:b/>
              </w:rPr>
              <w:t>63.0–79.0%*</w:t>
            </w:r>
          </w:p>
        </w:tc>
        <w:tc>
          <w:tcPr>
            <w:tcW w:w="772" w:type="dxa"/>
          </w:tcPr>
          <w:p>
            <w:pPr>
              <w:pStyle w:val="Normal"/>
            </w:pPr>
            <w:r>
              <w:rPr>
                <w:sz w:val="24"/>
                <w:szCs w:val="22"/>
                <w:lang w:val="en-US" w:eastAsia="en-US" w:bidi="ar-SA"/>
                <w:rFonts w:ascii="Times New Roman" w:hAnsi="Times New Roman" w:eastAsia="Times New Roman" w:cs="Times New Roman"/>
                <w:b/>
              </w:rPr>
              <w:t>120</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b/>
              </w:rPr>
              <w:t>Regular-use intention, 65–80 band (Stage 3)</w:t>
            </w:r>
          </w:p>
        </w:tc>
        <w:tc>
          <w:tcPr>
            <w:tcW w:w="1290" w:type="dxa"/>
          </w:tcPr>
          <w:p>
            <w:pPr>
              <w:pStyle w:val="Normal"/>
            </w:pPr>
            <w:r>
              <w:rPr>
                <w:szCs w:val="22"/>
                <w:lang w:val="en-US" w:eastAsia="en-US" w:bidi="ar-SA"/>
                <w:rFonts w:ascii="Times New Roman" w:hAnsi="Times New Roman" w:eastAsia="Times New Roman" w:cs="Times New Roman"/>
                <w:sz w:val="24"/>
              </w:rPr>
              <w:t>56.1%</w:t>
            </w:r>
          </w:p>
        </w:tc>
        <w:tc>
          <w:tcPr>
            <w:tcW w:w="1365" w:type="dxa"/>
          </w:tcPr>
          <w:p>
            <w:pPr>
              <w:pStyle w:val="Normal"/>
            </w:pPr>
            <w:r>
              <w:rPr>
                <w:szCs w:val="22"/>
                <w:lang w:val="en-US" w:eastAsia="en-US" w:bidi="ar-SA"/>
                <w:rFonts w:ascii="Times New Roman" w:hAnsi="Times New Roman" w:eastAsia="Times New Roman" w:cs="Times New Roman"/>
                <w:sz w:val="24"/>
              </w:rPr>
              <w:t>41.0–70.1%*</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Descriptive continued-play–intention difference, 65–80 band (Stage 3)</w:t>
            </w:r>
          </w:p>
        </w:tc>
        <w:tc>
          <w:tcPr>
            <w:tcW w:w="1290" w:type="dxa"/>
          </w:tcPr>
          <w:p>
            <w:pPr>
              <w:pStyle w:val="Normal"/>
            </w:pPr>
            <w:r>
              <w:rPr>
                <w:szCs w:val="22"/>
                <w:lang w:val="en-US" w:eastAsia="en-US" w:bidi="ar-SA"/>
                <w:rFonts w:ascii="Times New Roman" w:hAnsi="Times New Roman" w:eastAsia="Times New Roman" w:cs="Times New Roman"/>
                <w:sz w:val="24"/>
              </w:rPr>
              <w:t>29.3 pp</w:t>
            </w:r>
          </w:p>
        </w:tc>
        <w:tc>
          <w:tcPr>
            <w:tcW w:w="1365" w:type="dxa"/>
          </w:tcPr>
          <w:p>
            <w:pPr>
              <w:pStyle w:val="Normal"/>
            </w:pPr>
            <w:r>
              <w:rPr>
                <w:sz w:val="24"/>
                <w:szCs w:val="22"/>
                <w:lang w:val="en-US" w:eastAsia="en-US" w:bidi="ar-SA"/>
                <w:rFonts w:ascii="Times New Roman" w:hAnsi="Times New Roman" w:eastAsia="Times New Roman" w:cs="Times New Roman"/>
                <w:b/>
              </w:rPr>
              <w:t>see note</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Cs w:val="22"/>
                <w:lang w:val="en-US" w:eastAsia="en-US" w:bidi="ar-SA"/>
                <w:rFonts w:ascii="Times New Roman" w:hAnsi="Times New Roman" w:eastAsia="Times New Roman" w:cs="Times New Roman"/>
                <w:sz w:val="24"/>
              </w:rPr>
              <w:t>Difference between distinct outcomes (85.4% continued or resumed play and 56.1% stated intention); §6.8</w:t>
            </w:r>
          </w:p>
        </w:tc>
      </w:tr>
    </w:tbl>
    <w:p>
      <w:pPr>
        <w:pStyle w:val="Normal"/>
        <w:jc w:val="both"/>
      </w:pPr>
      <w:r>
        <w:rPr>
          <w:szCs w:val="22"/>
          <w:lang w:val="en-US" w:eastAsia="en-US" w:bidi="ar-SA"/>
          <w:rFonts w:ascii="Times New Roman" w:hAnsi="Times New Roman" w:eastAsia="Times New Roman" w:cs="Times New Roman"/>
          <w:sz w:val="24"/>
        </w:rPr>
        <w:t>Intervals marked with an asterisk are Wilson score intervals computed from the reported counts. Effect-size intervals for the paired changes are exact noncentral-t intervals computed from the archived participant-level data. The earlier pooled (d = 0.78) and zero-imputation (d = 0.57) estimates did not reproduce from the archive and have been withdrawn; the survival-model row has been replaced for the same reason (§5.5). The 29.3-percentage-point difference between continued or resumed play and stated intention compares distinct marginal measures; no individual-level transition or paired-effect interval is inferred without their joint cross-tabulation. Wilson intervals quantify binomial sampling uncertainty conditional on the model, not uncertainty arising from recruitment, setting or confounding. The reported inferential tests are exploratory and unadjusted; paired t and Wilcoxon analyses describe the same observations under different assumptions, rather than independent replications. The sustained subgroup is selected by engagement, so its paired change is not an intervention effect for all participants; the full-cohort unstandardised change is the broader descriptive anchor. The earlier motivational-orientation odds ratio has been withdrawn (§5.5). The Stage-2 rows with n = 30 and n = 21 include the one record that failed verification (S2-P015, a single-session participant retained with a sensitivity note; §5.5); the n = 9 sustained-participant row does not include it.</w:t>
      </w:r>
    </w:p>
    <w:p>
      <w:pPr>
        <w:pStyle w:val="Normal"/>
        <w:spacing w:after="0" w:line="276" w:lineRule="auto"/>
        <w:rPr>
          <w:rFonts w:asciiTheme="majorHAnsi" w:eastAsiaTheme="majorEastAsia" w:hAnsiTheme="majorHAnsi" w:cstheme="majorBidi"/>
          <w:b/>
          <w:bCs/>
          <w:color w:val="000000"/>
          <w:sz w:val="32"/>
          <w:szCs w:val="28"/>
        </w:rPr>
      </w:pPr>
      <w:bookmarkStart w:id="111" w:name="_Toc232024600"/>
      <w:r>
        <w:rPr>
          <w:rFonts w:asciiTheme="majorHAnsi" w:eastAsiaTheme="majorEastAsia" w:hAnsiTheme="majorHAnsi" w:cstheme="majorBidi"/>
          <w:b/>
          <w:color w:val="000000"/>
          <w:sz w:val="2"/>
          <w:szCs w:val="28"/>
        </w:rPr>
      </w:r>
    </w:p>
    <w:p>
      <w:pPr>
        <w:pStyle w:val="Heading2"/>
      </w:pPr>
      <w:r>
        <w:rPr>
          <w:color w:val="000000"/>
        </w:rPr>
        <w:t>6.12 The Expert Consultation Panel (March–September 2026)</w:t>
      </w:r>
    </w:p>
    <w:p>
      <w:pPr>
        <w:jc w:val="both"/>
      </w:pPr>
      <w:r>
        <w:t>The programme's fourth evidence activity comprised four senior-practitioner and researcher consultations between March and August 2026, extended by a follow-up second consultation in September 2026 under the arrangements described in §3.2 (records: Appendix H.1–H.8). The series overlapped the Stage-3 period and continued after it, so the panel is not collectively described as a post-Stage-3 exercise. Dr Yuan's consultation on the difference between continued play and stated intention is reported in §6.8A; the panel-wide analysis below records convergence, divergence and silence in the interpretations and design appraisals offered.</w:t>
      </w:r>
    </w:p>
    <w:p>
      <w:pPr>
        <w:jc w:val="both"/>
      </w:pPr>
      <w:r>
        <w:t>Three further consultations extend the interpretive appraisal across clinical-practice standpoints; their full records are in Appendix H.6-H.8, and the analysis below reports convergence, divergence and silence rather than agreement alone. Dr Philip Choy, drawing on a caseload of more than a thousand older adults with chronic disease, was asked the programme's definitional question directly - is the operative failure the game's, or the health result's? He agreed that the game itself does not cause the abandonment syndrome: it arises mainly from users' concerns about their own health performance, a pattern he described as very common among older adults who have acknowledged a principal health condition. This is a practice-based interpretation consistent with the proposed attribution account. Because the consultation presented the study's problem and sought an explanation, agreement is informed interpretive convergence rather than independent replication of the mechanism. He further located the adopting demographic - educated, financially independent adults from roughly 65-70 upward, engaging only once a concrete benefit is identified - and judged token reward economies insufficient for that segment.</w:t>
      </w:r>
    </w:p>
    <w:p>
      <w:pPr>
        <w:jc w:val="both"/>
      </w:pPr>
      <w:r>
        <w:t>Expert P, the panel's physiotherapist, contributed an abandonment window of two weeks to two months from post-surgical rehabilitation caseloads - an adjacent, clinically supervised population, cited here as analogy rather than corroboration of the FRA timing - together with three design observations: some assessments (balance, fall risk, cognition) cannot be simplified, motivating the proposed balance between informative assessment and manageable engagement in Chapter 7; games pitched too simply read as childish to older players; and, most distinctively, that higher-educated patients who are observed failing will probably stop immediately - he viewed witnessed failure as a stronger stopping trigger than failure alone, motivating future evaluation of privacy and supervision as separate design factors. In a dated follow-up (5 August 2026) he played a later touch-input version of the decoupled game (v2.3, repository-dated 2 August 2026), which was not one of the two builds distributed in Stage 3A, and judged it suitable for fall-risk assessment, stating he would return to it regularly were it installed - an appraisal of the artefact's perceived suitability and a stated regular-use intention. Playing the build provides direct experience of its interface, but the stated intention is not observed repeated use or clinical validation.</w:t>
      </w:r>
    </w:p>
    <w:p>
      <w:pPr>
        <w:jc w:val="both"/>
      </w:pPr>
      <w:r>
        <w:t>Dr Gary Lau's consultation bears on the framework's costliest element: coaching. In his account, coaching is always the best and most direct approach to sustaining rehabilitation - and it cannot scale: family involvement carries too high a social cost, and professional therapist resources are scarce. Together, these observations motivate the framework's coaching layer and investigation of whether AI-assisted support can extend access within available resources; its affordability, effectiveness and limits require evaluation. His diagnosis that current health technology offers no progressive, positive signs across a long, boring and lonely journey grounds the visible-trajectory element; and his stated position that technology should be embraced but not over-relied upon - care remaining people-centred - independently states the boundary this thesis draws for AI.</w:t>
      </w:r>
    </w:p>
    <w:p>
      <w:pPr>
        <w:jc w:val="both"/>
      </w:pPr>
      <w:r>
        <w:rPr/>
        <w:t xml:space="preserve">A second consultation with Dr Lau followed in September 2026 (approximately thirty minutes, Cantonese and English, audio-recorded), joined by his doctoral researcher in rehabilitation technology. It extended the record on four fronts. First, both visitors described, from their own practice, the pattern this thesis reads as verdict fear: patients who decline even free assessments because they prefer not to know, and older adults who become anxious and score-focused the moment an activity is framed as being about their body - pressure created by the framing, not the task. Second, Dr Lau supplied design requirements from clinical experience: information overload is itself a barrier ('the simpler, the better'); reporting for older adults should say healthy-or-not and when to see a doctor rather than exposing indices ('less is more'); guidance must be actionable - dynamic risk with small achievable goals - and must come from a messenger the person trusts. He also pointed to a Hong Kong product screening cognition through mahjong and calligraphy as a strong exemplar of assessment embedded in culturally familiar play. Third, the doctoral researcher articulated, unprompted, the self-referenced baseline: with no pass/fail standard, the player measures progress against their own earlier play - an independent statement of the learning-trajectory appraisal this thesis formalises (§7.3) - while also insisting that game-derived assessment requires validation against therapist-administered instruments before any accuracy claim. Fourth, when the author relayed Dr Yuan's group-play observation (§6.8A), both visitors endorsed it from their own experience - a cross-panel convergence on group play as the stronger engagement form. </w:t>
      </w:r>
      <w:r>
        <w:rPr/>
        <w:t>Record status at 30 September 2026: the consultation is audio-recorded and transcribed (transcript dated 7 September 2026; Appendix H.6); a member-check form was issued on 7 September 2026 and no response was on file; the doctoral researcher is reported pseudonymously, no attribution election having been received; Dr Lau's remarks on a product under development are withheld in the absence of his sensitivity election; his own feedback from playing the game is not reported.</w:t>
      </w:r>
    </w:p>
    <w:p>
      <w:pPr>
        <w:jc w:val="both"/>
      </w:pPr>
      <w:r>
        <w:t>The analysis records its own limits. The explicit verdict-attribution interpretation rests on Dr Choy alone - the question was not put to the other experts. Dr Choy's and Expert P's observations share a private-practice sampling frame, and their convergence on the adopter demographic is weighted accordingly. Expert P's abandonment window derives from medically necessary, supervised rehabilitation rather than voluntary preventive assessment. And Dr Lau's honest uncertainty - whether games can change patients' minds and behaviour, he cannot yet be sure - is reported as his position, not resolved away. Expert views contextualise the behavioural evidence; they are not evidence for the hypotheses.</w:t>
      </w:r>
    </w:p>
    <w:p>
      <w:pPr>
        <w:pStyle w:val="Heading1"/>
        <w:pageBreakBefore/>
      </w:pPr>
      <w:bookmarkEnd w:id="111"/>
      <w:r>
        <w:rPr>
          <w:lang w:val="en-US" w:eastAsia="en-US" w:bidi="ar-SA"/>
          <w:color w:val="000000"/>
          <w:szCs w:val="22"/>
        </w:rPr>
        <w:t>Chapter 7 Discussion of Gamification and Adaptive Improvement</w:t>
      </w:r>
    </w:p>
    <w:p>
      <w:pPr>
        <w:pStyle w:val="Heading2"/>
      </w:pPr>
      <w:r>
        <w:rPr>
          <w:lang w:val="en-US" w:eastAsia="en-US" w:bidi="ar-SA"/>
          <w:color w:val="000000"/>
          <w:szCs w:val="22"/>
        </w:rPr>
        <w:t>7.1 From Engagement Difficulty to a Testable Adaptive Response</w:t>
      </w:r>
    </w:p>
    <w:p>
      <w:pPr>
        <w:pStyle w:val="Normal"/>
        <w:jc w:val="both"/>
      </w:pPr>
      <w:r>
        <w:rPr>
          <w:szCs w:val="22"/>
          <w:lang w:val="en-US" w:eastAsia="en-US" w:bidi="ar-SA"/>
          <w:rFonts w:ascii="Times New Roman" w:hAnsi="Times New Roman" w:eastAsia="Times New Roman" w:cs="Times New Roman"/>
          <w:sz w:val="24"/>
        </w:rPr>
        <w:t>The empirical programme exposed two practical difficulties: substantial non-return in the coupled deployment, and a difference between continued or resumed play and stated regular-use intention in the decoupled cohort. These observations identify unresolved design needs; they do not uniquely identify adaptive learning as the solution. The proposed response retains gamification as the setting for participation and feedback, while adding mechanisms for interpreting difficulty, adjusting the next task and evaluating whether the adjustment helps. Clinical reattachment remains a separate question because an engaging game is not automatically an acceptable or effective assessment service. This chapter therefore specifies a candidate adaptive response and the evidence required to judge improvement at both participant and system levels.</w:t>
      </w:r>
    </w:p>
    <w:p>
      <w:pPr>
        <w:pStyle w:val="Normal"/>
        <w:jc w:val="both"/>
      </w:pPr>
      <w:r>
        <w:rPr>
          <w:szCs w:val="22"/>
          <w:lang w:val="en-US" w:eastAsia="en-US" w:bidi="ar-SA"/>
          <w:rFonts w:ascii="Times New Roman" w:hAnsi="Times New Roman" w:eastAsia="Times New Roman" w:cs="Times New Roman"/>
          <w:sz w:val="24"/>
        </w:rPr>
        <w:t>The design argument proceeds from observation to proposition. First, the decoupling comparison motivates attention to the meaning participants attach to the activity, although it does not isolate a framing effect. Second, repeated-use intentions suggest that an acceptable encounter may still lack sufficient value for ongoing participation. Third, learning-oriented feedback and calibrated challenge offer a theoretically informed way to address that design problem. Their benefit must be tested against alternatives such as simpler tasks, social support, reduced burden or improved access. The framework is valuable only if it makes these claims more testable and its outcomes more interpretable.</w:t>
      </w:r>
    </w:p>
    <w:p>
      <w:pPr>
        <w:pStyle w:val="Heading2"/>
      </w:pPr>
      <w:bookmarkStart w:id="112" w:name="_Toc232024602"/>
      <w:r>
        <w:rPr>
          <w:lang w:val="en-US" w:eastAsia="en-US" w:bidi="ar-SA"/>
          <w:color w:val="000000"/>
          <w:szCs w:val="22"/>
        </w:rPr>
        <w:t>7.2 Adaptive Learning in the Gamification Literature</w:t>
      </w:r>
      <w:bookmarkEnd w:id="112"/>
    </w:p>
    <w:p>
      <w:pPr>
        <w:pStyle w:val="Normal"/>
        <w:jc w:val="both"/>
      </w:pPr>
      <w:r>
        <w:rPr>
          <w:szCs w:val="22"/>
          <w:lang w:val="en-US" w:eastAsia="en-US" w:bidi="ar-SA"/>
          <w:rFonts w:ascii="Times New Roman" w:hAnsi="Times New Roman" w:eastAsia="Times New Roman" w:cs="Times New Roman"/>
          <w:sz w:val="24"/>
        </w:rPr>
        <w:t>Adaptive learning is established in educational technology and intelligent tutoring systems (VanLehn, 2011). Ageing-HCI research highlights the importance of suitable interaction demands and support (Hawthorn, 2007; Lee &amp; Coughlin, 2015). Flow theory, scaffolded learning and productive failure provide reasons to examine challenge, feedback and opportunities to revisit difficulty (Csikszentmihalyi, 1990; Vygotsky, 1978; Kapur, 2008). These literatures motivate the present design; they do not demonstrate its effect in gamified FRA. Immediate performance under assistance must also be distinguished from learning that persists or transfers (Soderstrom &amp; Bjork, 2015). A credible trajectory can therefore include stable performance, setbacks and uncertain change, rather than a required upward curve.</w:t>
      </w:r>
    </w:p>
    <w:p>
      <w:pPr>
        <w:pStyle w:val="Normal"/>
        <w:jc w:val="both"/>
      </w:pPr>
      <w:r>
        <w:rPr>
          <w:szCs w:val="22"/>
          <w:lang w:val="en-US" w:eastAsia="en-US" w:bidi="ar-SA"/>
          <w:rFonts w:ascii="Times New Roman" w:hAnsi="Times New Roman" w:eastAsia="Times New Roman" w:cs="Times New Roman"/>
          <w:sz w:val="24"/>
        </w:rPr>
        <w:t>The Stage-2 description specifies a difficulty-adjustment loop (§5.3.5); its operational status in the deployed build is not documented in the retained record (Appendix G, item G.0A), and no operational claim is made for it. The 80%/40% rule is a design heuristic for changing challenge, not a validated measure that a participant remained in a flow state. Nor does the presence of that rule establish that the complete adaptive-learning framework was evaluated. The proposed trajectory layer adds an interpretive interface, while the prospective evaluation must separately examine adaptation fidelity, comprehension, task performance and subsequent voluntary use.</w:t>
      </w:r>
    </w:p>
    <w:p>
      <w:pPr>
        <w:pStyle w:val="Heading2"/>
      </w:pPr>
      <w:r>
        <w:rPr>
          <w:lang w:val="en-US" w:eastAsia="en-US" w:bidi="ar-SA"/>
          <w:color w:val="000000"/>
          <w:szCs w:val="22"/>
        </w:rPr>
        <w:t>7.3 Endowment-Protective and Learning-Trajectory Appraisals as Competing Design Regimes</w:t>
      </w:r>
    </w:p>
    <w:p>
      <w:pPr>
        <w:pStyle w:val="Normal"/>
        <w:jc w:val="both"/>
      </w:pPr>
      <w:r>
        <w:rPr>
          <w:szCs w:val="22"/>
          <w:lang w:val="en-US" w:eastAsia="en-US" w:bidi="ar-SA"/>
          <w:rFonts w:ascii="Times New Roman" w:hAnsi="Times New Roman" w:eastAsia="Times New Roman" w:cs="Times New Roman"/>
          <w:sz w:val="24"/>
        </w:rPr>
        <w:t>The thesis proposes that an identity-protective appraisal and a learning-oriented appraisal may give different meanings to an unfavourable result. The former may emphasise a threatened self-description; the latter may emphasise current task demands and possible next actions. These interpretations can coexist. The design objective is to support a credible learning interpretation without suppressing accurate information, meaningful challenge or user choice. Whether this changes appraisal and reduces non-return remains an empirical question for a controlled evaluation of the framework.</w:t>
      </w:r>
    </w:p>
    <w:p>
      <w:pPr>
        <w:pStyle w:val="Normal"/>
        <w:jc w:val="both"/>
      </w:pPr>
      <w:r>
        <w:rPr>
          <w:szCs w:val="22"/>
          <w:lang w:val="en-US" w:eastAsia="en-US" w:bidi="ar-SA"/>
          <w:rFonts w:ascii="Times New Roman" w:hAnsi="Times New Roman" w:eastAsia="Times New Roman" w:cs="Times New Roman"/>
          <w:sz w:val="24"/>
        </w:rPr>
        <w:t>Bandura's mastery-experience pathway offers one plausible within-person process. Repeated, interpretable successes may strengthen task-specific self-efficacy, while appropriately scaffolded difficulty can support persistence. A moving personal reference point may also reduce over-reliance on a single adverse event. These mechanisms should be measured with validated self-efficacy and appraisal instruments rather than inferred solely from return behaviour.</w:t>
      </w:r>
    </w:p>
    <w:p>
      <w:pPr>
        <w:pStyle w:val="Heading2"/>
      </w:pPr>
      <w:bookmarkStart w:id="113" w:name="_Toc232024604"/>
      <w:bookmarkEnd w:id="113"/>
      <w:r>
        <w:rPr>
          <w:lang w:val="en-US" w:eastAsia="en-US" w:bidi="ar-SA"/>
          <w:color w:val="000000"/>
          <w:szCs w:val="22"/>
        </w:rPr>
        <w:t>7.4 Formalising the Proposed Adaptive Learning Framework</w:t>
      </w:r>
    </w:p>
    <w:p>
      <w:pPr>
        <w:pStyle w:val="Normal"/>
        <w:jc w:val="both"/>
      </w:pPr>
      <w:commentRangeStart w:id="3"/>
      <w:r>
        <w:rPr>
          <w:szCs w:val="22"/>
          <w:lang w:val="en-US" w:eastAsia="en-US" w:bidi="ar-SA"/>
          <w:rFonts w:ascii="Times New Roman" w:hAnsi="Times New Roman" w:eastAsia="Times New Roman" w:cs="Times New Roman"/>
          <w:sz w:val="24"/>
        </w:rPr>
        <w:t>The adaptive-learning framework translates the field observations and learning literature into three proposed design principles for gamified FRA. P1, Identity Disentanglement, reduces unnecessary evaluative cues while retaining accurate disclosure of purpose. P2, Trajectory Installation, presents interpretable change and the next task without requiring an upward trend. P3, Adaptive Calibration, adjusts challenge, feedback and pacing within defined limits. P1 is motivated by the Stage-3 association, not established as its cause. P2 responds to a need for credible continuing value, not a demonstrated cause of the difference between continued play and stated intention. P3 extends the partial difficulty adaptation described in Stage 2, whose independent effect was not tested. Non-terminal game states are a supporting design option: they can offer another action after difficulty without erasing failure or guaranteeing success.</w:t>
      </w:r>
      <w:commentRangeEnd w:id="3"/>
      <w:r>
        <w:rPr>
          <w:rStyle w:val="CommentReference"/>
        </w:rPr>
        <w:commentReference w:id="3"/>
      </w:r>
    </w:p>
    <w:p>
      <w:pPr>
        <w:pStyle w:val="Normal"/>
        <w:jc w:val="both"/>
      </w:pPr>
      <w:r>
        <w:rPr>
          <w:szCs w:val="22"/>
          <w:lang w:val="en-US" w:eastAsia="en-US" w:bidi="ar-SA"/>
          <w:rFonts w:ascii="Times New Roman" w:hAnsi="Times New Roman" w:eastAsia="Times New Roman" w:cs="Times New Roman"/>
          <w:sz w:val="24"/>
        </w:rPr>
        <w:t>These principles organise selected intervention points in a candidate appraisal process: task conditions influence the event encountered, feedback influences its interpretation, and framing may influence its personal significance. This is a useful design decomposition rather than proof that exactly three principles are necessary or sufficient. Social support, access, fatigue management and other factors may contribute independently or interact with them. The present evidence justifies evaluating these principles together and separately; it does not establish an exhaustive architecture or rule out a simpler response.</w:t>
      </w:r>
    </w:p>
    <w:p>
      <w:pPr>
        <w:jc w:val="both"/>
      </w:pPr>
      <w:r>
        <w:t>Why exactly three principles, and not two or four? The number and identity of the principles follow from the structure of the failure-appraisal chain that the FIAS account hypothesises, which is what makes them one framework rather than three recommendations. A failure event acquires behavioural force in three steps: an event is generated (a fall in the game, a low score); the event is read within a frame (as a verdict on a fixed state, or as a point on a moving curve); and the reading lands on a target (an identity-level asset, or a revisable skill estimate). Each principle intercepts exactly one link. Adaptive calibration (P3) governs the event link: it controls the rate, size and timing of failure events so that difficulty tracks capability. Trajectory installation (P2) governs the frame link: it supplies the moving-curve reading under which a failure is informative rather than conclusive. Identity disentanglement (P1) governs the target link: it detaches the reading from the identity-level asset that endowment protects. Fewer than three principles would leave a link untreated, and the field record is consistent with — though it cannot demonstrate — the cost of doing so: the Stage-2 build already specified a partial calibration rule (the 80%/40% heuristic, §5.3.5; its operational status in the deployed build is not documented, Appendix G, item G.0A), yet non-return occurred while the frame and target links were untreated; and the Stage-3 package addressed the target link — not alone, but within a multi-component redesign that simultaneously changed platform, setting, supervision and cohort (§6.3) — and was associated with observed post-failure return while leaving the commitment gap open. Neither observation isolates any single link's causal contribution. More than three could be adopted; in the decomposition adopted here the candidate additions the programme considered — zero-failure presentation, social scaffolding, reward scheduling — are treated as presentation-layer or parameter choices within the three links, which is why non-terminal (zero-failure) presentation is treated in this section as a supporting design option within the three principles (§2.6.2C) rather than as a fourth principle. This is a choice of organisation, not a demonstration that a further principle would be redundant: social support, for example, may change opportunity, practical assistance, enjoyment and appraisal at once, and a design that treats it as a fourth lever is compatible with the observations. The framework is offered as jointly covering the appraisal chain as this programme has mapped it - a design claim about coverage of the observed chain, not a claim of empirical exhaustiveness or unique necessity - with the principles individually non-redundant within that selected decomposition (a property of the chosen mapping, not an empirically demonstrated necessity), and anchored link by link to the observed failure modes.</w:t>
      </w:r>
    </w:p>
    <w:p>
      <w:pPr>
        <w:pStyle w:val="FigureCaption"/>
        <w:keepNext/>
        <w:keepLines/>
        <w:jc w:val="center"/>
      </w:pPr>
      <w:bookmarkStart w:id="114" w:name="_Toc232024705"/>
      <w:r>
        <w:rPr>
          <w:sz w:val="24"/>
          <w:szCs w:val="22"/>
          <w:lang w:val="en-US" w:eastAsia="en-US" w:bidi="ar-SA"/>
          <w:rFonts w:ascii="Times New Roman" w:hAnsi="Times New Roman" w:eastAsia="Times New Roman" w:cs="Times New Roman"/>
          <w:i/>
          <w:b/>
        </w:rPr>
        <w:t>Table 7.1. Adaptive-learning principles, function and empirical anchor.</w:t>
      </w:r>
      <w:bookmarkEnd w:id="114"/>
    </w:p>
    <w:tbl>
      <w:tblPr>
        <w:tblStyle w:val="TableGrid"/>
        <w:tblW w:w="8505" w:type="dxa"/>
        <w:jc w:val="center"/>
        <w:tblLayout w:type="fixed"/>
        <w:tblLook w:val="04A0" w:firstRow="1" w:lastRow="0" w:firstColumn="1" w:lastColumn="0" w:noHBand="0" w:noVBand="1"/>
      </w:tblPr>
      <w:tblGrid>
        <w:gridCol w:w="1909"/>
        <w:gridCol w:w="3313"/>
        <w:gridCol w:w="3283"/>
      </w:tblGrid>
      <w:tr>
        <w:trPr>
          <w:jc w:val="center"/>
          <w:tblHeader/>
          <w:cantSplit/>
        </w:trPr>
        <w:tc>
          <w:tcPr>
            <w:tcW w:w="1909" w:type="dxa"/>
          </w:tcPr>
          <w:p>
            <w:pPr>
              <w:pStyle w:val="Normal"/>
              <w:keepNext w:val="0"/>
              <w:keepLines/>
            </w:pPr>
            <w:r>
              <w:rPr>
                <w:b/>
                <w:sz w:val="18"/>
                <w:szCs w:val="22"/>
                <w:lang w:val="en-US" w:eastAsia="en-US" w:bidi="ar-SA"/>
                <w:rFonts w:ascii="Times New Roman" w:hAnsi="Times New Roman" w:eastAsia="Times New Roman" w:cs="Times New Roman"/>
              </w:rPr>
              <w:t>Principle</w:t>
            </w:r>
          </w:p>
        </w:tc>
        <w:tc>
          <w:tcPr>
            <w:tcW w:w="3313" w:type="dxa"/>
          </w:tcPr>
          <w:p>
            <w:pPr>
              <w:pStyle w:val="Normal"/>
              <w:keepNext w:val="0"/>
              <w:keepLines/>
            </w:pPr>
            <w:r>
              <w:rPr>
                <w:b/>
                <w:sz w:val="18"/>
                <w:szCs w:val="22"/>
                <w:lang w:val="en-US" w:eastAsia="en-US" w:bidi="ar-SA"/>
                <w:rFonts w:ascii="Times New Roman" w:hAnsi="Times New Roman" w:eastAsia="Times New Roman" w:cs="Times New Roman"/>
              </w:rPr>
              <w:t>Proposed function</w:t>
            </w:r>
          </w:p>
        </w:tc>
        <w:tc>
          <w:tcPr>
            <w:tcW w:w="3283" w:type="dxa"/>
          </w:tcPr>
          <w:p>
            <w:pPr>
              <w:pStyle w:val="Normal"/>
              <w:keepNext w:val="0"/>
              <w:keepLines/>
            </w:pPr>
            <w:r>
              <w:rPr>
                <w:b/>
                <w:sz w:val="18"/>
                <w:szCs w:val="22"/>
                <w:lang w:val="en-US" w:eastAsia="en-US" w:bidi="ar-SA"/>
                <w:rFonts w:ascii="Times New Roman" w:hAnsi="Times New Roman" w:eastAsia="Times New Roman" w:cs="Times New Roman"/>
              </w:rPr>
              <w:t>Rationale and evidential status</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P1 Identity Disentanglement</w:t>
            </w:r>
          </w:p>
        </w:tc>
        <w:tc>
          <w:tcPr>
            <w:tcW w:w="3313" w:type="dxa"/>
          </w:tcPr>
          <w:p>
            <w:pPr>
              <w:pStyle w:val="Normal"/>
            </w:pPr>
            <w:r>
              <w:rPr>
                <w:sz w:val="24"/>
                <w:szCs w:val="22"/>
                <w:lang w:val="en-US" w:eastAsia="en-US" w:bidi="ar-SA"/>
                <w:rFonts w:ascii="Times New Roman" w:hAnsi="Times New Roman" w:eastAsia="Times New Roman" w:cs="Times New Roman"/>
              </w:rPr>
              <w:t>Reduce unnecessary verdict-like cues while preserving truthful clinical information</w:t>
            </w:r>
          </w:p>
        </w:tc>
        <w:tc>
          <w:tcPr>
            <w:tcW w:w="3283" w:type="dxa"/>
          </w:tcPr>
          <w:p>
            <w:pPr>
              <w:pStyle w:val="Normal"/>
            </w:pPr>
            <w:r>
              <w:rPr>
                <w:szCs w:val="22"/>
                <w:lang w:val="en-US" w:eastAsia="en-US" w:bidi="ar-SA"/>
                <w:rFonts w:ascii="Times New Roman" w:hAnsi="Times New Roman" w:eastAsia="Times New Roman" w:cs="Times New Roman"/>
                <w:sz w:val="24"/>
              </w:rPr>
              <w:t>Motivated by the separate Stage-3 package/context comparison; framing effect not isolated</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P2 Trajectory Installation</w:t>
            </w:r>
          </w:p>
        </w:tc>
        <w:tc>
          <w:tcPr>
            <w:tcW w:w="3313" w:type="dxa"/>
          </w:tcPr>
          <w:p>
            <w:pPr>
              <w:pStyle w:val="Normal"/>
            </w:pPr>
            <w:r>
              <w:rPr>
                <w:sz w:val="24"/>
                <w:szCs w:val="22"/>
                <w:lang w:val="en-US" w:eastAsia="en-US" w:bidi="ar-SA"/>
                <w:rFonts w:ascii="Times New Roman" w:hAnsi="Times New Roman" w:eastAsia="Times New Roman" w:cs="Times New Roman"/>
              </w:rPr>
              <w:t>Display participation and condition-specific performance separately; support comparison only where justified</w:t>
            </w:r>
          </w:p>
        </w:tc>
        <w:tc>
          <w:tcPr>
            <w:tcW w:w="3283" w:type="dxa"/>
          </w:tcPr>
          <w:p>
            <w:pPr>
              <w:pStyle w:val="Normal"/>
            </w:pPr>
            <w:r>
              <w:rPr>
                <w:szCs w:val="22"/>
                <w:lang w:val="en-US" w:eastAsia="en-US" w:bidi="ar-SA"/>
                <w:rFonts w:ascii="Times New Roman" w:hAnsi="Times New Roman" w:eastAsia="Times New Roman" w:cs="Times New Roman"/>
                <w:sz w:val="24"/>
              </w:rPr>
              <w:t>Motivated by the descriptive difference between continued play and stated intention and learning literature; effect untested</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P3 Adaptive Calibration</w:t>
            </w:r>
          </w:p>
        </w:tc>
        <w:tc>
          <w:tcPr>
            <w:tcW w:w="3313" w:type="dxa"/>
          </w:tcPr>
          <w:p>
            <w:pPr>
              <w:pStyle w:val="Normal"/>
            </w:pPr>
            <w:r>
              <w:rPr>
                <w:sz w:val="24"/>
                <w:szCs w:val="22"/>
                <w:lang w:val="en-US" w:eastAsia="en-US" w:bidi="ar-SA"/>
                <w:rFonts w:ascii="Times New Roman" w:hAnsi="Times New Roman" w:eastAsia="Times New Roman" w:cs="Times New Roman"/>
              </w:rPr>
              <w:t>Adjust challenge, support and pacing within defined limits while recording each change</w:t>
            </w:r>
          </w:p>
        </w:tc>
        <w:tc>
          <w:tcPr>
            <w:tcW w:w="3283" w:type="dxa"/>
          </w:tcPr>
          <w:p>
            <w:pPr>
              <w:pStyle w:val="Normal"/>
            </w:pPr>
            <w:r>
              <w:rPr>
                <w:szCs w:val="22"/>
                <w:lang w:val="en-US" w:eastAsia="en-US" w:bidi="ar-SA"/>
                <w:rFonts w:ascii="Times New Roman" w:hAnsi="Times New Roman" w:eastAsia="Times New Roman" w:cs="Times New Roman"/>
                <w:sz w:val="24"/>
              </w:rPr>
              <w:t>Partial difficulty adaptation specified for Stage 2 (operational status per build in item G.0A); Stage-3B adaptive arm fielded as a support package (difficulty plus coaching) and reported descriptively (§8.8); complete principle untested</w:t>
            </w:r>
          </w:p>
        </w:tc>
      </w:tr>
    </w:tbl>
    <w:p>
      <w:pPr>
        <w:pStyle w:val="Normal"/>
        <w:spacing w:after="40"/>
        <w:jc w:val="both"/>
      </w:pPr>
      <w:r>
        <w:rPr>
          <w:szCs w:val="22"/>
          <w:lang w:val="en-US" w:eastAsia="en-US" w:bidi="ar-SA"/>
          <w:rFonts w:ascii="Times New Roman" w:hAnsi="Times New Roman" w:eastAsia="Times New Roman" w:cs="Times New Roman"/>
          <w:sz w:val="24"/>
        </w:rPr>
        <w:t>Status of the framework: The adaptive-learning framework is an engineering specification derived from the empirical programme and relevant learning theory. It should be evaluated as a package and by component in a publicly preregistered, within-cohort trial with common follow-up, process measures and implementation-fidelity checks. The Stage-3B component study (§8.8) was pre-specified (repository-dated 8–9 August 2026) and fielded as a first step in that direction; to the 30 September 2026 cut-off it is reported as a descriptive record and is not used as a test of the framework, because the learning measurement carried in its build was not articulated to the adaptive-learning construct: immediate task performance under assistance is not durable learning.</w:t>
      </w:r>
    </w:p>
    <w:p>
      <w:pPr>
        <w:pStyle w:val="Heading2"/>
      </w:pPr>
      <w:bookmarkStart w:id="115" w:name="_Toc232024605"/>
      <w:bookmarkEnd w:id="115"/>
      <w:r>
        <w:rPr>
          <w:lang w:val="en-US" w:eastAsia="en-US" w:bidi="ar-SA"/>
          <w:color w:val="000000"/>
          <w:szCs w:val="22"/>
        </w:rPr>
        <w:t>7.5 Proposed Reference Architecture and Progress Representation</w:t>
      </w:r>
    </w:p>
    <w:p>
      <w:pPr>
        <w:pStyle w:val="Normal"/>
        <w:jc w:val="both"/>
      </w:pPr>
      <w:r>
        <w:rPr>
          <w:szCs w:val="22"/>
          <w:lang w:val="en-US" w:eastAsia="en-US" w:bidi="ar-SA"/>
          <w:rFonts w:ascii="Times New Roman" w:hAnsi="Times New Roman" w:eastAsia="Times New Roman" w:cs="Times New Roman"/>
          <w:sz w:val="24"/>
        </w:rPr>
        <w:t>The reference architecture specifies how a future implementation could connect the gamified activity, bounded adaptation, truthful feedback and evaluation. It draws on the Stage-2 system description but is a prospective configuration, not a retrospective claim that every component was deployed or logged. Table 7.2 describes functional responsibilities. Implementation-specific provenance — dates, code version, hardware, input devices, adaptation mechanism and logging capability versus retained logs for each build generation — is stated in the build-lineage matrix (Appendix G, item G.0A); Table 7.2 states prospective implementation requirements only and makes no hardware claim for any deployed build.</w:t>
      </w:r>
    </w:p>
    <w:p>
      <w:pPr>
        <w:pStyle w:val="Heading3"/>
      </w:pPr>
      <w:bookmarkStart w:id="116" w:name="_Toc232024606"/>
      <w:r>
        <w:rPr>
          <w:color w:val="000000"/>
          <w:szCs w:val="26"/>
          <w:lang w:val="en-US" w:eastAsia="en-US" w:bidi="ar-SA"/>
        </w:rPr>
        <w:t>7.5.1 Reference Stack</w:t>
      </w:r>
      <w:bookmarkEnd w:id="116"/>
    </w:p>
    <w:p>
      <w:pPr>
        <w:pStyle w:val="FigureCaption"/>
        <w:keepNext/>
        <w:keepLines/>
        <w:jc w:val="center"/>
      </w:pPr>
      <w:bookmarkStart w:id="117" w:name="_Toc232024706"/>
      <w:r>
        <w:rPr>
          <w:sz w:val="24"/>
          <w:szCs w:val="22"/>
          <w:lang w:val="en-US" w:eastAsia="en-US" w:bidi="ar-SA"/>
          <w:rFonts w:ascii="Times New Roman" w:hAnsi="Times New Roman" w:eastAsia="Times New Roman" w:cs="Times New Roman"/>
          <w:i/>
          <w:b/>
        </w:rPr>
        <w:t>Table 7.2. Adaptive-learning reference stack (L0–L7) mapped to adaptive-learning principles.</w:t>
      </w:r>
      <w:bookmarkEnd w:id="117"/>
    </w:p>
    <w:tbl>
      <w:tblPr>
        <w:tblStyle w:val="TableGrid"/>
        <w:tblW w:w="8505" w:type="dxa"/>
        <w:jc w:val="center"/>
        <w:tblLayout w:type="fixed"/>
        <w:tblLook w:val="04A0" w:firstRow="1" w:lastRow="0" w:firstColumn="1" w:lastColumn="0" w:noHBand="0" w:noVBand="1"/>
      </w:tblPr>
      <w:tblGrid>
        <w:gridCol w:w="1629"/>
        <w:gridCol w:w="3111"/>
        <w:gridCol w:w="1086"/>
        <w:gridCol w:w="2679"/>
      </w:tblGrid>
      <w:tr w:rsidR="0062437E" w14:paraId="092B7E61" w14:textId="77777777" w:rsidTr="00FD5D21">
        <w:trPr>
          <w:jc w:val="center"/>
          <w:tblHeader/>
          <w:cantSplit/>
        </w:trPr>
        <w:tc>
          <w:tcPr>
            <w:tcW w:w="1629" w:type="dxa"/>
          </w:tcPr>
          <w:p>
            <w:pPr>
              <w:pStyle w:val="Normal"/>
              <w:keepNext w:val="0"/>
              <w:keepLines/>
            </w:pPr>
            <w:r>
              <w:rPr>
                <w:szCs w:val="22"/>
                <w:lang w:val="en-US" w:eastAsia="en-US" w:bidi="ar-SA"/>
                <w:rFonts w:ascii="Times New Roman" w:hAnsi="Times New Roman" w:eastAsia="Times New Roman" w:cs="Times New Roman"/>
                <w:b/>
                <w:sz w:val="18"/>
              </w:rPr>
              <w:t>Layer</w:t>
            </w:r>
          </w:p>
        </w:tc>
        <w:tc>
          <w:tcPr>
            <w:tcW w:w="3111" w:type="dxa"/>
          </w:tcPr>
          <w:p>
            <w:pPr>
              <w:pStyle w:val="Normal"/>
              <w:keepNext w:val="0"/>
              <w:keepLines/>
            </w:pPr>
            <w:r>
              <w:rPr>
                <w:b/>
                <w:sz w:val="18"/>
                <w:szCs w:val="22"/>
                <w:lang w:val="en-US" w:eastAsia="en-US" w:bidi="ar-SA"/>
                <w:rFonts w:ascii="Times New Roman" w:hAnsi="Times New Roman" w:eastAsia="Times New Roman" w:cs="Times New Roman"/>
              </w:rPr>
              <w:t>Proposed component</w:t>
            </w:r>
          </w:p>
        </w:tc>
        <w:tc>
          <w:tcPr>
            <w:tcW w:w="1086" w:type="dxa"/>
          </w:tcPr>
          <w:p>
            <w:pPr>
              <w:pStyle w:val="Normal"/>
              <w:keepNext w:val="0"/>
              <w:keepLines/>
            </w:pPr>
            <w:r>
              <w:rPr>
                <w:b/>
                <w:sz w:val="18"/>
                <w:szCs w:val="22"/>
                <w:lang w:val="en-US" w:eastAsia="en-US" w:bidi="ar-SA"/>
                <w:rFonts w:ascii="Times New Roman" w:hAnsi="Times New Roman" w:eastAsia="Times New Roman" w:cs="Times New Roman"/>
              </w:rPr>
              <w:t>Principle</w:t>
            </w:r>
          </w:p>
        </w:tc>
        <w:tc>
          <w:tcPr>
            <w:tcW w:w="2679" w:type="dxa"/>
          </w:tcPr>
          <w:p>
            <w:pPr>
              <w:pStyle w:val="Normal"/>
              <w:keepNext w:val="0"/>
              <w:keepLines/>
            </w:pPr>
            <w:r>
              <w:rPr>
                <w:b/>
                <w:sz w:val="18"/>
                <w:szCs w:val="22"/>
                <w:lang w:val="en-US" w:eastAsia="en-US" w:bidi="ar-SA"/>
                <w:rFonts w:ascii="Times New Roman" w:hAnsi="Times New Roman" w:eastAsia="Times New Roman" w:cs="Times New Roman"/>
              </w:rPr>
              <w:t>Prospective implementation requirement</w:t>
            </w:r>
          </w:p>
        </w:tc>
      </w:tr>
      <w:tr w:rsidR="0062437E" w14:paraId="15D407AF"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L0 Input</w:t>
            </w:r>
          </w:p>
        </w:tc>
        <w:tc>
          <w:tcPr>
            <w:tcW w:w="3111" w:type="dxa"/>
          </w:tcPr>
          <w:p>
            <w:pPr>
              <w:pStyle w:val="Normal"/>
            </w:pPr>
            <w:r>
              <w:rPr>
                <w:sz w:val="20"/>
                <w:szCs w:val="22"/>
                <w:lang w:val="en-US" w:eastAsia="en-US" w:bidi="ar-SA"/>
                <w:rFonts w:ascii="Times New Roman" w:hAnsi="Times New Roman" w:eastAsia="Times New Roman" w:cs="Times New Roman"/>
              </w:rPr>
              <w:t>Validated input appropriate to the deployment</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Specify modality; do not treat Stage-2 and Stage-3 inputs as identical.</w:t>
            </w:r>
          </w:p>
        </w:tc>
      </w:tr>
      <w:tr w:rsidR="0062437E" w14:paraId="4A27D47E"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L1 Game</w:t>
            </w:r>
          </w:p>
        </w:tc>
        <w:tc>
          <w:tcPr>
            <w:tcW w:w="3111" w:type="dxa"/>
          </w:tcPr>
          <w:p>
            <w:pPr>
              <w:pStyle w:val="Normal"/>
            </w:pPr>
            <w:r>
              <w:rPr>
                <w:sz w:val="20"/>
                <w:szCs w:val="22"/>
                <w:lang w:val="en-US" w:eastAsia="en-US" w:bidi="ar-SA"/>
                <w:rFonts w:ascii="Times New Roman" w:hAnsi="Times New Roman" w:eastAsia="Times New Roman" w:cs="Times New Roman"/>
              </w:rPr>
              <w:t>Versioned task and scoring rules</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Retain the configuration needed to interpret each performance observation.</w:t>
            </w:r>
          </w:p>
        </w:tc>
      </w:tr>
      <w:tr w:rsidR="0062437E" w14:paraId="6EA12EA5"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L2 Adaptation</w:t>
            </w:r>
          </w:p>
        </w:tc>
        <w:tc>
          <w:tcPr>
            <w:tcW w:w="3111" w:type="dxa"/>
          </w:tcPr>
          <w:p>
            <w:pPr>
              <w:pStyle w:val="Normal"/>
            </w:pPr>
            <w:r>
              <w:rPr>
                <w:sz w:val="20"/>
                <w:szCs w:val="22"/>
                <w:lang w:val="en-US" w:eastAsia="en-US" w:bidi="ar-SA"/>
                <w:rFonts w:ascii="Times New Roman" w:hAnsi="Times New Roman" w:eastAsia="Times New Roman" w:cs="Times New Roman"/>
              </w:rPr>
              <w:t>Bounded challenge, pacing and assistance policy</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Log decisions and limits; verify fallback behaviour and fidelity.</w:t>
            </w:r>
          </w:p>
        </w:tc>
      </w:tr>
      <w:tr w:rsidR="0062437E" w14:paraId="09D406A7"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L3 Records</w:t>
            </w:r>
          </w:p>
        </w:tc>
        <w:tc>
          <w:tcPr>
            <w:tcW w:w="3111" w:type="dxa"/>
          </w:tcPr>
          <w:p>
            <w:pPr>
              <w:pStyle w:val="Normal"/>
            </w:pPr>
            <w:r>
              <w:rPr>
                <w:sz w:val="20"/>
                <w:szCs w:val="22"/>
                <w:lang w:val="en-US" w:eastAsia="en-US" w:bidi="ar-SA"/>
                <w:rFonts w:ascii="Times New Roman" w:hAnsi="Times New Roman" w:eastAsia="Times New Roman" w:cs="Times New Roman"/>
              </w:rPr>
              <w:t>Task conditions, assistance, version and outcomes</w:t>
            </w:r>
          </w:p>
        </w:tc>
        <w:tc>
          <w:tcPr>
            <w:tcW w:w="1086" w:type="dxa"/>
          </w:tcPr>
          <w:p>
            <w:pPr>
              <w:pStyle w:val="Normal"/>
            </w:pPr>
            <w:r>
              <w:rPr>
                <w:sz w:val="20"/>
                <w:szCs w:val="22"/>
                <w:lang w:val="en-US" w:eastAsia="en-US" w:bidi="ar-SA"/>
                <w:rFonts w:ascii="Times New Roman" w:hAnsi="Times New Roman" w:eastAsia="Times New Roman" w:cs="Times New Roman"/>
              </w:rPr>
              <w:t>P2/P3</w:t>
            </w:r>
          </w:p>
        </w:tc>
        <w:tc>
          <w:tcPr>
            <w:tcW w:w="2679" w:type="dxa"/>
          </w:tcPr>
          <w:p>
            <w:pPr>
              <w:pStyle w:val="Normal"/>
            </w:pPr>
            <w:r>
              <w:rPr>
                <w:sz w:val="20"/>
                <w:szCs w:val="22"/>
                <w:lang w:val="en-US" w:eastAsia="en-US" w:bidi="ar-SA"/>
                <w:rFonts w:ascii="Times New Roman" w:hAnsi="Times New Roman" w:eastAsia="Times New Roman" w:cs="Times New Roman"/>
              </w:rPr>
              <w:t>Separate required records from logs actually retained in earlier builds.</w:t>
            </w:r>
          </w:p>
        </w:tc>
      </w:tr>
      <w:tr w:rsidR="0062437E" w14:paraId="559E62E6"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L4 Clinical interpretation</w:t>
            </w:r>
          </w:p>
        </w:tc>
        <w:tc>
          <w:tcPr>
            <w:tcW w:w="3111" w:type="dxa"/>
          </w:tcPr>
          <w:p>
            <w:pPr>
              <w:pStyle w:val="Normal"/>
            </w:pPr>
            <w:r>
              <w:rPr>
                <w:sz w:val="20"/>
                <w:szCs w:val="22"/>
                <w:lang w:val="en-US" w:eastAsia="en-US" w:bidi="ar-SA"/>
                <w:rFonts w:ascii="Times New Roman" w:hAnsi="Times New Roman" w:eastAsia="Times New Roman" w:cs="Times New Roman"/>
              </w:rPr>
              <w:t>Clinically appropriate measurement and reporting</w:t>
            </w:r>
          </w:p>
        </w:tc>
        <w:tc>
          <w:tcPr>
            <w:tcW w:w="1086" w:type="dxa"/>
          </w:tcPr>
          <w:p>
            <w:pPr>
              <w:pStyle w:val="Normal"/>
            </w:pPr>
            <w:r>
              <w:rPr>
                <w:sz w:val="20"/>
                <w:szCs w:val="22"/>
                <w:lang w:val="en-US" w:eastAsia="en-US" w:bidi="ar-SA"/>
                <w:rFonts w:ascii="Times New Roman" w:hAnsi="Times New Roman" w:eastAsia="Times New Roman" w:cs="Times New Roman"/>
              </w:rPr>
              <w:t>P1</w:t>
            </w:r>
          </w:p>
        </w:tc>
        <w:tc>
          <w:tcPr>
            <w:tcW w:w="2679" w:type="dxa"/>
          </w:tcPr>
          <w:p>
            <w:pPr>
              <w:pStyle w:val="Normal"/>
            </w:pPr>
            <w:r>
              <w:rPr>
                <w:sz w:val="20"/>
                <w:szCs w:val="22"/>
                <w:lang w:val="en-US" w:eastAsia="en-US" w:bidi="ar-SA"/>
                <w:rFonts w:ascii="Times New Roman" w:hAnsi="Times New Roman" w:eastAsia="Times New Roman" w:cs="Times New Roman"/>
              </w:rPr>
              <w:t>Disclose purpose accurately; preserve access to relevant results.</w:t>
            </w:r>
          </w:p>
        </w:tc>
      </w:tr>
      <w:tr w:rsidR="0062437E" w14:paraId="4C2EBEAE"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L5 Progress display</w:t>
            </w:r>
          </w:p>
        </w:tc>
        <w:tc>
          <w:tcPr>
            <w:tcW w:w="3111" w:type="dxa"/>
          </w:tcPr>
          <w:p>
            <w:pPr>
              <w:pStyle w:val="Normal"/>
            </w:pPr>
            <w:r>
              <w:rPr>
                <w:sz w:val="20"/>
                <w:szCs w:val="22"/>
                <w:lang w:val="en-US" w:eastAsia="en-US" w:bidi="ar-SA"/>
                <w:rFonts w:ascii="Times New Roman" w:hAnsi="Times New Roman" w:eastAsia="Times New Roman" w:cs="Times New Roman"/>
              </w:rPr>
              <w:t>Practice, comparable checks and phase changes</w:t>
            </w:r>
          </w:p>
        </w:tc>
        <w:tc>
          <w:tcPr>
            <w:tcW w:w="1086" w:type="dxa"/>
          </w:tcPr>
          <w:p>
            <w:pPr>
              <w:pStyle w:val="Normal"/>
            </w:pPr>
            <w:r>
              <w:rPr>
                <w:sz w:val="20"/>
                <w:szCs w:val="22"/>
                <w:lang w:val="en-US" w:eastAsia="en-US" w:bidi="ar-SA"/>
                <w:rFonts w:ascii="Times New Roman" w:hAnsi="Times New Roman" w:eastAsia="Times New Roman" w:cs="Times New Roman"/>
              </w:rPr>
              <w:t>P2</w:t>
            </w:r>
          </w:p>
        </w:tc>
        <w:tc>
          <w:tcPr>
            <w:tcW w:w="2679" w:type="dxa"/>
          </w:tcPr>
          <w:p>
            <w:pPr>
              <w:pStyle w:val="Normal"/>
            </w:pPr>
            <w:r>
              <w:rPr>
                <w:sz w:val="20"/>
                <w:szCs w:val="22"/>
                <w:lang w:val="en-US" w:eastAsia="en-US" w:bidi="ar-SA"/>
                <w:rFonts w:ascii="Times New Roman" w:hAnsi="Times New Roman" w:eastAsia="Times New Roman" w:cs="Times New Roman"/>
              </w:rPr>
              <w:t>Distinguish participation from capability; retain setbacks and uncertainty.</w:t>
            </w:r>
          </w:p>
        </w:tc>
      </w:tr>
      <w:tr w:rsidR="0062437E" w14:paraId="0C1FEED8"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L6 Coaching</w:t>
            </w:r>
          </w:p>
        </w:tc>
        <w:tc>
          <w:tcPr>
            <w:tcW w:w="3111" w:type="dxa"/>
          </w:tcPr>
          <w:p>
            <w:pPr>
              <w:pStyle w:val="Normal"/>
            </w:pPr>
            <w:r>
              <w:rPr>
                <w:sz w:val="20"/>
                <w:szCs w:val="22"/>
                <w:lang w:val="en-US" w:eastAsia="en-US" w:bidi="ar-SA"/>
                <w:rFonts w:ascii="Times New Roman" w:hAnsi="Times New Roman" w:eastAsia="Times New Roman" w:cs="Times New Roman"/>
              </w:rPr>
              <w:t>Process-focused explanation and support</w:t>
            </w:r>
          </w:p>
        </w:tc>
        <w:tc>
          <w:tcPr>
            <w:tcW w:w="1086" w:type="dxa"/>
          </w:tcPr>
          <w:p>
            <w:pPr>
              <w:pStyle w:val="Normal"/>
            </w:pPr>
            <w:r>
              <w:rPr>
                <w:sz w:val="20"/>
                <w:szCs w:val="22"/>
                <w:lang w:val="en-US" w:eastAsia="en-US" w:bidi="ar-SA"/>
                <w:rFonts w:ascii="Times New Roman" w:hAnsi="Times New Roman" w:eastAsia="Times New Roman" w:cs="Times New Roman"/>
              </w:rPr>
              <w:t>P1/P2</w:t>
            </w:r>
          </w:p>
        </w:tc>
        <w:tc>
          <w:tcPr>
            <w:tcW w:w="2679" w:type="dxa"/>
          </w:tcPr>
          <w:p>
            <w:pPr>
              <w:pStyle w:val="Normal"/>
            </w:pPr>
            <w:r>
              <w:rPr>
                <w:sz w:val="20"/>
                <w:szCs w:val="22"/>
                <w:lang w:val="en-US" w:eastAsia="en-US" w:bidi="ar-SA"/>
                <w:rFonts w:ascii="Times New Roman" w:hAnsi="Times New Roman" w:eastAsia="Times New Roman" w:cs="Times New Roman"/>
              </w:rPr>
              <w:t>Standardise scripts; disclose adjustments and respect a decision to stop.</w:t>
            </w:r>
          </w:p>
        </w:tc>
      </w:tr>
      <w:tr w:rsidR="0062437E" w14:paraId="05267031"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L7 Evaluation</w:t>
            </w:r>
          </w:p>
        </w:tc>
        <w:tc>
          <w:tcPr>
            <w:tcW w:w="3111" w:type="dxa"/>
          </w:tcPr>
          <w:p>
            <w:pPr>
              <w:pStyle w:val="Normal"/>
            </w:pPr>
            <w:r>
              <w:rPr>
                <w:sz w:val="20"/>
                <w:szCs w:val="22"/>
                <w:lang w:val="en-US" w:eastAsia="en-US" w:bidi="ar-SA"/>
                <w:rFonts w:ascii="Times New Roman" w:hAnsi="Times New Roman" w:eastAsia="Times New Roman" w:cs="Times New Roman"/>
              </w:rPr>
              <w:t>Comprehension, burden, return and process measures</w:t>
            </w:r>
          </w:p>
        </w:tc>
        <w:tc>
          <w:tcPr>
            <w:tcW w:w="1086" w:type="dxa"/>
          </w:tcPr>
          <w:p>
            <w:pPr>
              <w:pStyle w:val="Normal"/>
            </w:pPr>
            <w:r>
              <w:rPr>
                <w:sz w:val="20"/>
                <w:szCs w:val="22"/>
                <w:lang w:val="en-US" w:eastAsia="en-US" w:bidi="ar-SA"/>
                <w:rFonts w:ascii="Times New Roman" w:hAnsi="Times New Roman" w:eastAsia="Times New Roman" w:cs="Times New Roman"/>
              </w:rPr>
              <w:t>All</w:t>
            </w:r>
          </w:p>
        </w:tc>
        <w:tc>
          <w:tcPr>
            <w:tcW w:w="2679" w:type="dxa"/>
          </w:tcPr>
          <w:p>
            <w:pPr>
              <w:pStyle w:val="Normal"/>
            </w:pPr>
            <w:r>
              <w:rPr>
                <w:sz w:val="20"/>
                <w:szCs w:val="22"/>
                <w:lang w:val="en-US" w:eastAsia="en-US" w:bidi="ar-SA"/>
                <w:rFonts w:ascii="Times New Roman" w:hAnsi="Times New Roman" w:eastAsia="Times New Roman" w:cs="Times New Roman"/>
              </w:rPr>
              <w:t>Predefine outcomes; measure candidate appraisals instead of inferring them.</w:t>
            </w:r>
          </w:p>
        </w:tc>
      </w:tr>
    </w:tbl>
    <w:p>
      <w:pPr>
        <w:pStyle w:val="Normal"/>
        <w:spacing w:after="40"/>
      </w:pPr>
    </w:p>
    <w:p>
      <w:pPr>
        <w:pStyle w:val="Normal"/>
        <w:keepNext/>
        <w:spacing w:before="160" w:after="40"/>
        <w:jc w:val="center"/>
      </w:pPr>
      <w:r>
        <w:drawing>
          <wp:inline>
            <wp:extent cx="5358384" cy="3257874"/>
            <wp:docPr id="37" name="Picture 37" descr="Figure 7.1. Proposed adaptive reference architecture."/>
            <wp:cNvGraphicFramePr>
              <a:graphicFrameLocks noChangeAspect="1"/>
            </wp:cNvGraphicFramePr>
            <a:graphic>
              <a:graphicData uri="http://schemas.openxmlformats.org/drawingml/2006/picture">
                <pic:pic>
                  <pic:nvPicPr>
                    <pic:cNvPr id="0" name="figure_P0684.png"/>
                    <pic:cNvPicPr/>
                  </pic:nvPicPr>
                  <pic:blipFill>
                    <a:blip r:embed="rId46"/>
                    <a:stretch>
                      <a:fillRect/>
                    </a:stretch>
                  </pic:blipFill>
                  <pic:spPr>
                    <a:xfrm>
                      <a:off x="0" y="0"/>
                      <a:ext cx="5358384" cy="3257874"/>
                    </a:xfrm>
                    <a:prstGeom prst="rect"/>
                  </pic:spPr>
                </pic:pic>
              </a:graphicData>
            </a:graphic>
          </wp:inline>
        </w:drawing>
      </w:r>
    </w:p>
    <w:p>
      <w:pPr>
        <w:pStyle w:val="FigureCaption"/>
        <w:keepLines/>
        <w:jc w:val="center"/>
      </w:pPr>
      <w:bookmarkStart w:id="118" w:name="_Toc232024692"/>
      <w:bookmarkEnd w:id="118"/>
      <w:r>
        <w:rPr>
          <w:sz w:val="24"/>
          <w:szCs w:val="22"/>
          <w:lang w:val="en-US" w:eastAsia="en-US" w:bidi="ar-SA"/>
          <w:rFonts w:ascii="Times New Roman" w:hAnsi="Times New Roman" w:eastAsia="Times New Roman" w:cs="Times New Roman"/>
          <w:i/>
          <w:b/>
        </w:rPr>
        <w:t>Figure 7.1. Proposed adaptive reference architecture. Task conditions and outcomes inform bounded adaptation and interpretable feedback. Practice rewards, comparable performance checks and clinical interpretation serve different purposes and must not be collapsed into one score. The complete architecture has not been evaluated.</w:t>
      </w:r>
    </w:p>
    <w:p>
      <w:pPr>
        <w:pStyle w:val="Heading3"/>
      </w:pPr>
      <w:bookmarkStart w:id="119" w:name="_Toc232024607"/>
      <w:bookmarkEnd w:id="119"/>
      <w:r>
        <w:rPr>
          <w:color w:val="000000"/>
          <w:szCs w:val="26"/>
          <w:lang w:val="en-US" w:eastAsia="en-US" w:bidi="ar-SA"/>
        </w:rPr>
        <w:t>7.5.2 Credible Progress Under Changing Task Conditions</w:t>
      </w:r>
    </w:p>
    <w:p>
      <w:pPr>
        <w:pStyle w:val="Normal"/>
        <w:jc w:val="both"/>
      </w:pPr>
      <w:commentRangeStart w:id="4"/>
      <w:r>
        <w:rPr>
          <w:szCs w:val="22"/>
          <w:lang w:val="en-US" w:eastAsia="en-US" w:bidi="ar-SA"/>
          <w:rFonts w:ascii="Times New Roman" w:hAnsi="Times New Roman" w:eastAsia="Times New Roman" w:cs="Times New Roman"/>
          <w:sz w:val="24"/>
        </w:rPr>
        <w:t>An adaptive system can change the conditions that generate its own scores. A higher score may reflect learning, an easier task, greater assistance, a different control method or a revised scoring rule. The proposed trajectory display must therefore state what improved and under which conditions. It should support understanding of an imperfect learning process, not manufacture reassurance through a continuously rising line. The distinction between observable performance and durable learning is central to this requirement (Soderstrom &amp; Bjork, 2015).</w:t>
      </w:r>
      <w:commentRangeEnd w:id="4"/>
      <w:r>
        <w:rPr>
          <w:rStyle w:val="CommentReference"/>
        </w:rPr>
        <w:commentReference w:id="4"/>
      </w:r>
    </w:p>
    <w:p>
      <w:pPr/>
      <w:r>
        <w:t>The display should separate four outcomes. Participation includes attendance, retries and completed practice; it can be acknowledged without implying learning. Condition-specific performance describes what a person achieved with a stated task, difficulty and level of support. Learning requires evidence that a capability persists or transfers beyond the immediately assisted encounter. Clinical change requires a valid clinical measure and an appropriate interpretation of its uncertainty and significance. A composite engagement score should not stand in for these distinct outcomes.</w:t>
      </w:r>
    </w:p>
    <w:p>
      <w:pPr/>
      <w:r>
        <w:t>Each prospective performance observation should retain the task and scoring version, difficulty parameters, input modality, assistance provided and relevant session context. Practice scores may be compared within sufficiently similar conditions, with those conditions visible in plain language. Where adaptation prevents such comparison, the display should describe the supported achievement and the adjustment itself. It should not relabel an improvement in accessibility or comfort as an increase in independent capability.</w:t>
      </w:r>
    </w:p>
    <w:p>
      <w:pPr/>
      <w:r>
        <w:t>A future evaluation should include brief, safe reference tasks under predefined comparable conditions, alongside adaptive practice. These reference checks would provide a basis for assessing change without continuously moving the measurement conditions. A fixed-course check intended as such a reference task was carried in the Stage-3B Pro v4.1 build and exercised only in the Pro v4.1 record labelled researcher self-test (played, by the author's account, by volunteers and their families or friends), near ceiling and on course forms whose equivalence was not established (§8.8; Appendix I.5–I.6); that record documents the mechanism and establishes nothing about durable learning. The reliability, tolerability and sensitivity of such reference checks must be established for the intended population before firm conclusions are drawn. Delayed checks and suitably chosen transfer tasks are needed for claims of durable or generalisable learning; repeated success in the training game alone is insufficient (Soderstrom &amp; Bjork, 2015).</w:t>
      </w:r>
    </w:p>
    <w:p>
      <w:pPr/>
      <w:r>
        <w:t>When a new version changes the task or scoring rule, the display should mark a phase boundary and preserve the earlier history. A continuous comparison across versions requires a justified linking procedure or overlapping reference observations; otherwise the two phases should be reported separately. A fresh baseline can describe the revised task, but it must not erase prior difficulty or imply that the earlier intervention succeeded. Uncertainty, plateaus and deterioration should remain visible, with an explanation of the next available action.</w:t>
      </w:r>
    </w:p>
    <w:p>
      <w:pPr/>
      <w:r>
        <w:t>For example, consider an illustrative participant who completes more obstacles after the system slows the game and adds steering assistance. The accurate message is that the participant completed more of a slower, assisted task. If a later reference check shows similar performance with less assistance, the system may report reduced support needs on that task. Neither observation alone warrants a claim of improved balance or reduced fall risk. This example specifies prospective feedback logic; it is not a reconstruction of the Stage-2 data.</w:t>
      </w:r>
    </w:p>
    <w:p>
      <w:pPr/>
      <w:r>
        <w:t>The same discipline applies when innovation encounters difficulty. If a revised interface reduces confusion or fatigue but reference-task performance remains stable, the service may have improved in usability or burden. If only the scoring rule changes, a higher score supplies no evidence of benefit. If outcomes worsen or users find the feedback misleading, the revision should be reconsidered or reversed. The progress display should allow these outcomes to be understood without portraying every design change as a success.</w:t>
      </w:r>
    </w:p>
    <w:p>
      <w:pPr/>
      <w:r>
        <w:t>Validation of the display should test whether participants can distinguish an easier task from improved capability, identify a change in assistance or version, and understand stable or declining results without false reassurance. These comprehension checks should accompany behavioural follow-up and measures of burden, competence and safety. Improvement is credible when the claim, comparison and measure agree; an appealing trajectory is not sufficient evidence.</w:t>
      </w:r>
    </w:p>
    <w:p>
      <w:pPr>
        <w:pStyle w:val="FigureCaption"/>
        <w:keepNext/>
        <w:keepLines/>
      </w:pPr>
      <w:r>
        <w:t>Table 7.3. Interpreting progress when an adaptive task changes. These examples are prospective design rules, not observations from the field studies.</w:t>
      </w:r>
    </w:p>
    <w:tbl>
      <w:tblPr>
        <w:tblStyle w:val="TableGrid"/>
        <w:tblW w:type="auto" w:w="0"/>
        <w:jc w:val="center"/>
        <w:tblLayout w:type="fixed"/>
        <w:tblLook w:firstColumn="1" w:firstRow="1" w:lastColumn="0" w:lastRow="0" w:noHBand="0" w:noVBand="1" w:val="04A0"/>
      </w:tblPr>
      <w:tblGrid>
        <w:gridCol w:w="2520"/>
        <w:gridCol w:w="3053"/>
        <w:gridCol w:w="2923"/>
      </w:tblGrid>
      <w:tr>
        <w:trPr>
          <w:cantSplit/>
          <w:tblHeader/>
        </w:trPr>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Observed change</w:t>
            </w:r>
          </w:p>
        </w:tc>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Defensible interpretation</w:t>
            </w:r>
          </w:p>
        </w:tc>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Evidence still required</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Higher practice score after easier settings</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More success under easier conditions</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Comparable reference check for a capability claim</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Similar performance with less assistance</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Reduced support on the specified task</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Repeated or delayed checks for retained learning</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Lower confusion or burden after redesign</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Improved usability or experience</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Common comparison; sustained use assessed separately</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New task or scoring version</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A new performance phase</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Justified linking before comparing across versions</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Stable or declining reference performance</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No demonstrated capability gain</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Further observation; reconsider the response</w:t>
            </w:r>
          </w:p>
        </w:tc>
      </w:tr>
    </w:tbl>
    <w:p>
      <w:pPr>
        <w:pStyle w:val="Heading3"/>
      </w:pPr>
      <w:bookmarkStart w:id="120" w:name="_Toc232024608"/>
      <w:r>
        <w:rPr>
          <w:color w:val="000000"/>
          <w:szCs w:val="26"/>
          <w:lang w:val="en-US" w:eastAsia="en-US" w:bidi="ar-SA"/>
        </w:rPr>
        <w:t>7.5.3 Coaching Protocol Specification</w:t>
      </w:r>
      <w:bookmarkEnd w:id="120"/>
    </w:p>
    <w:p>
      <w:pPr>
        <w:pStyle w:val="Normal"/>
        <w:jc w:val="both"/>
      </w:pPr>
      <w:r>
        <w:rPr>
          <w:szCs w:val="22"/>
          <w:lang w:val="en-US" w:eastAsia="en-US" w:bidi="ar-SA"/>
          <w:rFonts w:ascii="Times New Roman" w:hAnsi="Times New Roman" w:eastAsia="Times New Roman" w:cs="Times New Roman"/>
          <w:sz w:val="24"/>
        </w:rPr>
        <w:t>The proposed coaching protocol uses an accurate opening explanation, specific in-session feedback and a closing summary. The summary identifies what changed, what remains challenging and what assistance was provided. It should describe an easier task as an adjustment and should acknowledge uncertainty when a capability gain has not been established. Clinical purposes and relevant results remain accurately disclosed. Scripts require cultural adaptation, standardisation and fidelity checks, while preserving the participant’s right to stop. The expert consultation in §6.8A supplies practice-based reasons to examine coaching and group support; it does not independently demonstrate that either converts dropout into continued participation.</w:t>
      </w:r>
    </w:p>
    <w:p>
      <w:pPr>
        <w:pStyle w:val="Heading2"/>
      </w:pPr>
      <w:r>
        <w:rPr>
          <w:lang w:val="en-US" w:eastAsia="en-US" w:bidi="ar-SA"/>
          <w:color w:val="000000"/>
          <w:szCs w:val="22"/>
        </w:rPr>
        <w:t>7.5A Relationships Among the Phenomenon, Principles and Engine</w:t>
      </w:r>
    </w:p>
    <w:p>
      <w:pPr>
        <w:pStyle w:val="Normal"/>
        <w:jc w:val="both"/>
      </w:pPr>
      <w:r>
        <w:rPr>
          <w:szCs w:val="22"/>
          <w:lang w:val="en-US" w:eastAsia="en-US" w:bidi="ar-SA"/>
          <w:rFonts w:ascii="Times New Roman" w:hAnsi="Times New Roman" w:eastAsia="Times New Roman" w:cs="Times New Roman"/>
          <w:sz w:val="24"/>
        </w:rPr>
        <w:t>The programme links three kinds of output. FIAS names a provisional behavioural pattern and organises candidate explanations for failure-associated non-return. The adaptive-learning principles translate that problem into proposed changes to framing, feedback and challenge. The dynamic game-state engine specifies one possible implementation of those changes. A fourth requirement connects them to the thesis title: an evaluation record must show whether the response improves a defined participant or service outcome. Neither a plausible explanation nor a functioning controller is sufficient evidence that the intervention prevents abandonment. The Stage-3B record (§8.8) is the programme's first fielded step towards such a record; it is descriptive at its cut-off and supplies no such evidence.</w:t>
      </w:r>
    </w:p>
    <w:p>
      <w:pPr>
        <w:pStyle w:val="Normal"/>
        <w:jc w:val="both"/>
      </w:pPr>
      <w:r>
        <w:rPr>
          <w:szCs w:val="22"/>
          <w:lang w:val="en-US" w:eastAsia="en-US" w:bidi="ar-SA"/>
          <w:rFonts w:ascii="Times New Roman" w:hAnsi="Times New Roman" w:eastAsia="Times New Roman" w:cs="Times New Roman"/>
          <w:sz w:val="24"/>
        </w:rPr>
        <w:t>The evidential status differs across these outputs. The reported field observations anchor the behavioural pattern; the between-cohort comparison motivates, but does not isolate, frame sensitivity. The principles are derived from that record and relevant theory. The engine and progress display require fidelity, usability and outcome evaluation as a complete configuration. Bringing them into one architecture clarifies the path from problem to testable intervention without raising the evidential status of any individual claim.</w:t>
      </w:r>
    </w:p>
    <w:p>
      <w:pPr>
        <w:pStyle w:val="Heading2"/>
      </w:pPr>
      <w:bookmarkStart w:id="121" w:name="_Toc232024609"/>
      <w:r>
        <w:rPr>
          <w:lang w:val="en-US" w:eastAsia="en-US" w:bidi="ar-SA"/>
          <w:color w:val="000000"/>
          <w:szCs w:val="22"/>
        </w:rPr>
        <w:t>7.6 Applied Case Studies</w:t>
      </w:r>
      <w:bookmarkEnd w:id="121"/>
    </w:p>
    <w:p>
      <w:pPr>
        <w:pStyle w:val="Heading3"/>
      </w:pPr>
      <w:bookmarkStart w:id="122" w:name="_Toc232024610"/>
      <w:r>
        <w:rPr>
          <w:color w:val="000000"/>
          <w:szCs w:val="26"/>
          <w:lang w:val="en-US" w:eastAsia="en-US" w:bidi="ar-SA"/>
        </w:rPr>
        <w:t>7.6.1 Case Study A — FRA Reaction Mode (proposed)</w:t>
      </w:r>
      <w:bookmarkEnd w:id="122"/>
    </w:p>
    <w:p>
      <w:pPr>
        <w:pStyle w:val="Normal"/>
        <w:jc w:val="both"/>
      </w:pPr>
      <w:r>
        <w:rPr>
          <w:szCs w:val="22"/>
          <w:lang w:val="en-US" w:eastAsia="en-US" w:bidi="ar-SA"/>
          <w:rFonts w:ascii="Times New Roman" w:hAnsi="Times New Roman" w:eastAsia="Times New Roman" w:cs="Times New Roman"/>
          <w:sz w:val="24"/>
        </w:rPr>
        <w:t>Setting: an existing residential care facility using the same broad pressure-panel and skiing-game platform. Proposed intervention: participant-facing decoupling, a visible personal trajectory, process-focused coaching and adaptive challenge calibration. Proposed outcomes: return within a pre-specified window, repeated use over several months, perceived competence, fatigue, burden, enjoyment, comprehension and adverse events. Point targets of below 6% non-return and above 65% regular-use intention, if adopted for this case study, should be treated as design aspirations, not evidence-based efficacy thresholds, until a pilot establishes feasible effect sizes.</w:t>
      </w:r>
    </w:p>
    <w:p>
      <w:pPr>
        <w:pStyle w:val="Heading3"/>
      </w:pPr>
      <w:bookmarkStart w:id="123" w:name="_Toc232024611"/>
      <w:r>
        <w:rPr>
          <w:color w:val="000000"/>
          <w:szCs w:val="26"/>
          <w:lang w:val="en-US" w:eastAsia="en-US" w:bidi="ar-SA"/>
        </w:rPr>
        <w:t>7.6.2 Case Study B — Continuous Glucose Monitoring (CGM) reframed as a Streak Companion (illustrative)</w:t>
      </w:r>
      <w:bookmarkEnd w:id="123"/>
    </w:p>
    <w:p>
      <w:pPr>
        <w:pStyle w:val="Normal"/>
        <w:jc w:val="both"/>
      </w:pPr>
      <w:r>
        <w:rPr>
          <w:szCs w:val="22"/>
          <w:lang w:val="en-US" w:eastAsia="en-US" w:bidi="ar-SA"/>
          <w:rFonts w:ascii="Times New Roman" w:hAnsi="Times New Roman" w:eastAsia="Times New Roman" w:cs="Times New Roman"/>
          <w:sz w:val="24"/>
        </w:rPr>
        <w:t>Setting: older adults using continuous glucose monitoring who may disengage after unfavourable readings. Illustrative design hypothesis: preserve access to accurate clinical data while adding an optional learning-oriented view that links readings to behaviours, uncertainty and next actions over time. A high reading should not be hidden or gamified into triviality. The design would be evaluated for comprehension, self-efficacy, sustained sensor use, clinically appropriate response and the risk of false reassurance. Status: illustrative cross-domain application; no empirical claim is made.</w:t>
      </w:r>
    </w:p>
    <w:p>
      <w:pPr>
        <w:pStyle w:val="Heading3"/>
      </w:pPr>
      <w:bookmarkStart w:id="124" w:name="_Toc232024612"/>
      <w:r>
        <w:rPr>
          <w:color w:val="000000"/>
          <w:szCs w:val="26"/>
          <w:lang w:val="en-US" w:eastAsia="en-US" w:bidi="ar-SA"/>
        </w:rPr>
        <w:t>7.6.3 Case Study C — Sleep Tracker reframed as an Adventure Log (illustrative)</w:t>
      </w:r>
      <w:bookmarkEnd w:id="124"/>
    </w:p>
    <w:p>
      <w:pPr>
        <w:pStyle w:val="Normal"/>
        <w:jc w:val="both"/>
      </w:pPr>
      <w:r>
        <w:rPr>
          <w:szCs w:val="22"/>
          <w:lang w:val="en-US" w:eastAsia="en-US" w:bidi="ar-SA"/>
          <w:rFonts w:ascii="Times New Roman" w:hAnsi="Times New Roman" w:eastAsia="Times New Roman" w:cs="Times New Roman"/>
          <w:sz w:val="24"/>
        </w:rPr>
        <w:t>Setting: older adults using sleep trackers who may disengage after repeated poor-sleep scores. Illustrative design hypothesis: supplement single-night scores with a longer-term pattern view, uncertainty ranges and modifiable contextual factors. The design should avoid implying that every variation is controllable or that poor sleep is a personal failure. Outcomes would include continued use, sleep-related anxiety, comprehension and appropriate help-seeking. Status: illustrative only.</w:t>
      </w:r>
    </w:p>
    <w:p>
      <w:pPr>
        <w:pStyle w:val="Heading3"/>
      </w:pPr>
      <w:bookmarkStart w:id="125" w:name="_Toc232024613"/>
      <w:r>
        <w:rPr>
          <w:color w:val="000000"/>
          <w:szCs w:val="26"/>
          <w:lang w:val="en-US" w:eastAsia="en-US" w:bidi="ar-SA"/>
        </w:rPr>
        <w:t>7.6.4 Cross-Case Synthesis</w:t>
      </w:r>
      <w:bookmarkEnd w:id="125"/>
    </w:p>
    <w:p>
      <w:pPr>
        <w:pStyle w:val="Normal"/>
        <w:jc w:val="both"/>
      </w:pPr>
      <w:r>
        <w:rPr>
          <w:szCs w:val="22"/>
          <w:lang w:val="en-US" w:eastAsia="en-US" w:bidi="ar-SA"/>
          <w:rFonts w:ascii="Times New Roman" w:hAnsi="Times New Roman" w:eastAsia="Times New Roman" w:cs="Times New Roman"/>
          <w:sz w:val="24"/>
        </w:rPr>
        <w:t>The case studies share a proposed design pattern: retain accurate measurement and clinically important information at the technical layer while redesigning the default user-facing interaction around trajectory, next action and calibrated challenge. Portability across domains is a hypothesis. Each domain requires its own safety analysis, clinical governance, outcome definition and controlled evaluation; the FRA evidence cannot be transferred automatically.</w:t>
      </w:r>
    </w:p>
    <w:p>
      <w:pPr>
        <w:pStyle w:val="Heading2"/>
      </w:pPr>
      <w:bookmarkStart w:id="126" w:name="_Toc232024614"/>
      <w:bookmarkEnd w:id="126"/>
      <w:r>
        <w:rPr>
          <w:lang w:val="en-US" w:eastAsia="en-US" w:bidi="ar-SA"/>
          <w:color w:val="000000"/>
          <w:szCs w:val="22"/>
        </w:rPr>
        <w:t>7.6A Dynamic Game States as Responses to Difficulty</w:t>
      </w:r>
    </w:p>
    <w:p>
      <w:pPr>
        <w:pStyle w:val="Normal"/>
        <w:jc w:val="both"/>
      </w:pPr>
      <w:r>
        <w:rPr>
          <w:szCs w:val="22"/>
          <w:lang w:val="en-US" w:eastAsia="en-US" w:bidi="ar-SA"/>
          <w:rFonts w:ascii="Times New Roman" w:hAnsi="Times New Roman" w:eastAsia="Times New Roman" w:cs="Times New Roman"/>
          <w:sz w:val="24"/>
        </w:rPr>
        <w:t>The dynamic game-state architecture introduced in §5.3.10 is a secondary design proposal motivated by three literature gaps: attrition is often treated as a residual outcome; fail-state mechanics developed for younger users may not transfer cleanly to older cohorts; and macro implementation frameworks do not specify the moment-to-moment interaction that precedes disengagement. The proposed non-terminal state repertoire and frame-congruence checks translate these gaps into an engineering specification. They do not demonstrate that a "GAME OVER" screen caused Stage-2 non-return or that the proposed states will prevent it.</w:t>
      </w:r>
    </w:p>
    <w:p>
      <w:pPr>
        <w:pStyle w:val="Normal"/>
        <w:jc w:val="both"/>
      </w:pPr>
      <w:r>
        <w:rPr>
          <w:szCs w:val="22"/>
          <w:lang w:val="en-US" w:eastAsia="en-US" w:bidi="ar-SA"/>
          <w:rFonts w:ascii="Times New Roman" w:hAnsi="Times New Roman" w:eastAsia="Times New Roman" w:cs="Times New Roman"/>
          <w:sz w:val="24"/>
        </w:rPr>
        <w:t>The architecture also addresses a design tension between self-awareness and self-verdict. Users need accurate information about performance and safety, but presentation can emphasise process and trajectory rather than a categorical judgement. The design should not withhold clinically important information or make failure invisible. Instead, it should separate immediate gameplay feedback from formal clinical interpretation, disclose how data are used, and provide appropriate access to results. Whether this balance reduces non-return without undermining comprehension is a testable usability and safety question.</w:t>
      </w:r>
    </w:p>
    <w:p>
      <w:pPr>
        <w:pStyle w:val="Normal"/>
        <w:jc w:val="both"/>
      </w:pPr>
      <w:r>
        <w:rPr>
          <w:szCs w:val="22"/>
          <w:lang w:val="en-US" w:eastAsia="en-US" w:bidi="ar-SA"/>
          <w:rFonts w:ascii="Times New Roman" w:hAnsi="Times New Roman" w:eastAsia="Times New Roman" w:cs="Times New Roman"/>
          <w:sz w:val="24"/>
        </w:rPr>
        <w:t>The dynamic-state design is a secondary proposal, and the observed between-cohort association is not a test of its effects. A future evaluation can compare a specified state policy with a common reference configuration, holding the assessment protocol and follow-up constant. The policy must constrain assistance, challenge and safety-relevant actions; record each change; and distinguish successful execution from beneficial outcomes. Excessive assistance may improve practice scores while reducing the information available about independent performance. An AI-enabled controller also requires reproducible decision records and appropriate fallback behaviour. Its presence cannot substitute for evidence that participants understood the feedback or chose to return.</w:t>
      </w:r>
    </w:p>
    <w:p>
      <w:pPr>
        <w:pStyle w:val="Heading2"/>
      </w:pPr>
      <w:bookmarkStart w:id="127" w:name="_Toc232024615"/>
      <w:r>
        <w:rPr>
          <w:lang w:val="en-US" w:eastAsia="en-US" w:bidi="ar-SA"/>
          <w:color w:val="000000"/>
          <w:szCs w:val="22"/>
        </w:rPr>
        <w:t>7.7 Boundary Conditions and Risks</w:t>
      </w:r>
      <w:bookmarkEnd w:id="127"/>
    </w:p>
    <w:p>
      <w:pPr>
        <w:pStyle w:val="Normal"/>
        <w:jc w:val="both"/>
      </w:pPr>
      <w:r>
        <w:rPr>
          <w:szCs w:val="22"/>
          <w:lang w:val="en-US" w:eastAsia="en-US" w:bidi="ar-SA"/>
          <w:rFonts w:ascii="Times New Roman" w:hAnsi="Times New Roman" w:eastAsia="Times New Roman" w:cs="Times New Roman"/>
          <w:sz w:val="24"/>
        </w:rPr>
        <w:t>The framework has several plausible risks. Excessive adaptation may remove meaningful challenge or make scores difficult to interpret. Inconsistent explanations by the interface and staff may undermine understanding and trust. A trajectory metaphor may be less useful for some users than a simple account of the current task and available support. These are testable possibilities, not universal responses or established cultural differences. Usability work should include participants who struggle, decline assistance or decide not to continue, rather than assessing the display only among successful users.</w:t>
      </w:r>
    </w:p>
    <w:p>
      <w:pPr>
        <w:pStyle w:val="Normal"/>
        <w:jc w:val="both"/>
      </w:pPr>
      <w:r>
        <w:rPr>
          <w:szCs w:val="22"/>
          <w:lang w:val="en-US" w:eastAsia="en-US" w:bidi="ar-SA"/>
          <w:rFonts w:ascii="Times New Roman" w:hAnsi="Times New Roman" w:eastAsia="Times New Roman" w:cs="Times New Roman"/>
          <w:sz w:val="24"/>
        </w:rPr>
        <w:t xml:space="preserve">The cultural boundary deserves more than a caveat. The cohorts studied are Guangzhou and Hong Kong Chinese, and the meaning of a fall in later life is culturally loaded in these settings. A fall can signal the loss of independence, the beginning of dependence on adult children, and a change in family obligation. Filial expectation can turn a poor clinical verdict into a family event rather than a private one, which raises the identity stakes of the coupled frame. Stoic self-narratives can suppress the reporting of distress while leaving the abandonment behaviour intact. Each of these frames could strengthen the coupling mechanism, weaken it, or leave it unchanged, and the present data cannot say which. A concrete replication plan follows. The first step repeats the Stage-3 decoupling protocol in one non-Chinese setting with an individualist self-narrative tradition and in one further collectivist setting outside China, using the same hardware and the same instruments. The second step compares the return-after-dropout rates across the settings against the Hong Kong benchmark. The third step adds a short culture-frame instrument so that the self-narrative variable is measured rather than assumed. Until this plan is executed, the generalisability of the framework beyond Chinese-cultural settings is an argued expectation, not a demonstrated result.</w:t>
      </w:r>
    </w:p>
    <w:p>
      <w:pPr>
        <w:pStyle w:val="Heading2"/>
      </w:pPr>
      <w:bookmarkStart w:id="128" w:name="_Toc232024616"/>
      <w:r>
        <w:rPr>
          <w:lang w:val="en-US" w:eastAsia="en-US" w:bidi="ar-SA"/>
          <w:color w:val="000000"/>
          <w:szCs w:val="22"/>
        </w:rPr>
        <w:t>7.8 Sequencing of the Three Principles</w:t>
      </w:r>
      <w:bookmarkEnd w:id="128"/>
    </w:p>
    <w:p>
      <w:pPr>
        <w:pStyle w:val="Normal"/>
        <w:jc w:val="both"/>
      </w:pPr>
      <w:r>
        <w:rPr>
          <w:szCs w:val="22"/>
          <w:lang w:val="en-US" w:eastAsia="en-US" w:bidi="ar-SA"/>
          <w:rFonts w:ascii="Times New Roman" w:hAnsi="Times New Roman" w:eastAsia="Times New Roman" w:cs="Times New Roman"/>
          <w:sz w:val="24"/>
        </w:rPr>
        <w:t>The principles can be introduced in a planned sequence, but neither the order nor their joint sufficiency is established. P1 addresses evaluative cues; P2 addresses interpretable feedback; P3 addresses challenge and support. A factorial or staged comparison could examine their independent and combined effects, including burdens or harms. The Stage-3 association gives P1 an empirical motivation, not the status of a necessary precondition. P2 and P3 should not assume that adaptation produces learning or that a displayed curve produces commitment.</w:t>
      </w:r>
    </w:p>
    <w:p>
      <w:pPr>
        <w:pStyle w:val="Heading2"/>
      </w:pPr>
      <w:bookmarkStart w:id="129" w:name="_Toc232024617"/>
      <w:bookmarkEnd w:id="129"/>
      <w:r>
        <w:rPr>
          <w:lang w:val="en-US" w:eastAsia="en-US" w:bidi="ar-SA"/>
          <w:color w:val="000000"/>
          <w:szCs w:val="22"/>
        </w:rPr>
        <w:t>7.9 Gamification, Continuous Improvement and Innovation Enhancement</w:t>
      </w:r>
    </w:p>
    <w:p>
      <w:pPr>
        <w:pStyle w:val="Normal"/>
        <w:jc w:val="both"/>
      </w:pPr>
      <w:commentRangeStart w:id="5"/>
      <w:r>
        <w:rPr>
          <w:szCs w:val="22"/>
          <w:lang w:val="en-US" w:eastAsia="en-US" w:bidi="ar-SA"/>
          <w:rFonts w:ascii="Times New Roman" w:hAnsi="Times New Roman" w:eastAsia="Times New Roman" w:cs="Times New Roman"/>
          <w:sz w:val="24"/>
        </w:rPr>
        <w:t>The thesis title specifies the purpose of the work: to examine gamification as a proactive approach for continuous improvement and innovation enhancement. The adaptive system is a proposed means of pursuing that purpose within the FRA service. Gamification creates opportunities for voluntary participation, meaningful feedback and repeated encounters with a task. Adaptation uses information from those encounters to select a possible next response. Evaluation determines whether that response improves a defined outcome. This separation prevents the circular claim that a system improves simply because it adapts.</w:t>
      </w:r>
      <w:commentRangeEnd w:id="5"/>
      <w:r>
        <w:rPr>
          <w:rStyle w:val="CommentReference"/>
        </w:rPr>
      </w:r>
    </w:p>
    <w:p>
      <w:pPr>
        <w:jc w:val="both"/>
      </w:pPr>
      <w:r>
        <w:t>The adaptive-learning proposition is where the thesis and its topic meet: adaptive learning, as proposed here, would be continuous improvement operating at the level of the individual user. In the proposed loop each session would update the challenge and each failure would be information for the next iteration; whether the user's capability is thereby improved is the untested question, and the user's own trajectory, recorded under stated task conditions, is the proposed control chart. The same loop appears at two other levels of the programme - the researcher's action-research cycles (§3.1) and the artefact's AI-assisted build iterations (§5.3.9) - so the thesis practises at the researcher and artefact levels the principle it proposes, but has not evaluated, at the level of its users. In engineering terms, the user interaction becomes an instrumented loop: observe performance and experience, provide calibrated challenge and feedback, measure subsequent behaviour, and revise the design. The analogy to industrial control is useful, but the user is not a process variable to be optimised without consent. Autonomy, dignity, truthful disclosure and the right not to engage are constraints on the loop, not disturbances to be removed.</w:t>
      </w:r>
    </w:p>
    <w:p>
      <w:pPr>
        <w:pStyle w:val="Normal"/>
        <w:jc w:val="both"/>
      </w:pPr>
      <w:r>
        <w:rPr>
          <w:szCs w:val="22"/>
          <w:lang w:val="en-US" w:eastAsia="en-US" w:bidi="ar-SA"/>
          <w:rFonts w:ascii="Times New Roman" w:hAnsi="Times New Roman" w:eastAsia="Times New Roman" w:cs="Times New Roman"/>
          <w:sz w:val="24"/>
        </w:rPr>
        <w:t>The proactive proposition concerns timing. Support can be offered at first contact and when difficulty emerges, before a pattern of non-use becomes established. The present programme motivates those intervention points but does not establish the optimum timing or efficacy of the proposed response. The objective is sustained voluntary participation with truthful understanding, acceptable burden and appropriate clinical safeguards. A decision not to return remains an outcome to understand and respect, rather than an error that the controller must eliminate.</w:t>
      </w:r>
    </w:p>
    <w:p>
      <w:pPr>
        <w:pStyle w:val="Normal"/>
        <w:jc w:val="both"/>
      </w:pPr>
      <w:r>
        <w:rPr>
          <w:szCs w:val="22"/>
          <w:lang w:val="en-US" w:eastAsia="en-US" w:bidi="ar-SA"/>
          <w:rFonts w:ascii="Times New Roman" w:hAnsi="Times New Roman" w:eastAsia="Times New Roman" w:cs="Times New Roman"/>
          <w:sz w:val="24"/>
        </w:rPr>
        <w:t>Two linked cycles give this proposition an engineering form. The participant-support cycle observes a task encounter, offers a bounded adjustment or feedback, and checks the next experience. The system-improvement cycle examines recurring difficulty, formulates a redesign hypothesis, implements a documented change and evaluates its consequences. The first concerns a person’s interaction under a particular configuration; the second concerns the quality of the service and its design. Both can generate useful learning, but a gain in one does not establish a gain in the other. Figure 7.2 represents their relationship.</w:t>
      </w:r>
    </w:p>
    <w:p>
      <w:pPr>
        <w:jc w:val="both"/>
      </w:pPr>
      <w:commentRangeStart w:id="6"/>
      <w:r>
        <w:t>Innovation enhancement means improving the process by which a candidate design is developed, implemented and assessed. In the Oslo Manual, innovation concerns an implemented product or process that differs significantly from its predecessors; implementation and novelty do not by themselves establish effectiveness (OECD/Eurostat, 2018). For this thesis, the defensible achieved contribution is the progression from an observed service difficulty to revised problem understanding and a testable design specification. The complete adaptive framework remains a proposed extension whose benefits have yet to be evaluated. Describing unsuccessful iterations honestly strengthens that contribution because it makes the grounds for changing the design inspectable.</w:t>
      </w:r>
      <w:commentRangeEnd w:id="6"/>
      <w:r>
        <w:rPr>
          <w:rStyle w:val="CommentReference"/>
        </w:rPr>
        <w:commentReference w:id="6"/>
      </w:r>
    </w:p>
    <w:p>
      <w:pPr>
        <w:jc w:val="both"/>
      </w:pPr>
      <w:r>
        <w:t>Learning from an unsuccessful intervention requires more than changing the software. A revision should state the problem it addresses, the explanation being tested, the component changed and the intended outcome. Evaluation criteria should be set before examining the new results, with a common comparison wherever feasible. Small iterative tests can inform a decision to retain, modify or reverse a change, consistent with the Plan–Do–Study–Act approach to service improvement (Institute for Healthcare Improvement, n.d.). Such cycles support local learning; a causal effectiveness claim still depends on the design and quality of the comparison.</w:t>
      </w:r>
    </w:p>
    <w:p>
      <w:pPr>
        <w:jc w:val="both"/>
      </w:pPr>
      <w:r>
        <w:t>Applied to this programme, the Stage-2 difficulty justified reconsidering the interaction and examining a decoupled configuration. Stage 3 then supplied an encouraging engagement pattern alongside unresolved confounding by cohort, setting, delivery and input modality. The resulting innovation learning is that decoupling is a candidate design direction worth testing under common conditions. It is not evidence that a clinically attached adaptive service has already achieved sustained improvement. The Stage-3B component study extends the same chain (§8.8): on review of its first round, the learning measurement carried in the build was not articulated to the adaptive-learning construct, so the study is retained as a descriptive record at its cut-off and the adaptive-learning question is carried forward as a specified future study rather than reported as a result. Subsequent iterations should preserve that distinction: an unsuccessful feature may yield a more precise requirement, an accessible revision may lower burden without increasing capability, and a capability gain may occur without greater willingness to return. Each result has value when it is reported against its own criterion rather than combined into an unqualified claim of improvement.</w:t>
      </w:r>
    </w:p>
    <w:p>
      <w:pPr>
        <w:keepNext/>
        <w:jc w:val="center"/>
      </w:pPr>
      <w:r>
        <w:drawing>
          <wp:inline>
            <wp:extent cx="5358384" cy="3748786"/>
            <wp:docPr id="38" name="Picture 38" descr="Figure 7.2. Two linked improvement cycles proposed for the gamified service."/>
            <wp:cNvGraphicFramePr>
              <a:graphicFrameLocks noChangeAspect="1"/>
            </wp:cNvGraphicFramePr>
            <a:graphic>
              <a:graphicData uri="http://schemas.openxmlformats.org/drawingml/2006/picture">
                <pic:pic>
                  <pic:nvPicPr>
                    <pic:cNvPr id="0" name="figure_P0718.png"/>
                    <pic:cNvPicPr/>
                  </pic:nvPicPr>
                  <pic:blipFill>
                    <a:blip r:embed="rId47"/>
                    <a:stretch>
                      <a:fillRect/>
                    </a:stretch>
                  </pic:blipFill>
                  <pic:spPr>
                    <a:xfrm>
                      <a:off x="0" y="0"/>
                      <a:ext cx="5358384" cy="3748786"/>
                    </a:xfrm>
                    <a:prstGeom prst="rect"/>
                  </pic:spPr>
                </pic:pic>
              </a:graphicData>
            </a:graphic>
          </wp:inline>
        </w:drawing>
      </w:r>
    </w:p>
    <w:p>
      <w:pPr>
        <w:pStyle w:val="FigureCaption"/>
        <w:keepLines/>
        <w:jc w:val="center"/>
      </w:pPr>
      <w:r>
        <w:t>Figure 7.2. Two linked improvement cycles proposed for the gamified service. Participant support responds to an encounter with difficulty; system improvement evaluates a documented redesign. Records of task conditions, assistance and version changes preserve the meaning of reported progress. The figure is a prospective design proposition, not an evaluated outcome model.</w:t>
      </w:r>
    </w:p>
    <w:p>
      <w:pPr>
        <w:pStyle w:val="Normal"/>
        <w:spacing w:after="200" w:line="276" w:lineRule="auto"/>
        <w:rPr>
          <w:rFonts w:asciiTheme="majorHAnsi" w:eastAsiaTheme="majorEastAsia" w:hAnsiTheme="majorHAnsi" w:cstheme="majorBidi"/>
          <w:b/>
          <w:bCs/>
          <w:color w:val="000000"/>
          <w:sz w:val="32"/>
          <w:szCs w:val="28"/>
        </w:rPr>
      </w:pPr>
      <w:bookmarkStart w:id="130" w:name="_Toc232024618"/>
      <w:r>
        <w:rPr>
          <w:rFonts w:asciiTheme="majorHAnsi" w:eastAsiaTheme="majorEastAsia" w:hAnsiTheme="majorHAnsi" w:cstheme="majorBidi"/>
          <w:b/>
          <w:color w:val="000000"/>
          <w:sz w:val="32"/>
          <w:szCs w:val="28"/>
        </w:rPr>
        <w:br w:type="page"/>
      </w:r>
    </w:p>
    <w:p>
      <w:pPr>
        <w:jc w:val="both"/>
      </w:pPr>
      <w:r>
        <w:t>A commercial cross-reference suggests the market has independently converged on parts of this design space. GrandPad — a purpose-built tablet for older adults, sold in the United States on a subscription basis on the order of US$500 per year, with cellular connectivity built in so that no home broadband or technical set-up is required — packages games, video calling and photo sharing behind a radically simplified interface, with family members and a human support service connected around the user (GrandPad, n.d.). Peer-reviewed evaluations of its deployments report high perceived ease of use and connectedness among predominantly homebound users where the device filled a genuine access gap, and markedly weaker adoption where mainstream alternatives already existed — implementation context, not device quality, decided uptake (Perissinotto et al., 2019; Tha et al., 2025); adjacent trials of supported tablet onboarding for homebound older adults likewise report increased technology use and directional loneliness reductions when a human scaffold accompanies the device (Gadbois et al., 2022). Three features of the model align with this programme's findings: access and set-up barriers are engineered away wholesale, consistent with the Stage-1 observation that their absence alone does not secure engagement; the games are framed as leisure and connection rather than as assessment; and the engagement scaffold is explicitly social, anticipating the group-dynamics mechanism raised in the §6.8A consultation. What the comparison must not become, however, is a dichotomy, because the product line is not measurement-free: GrandPad's own enterprise materials describe connected-device data collection with abnormal-range alerts, and its Element Care case material describes remote monitoring within a supervised care programme (GrandPad, 2020, 2021). The defensible comparison is configuration-specific, on the dimensions a service comparison requires — population, functions, supervision, clinical purpose, follow-up and evidence of repeated use. The engagement evidence cited above comes from supported telehealth and care deployments — home primary and palliative care and a dementia clinic (Tha et al., 2025) and telemedicine visits (Perissinotto et al., 2019) — among predominantly homebound populations, with leisure and connection functions and a family-and-support scaffold; whether any adverse assessment feedback reached users in those deployments is not reported in the sources, so verdict exposure is recorded here as unknown rather than absent. The enterprise configuration adds monitoring functions, but the vendor material identifies those functions without establishing engagement outcomes, follow-up or repeated voluntary use under an assessment frame, and does not establish a solution to this programme's FRA problem. On the available material, neither configuration documents the combination the FRA service requires — user-facing clinical assessment sustained voluntarily over time. The comparator therefore marks a boundary in the documented design space rather than a solved-versus-unsolved split: sustained engagement is documented in configurations whose verdict exposure is not reported; none of the cited sources estimates return after adverse FRA feedback under conditions comparable to this thesis, and a technology that delivers its measurement to the user while remaining bearable and returnable-to has no documented exemplar in this comparison, and that configuration is the design target the adaptive-learning framework addresses.</w:t>
      </w:r>
    </w:p>
    <w:p>
      <w:pPr>
        <w:jc w:val="both"/>
      </w:pPr>
      <w:r>
        <w:t>The comparator also points to a forward extension of the adaptive-learning proposition itself: from sustaining engagement within one health technology to supporting the acquisition of new technological skills in later life. The learning literature supports the premise that older adults acquire demanding new skills when challenge is sustained and scaffolded: the Synapse Project found that three months of sustained engagement in cognitively demanding novel skills improved episodic memory relative to controls (D. C. Park et al., 2014); the PRISM randomised trial showed that a purpose-designed computer system with training reduced loneliness and increased perceived social support among older adults at risk of isolation (Czaja et al., 2018); and within this programme's own research lineage, gamified learning systems have improved older adults' technology adoption and knowledge transfer in mobile payments and mobile navigation (An et al., 2024, 2025). Read with the model of selective optimisation with compensation (Baltes &amp; Baltes, 1990), these results frame later-life technology learning as an adaptive process that succeeds when tasks are selected, challenge is optimised and support compensates — the same regime the adaptive-learning framework specifies through calibrated challenge, a visible personal trajectory and a coaching scaffold (§7.5). A platform of GrandPad's class — subscription-funded, barrier-free and socially scaffolded — is therefore a plausible carrier for the framework beyond FRA: a curriculum of adaptively calibrated games through which an older user builds the generic capabilities (touch interaction, menu navigation, confidence under initial failure) that transfer to new health technologies. This is stated as a design hypothesis, not a finding: the framework's mechanism-level claims remain untested — the Stage-3B component study is on record as a descriptive account at its stated cut-off and is not used as their test (§8.8) — and any such deployment would need the same measurement-bearability discipline this thesis develops. But it locates the contribution's growth path — adaptive learning not only as a mechanism for sustaining engagement with one clinical device, but as a general onboarding pathway by which older adults learn their way into technologies that benefit their lives.</w:t>
      </w:r>
    </w:p>
    <w:p>
      <w:pPr>
        <w:jc w:val="both"/>
      </w:pPr>
      <w:r>
        <w:t>Read as a boundary case, the comparator also sharpens what commercial gerontechnology has so far left unaddressed, and locates this programme's contribution to gerontology as AI-enabled health technology arrives. Three omissions matter. First, the sparsely documented middle: in the material compared here, the clinical instrument carried user-facing measurement but recorded non-use and early disengagement (the FRA of Chapter 4), while the consumer configurations with documented sustained engagement do not report whether any assessment verdict reaches the user (the GrandPad class as evaluated; the enterprise configuration adds monitoring functions without documented engagement under an assessment frame); the technologies that population ageing actually requires — instruments that assess fall risk, cognition and function, repeatedly and acceptably — sit in a middle for which this comparison finds no documented exemplar. Second, the missing failure model: GrandPad-class design treats disengagement as a usability and access problem and answers it by minimising occasions for failure; it carries no account of what an adverse result does to an older user's self-concept; in the enterprise configuration the vendor material describes out-of-range readings transmitted to remote caregivers (GrandPad, 2020), and whether any reading is also presented to the user is not reported. Curated ease may also cap challenge, and with it the mastery experiences that learning and flow theories associate with development (Csikszentmihalyi, 1990; Vygotsky, 1978); this is an inference from the design, not a documented outcome. Third, personalisation without adaptation: content is personalised — family, photographs, curated games — but challenge is not calibrated to the individual and does not move with them, so there is no rising trajectory for the user to read. The arrival of AI raises the stakes on all three counts at once. Adaptive models may make individually calibrated challenge easier to implement at scale — the enabling technology for the Chapter 7 framework — but the same wave is filling gerontechnology with continuous monitoring, risk scores and predictions: more verdicts about ageing bodies, delivered more often, to the population this programme's record indicates may respond to unfavourable verdicts by leaving without observed return. Without a behavioural layer, AI-era gerontechnology risks industrialising the non-return pattern documented here. The programme's contribution to gerontology is that layer: FIAS names the failure mode that verdict-bearing technology must design against; the Stage-3 frame-sensitivity evidence indicates where the leverage may lie; and the adaptive-learning framework specifies how a measuring technology can remain bearable — challenge calibrated to the person, results presented as a trajectory, coaching absorbing the failure moment. The gamified FRA is the programme's working case that the middle ground can be entered at the artefact level: one physical action that plays and measures (§5.2A); whether such an artefact becomes returnable-to by design is the question the empirical stages examined and the adaptive-learning framework proposes to answer. In an AI decade, that is the difference between health technologies older adults live with and health technologies that fall silent (§8.6B). Figure 7.3 maps this design space.</w:t>
      </w:r>
    </w:p>
    <w:p>
      <w:pPr>
        <w:keepNext/>
        <w:jc w:val="center"/>
      </w:pPr>
      <w:r>
        <w:drawing>
          <wp:inline>
            <wp:extent cx="5120640" cy="3995517"/>
            <wp:docPr id="39" name="Picture 39" descr="Figure 7.3. The gerontechnology design space as documented in this programme and the cited material."/>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120640" cy="3995517"/>
                    </a:xfrm>
                    <a:prstGeom prst="rect"/>
                  </pic:spPr>
                </pic:pic>
              </a:graphicData>
            </a:graphic>
          </wp:inline>
        </w:drawing>
      </w:r>
    </w:p>
    <w:p>
      <w:pPr>
        <w:pStyle w:val="FigureCaption"/>
      </w:pPr>
      <w:r>
        <w:t>Figure 7.3. The gerontechnology design space as documented in this programme and the cited material. Consumer platforms of the GrandPad class document sustained engagement in supported telehealth and care configurations; whether an assessment verdict reaches the user is not reported in the cited sources; the enterprise configuration adds connected-device data collection with abnormal-range alerts, identified from vendor material that describes functions rather than outcomes (GrandPad, 2020, 2021). The clinical FRA as deployed carried full user-facing measurement, with non-use and early disengagement recorded and no return observed within the window (Chapters 4–5). The upper right is the intended design target, not a demonstrated position: the gamified FRA and the adaptive-learning framework are proposed to measure while remaining bearable and returnable-to for older users, and their combined evaluation remains future work (Chapters 5–7, §8.6, §8.8).</w:t>
      </w:r>
    </w:p>
    <w:p>
      <w:pPr>
        <w:pStyle w:val="Heading1"/>
        <w:pageBreakBefore/>
      </w:pPr>
      <w:r>
        <w:rPr>
          <w:lang w:val="en-US" w:eastAsia="en-US" w:bidi="ar-SA"/>
          <w:color w:val="000000"/>
          <w:szCs w:val="22"/>
        </w:rPr>
        <w:t>Chapter 8 Contributions, Alternative Explanations, Limitations and Ethics</w:t>
      </w:r>
      <w:bookmarkEnd w:id="130"/>
    </w:p>
    <w:p>
      <w:pPr>
        <w:pStyle w:val="Normal"/>
        <w:jc w:val="both"/>
      </w:pPr>
      <w:r>
        <w:rPr>
          <w:szCs w:val="22"/>
          <w:lang w:val="en-US" w:eastAsia="en-US" w:bidi="ar-SA"/>
          <w:rFonts w:ascii="Times New Roman" w:hAnsi="Times New Roman" w:eastAsia="Times New Roman" w:cs="Times New Roman"/>
          <w:sz w:val="24"/>
        </w:rPr>
        <w:t>This chapter distinguishes four contribution registers: engineering, empirical and theoretical, industrial, and methodological. The principal contribution is a domain-specific engineering synthesis that translates observed disengagement into a testable adaptive-learning specification. Its empirical foundation comprises the bounded findings from the completed stages; its psychological interpretation remains provisional. Industrial usefulness depends on whether the specification supports better deployment decisions, while methodological usefulness depends on whether the research and design procedures can be reused. Table 8.0 maps these contributions and their evidential status. The organising question is how gamification can support proactive, continuous improvement when a health-technology innovation encounters difficulty and requires revision.</w:t>
      </w:r>
    </w:p>
    <w:p>
      <w:pPr>
        <w:pStyle w:val="FigureCaption"/>
        <w:keepNext/>
        <w:keepLines/>
        <w:jc w:val="center"/>
      </w:pPr>
      <w:r>
        <w:rPr>
          <w:sz w:val="20"/>
          <w:szCs w:val="22"/>
          <w:lang w:val="en-US" w:eastAsia="en-US" w:bidi="ar-SA"/>
          <w:rFonts w:ascii="Times New Roman" w:hAnsi="Times New Roman" w:eastAsia="Times New Roman" w:cs="Times New Roman"/>
          <w:i/>
        </w:rPr>
        <w:t>Table 8.0. The four contribution registers and where each is stated.</w:t>
      </w:r>
    </w:p>
    <w:tbl>
      <w:tblPr>
        <w:tblStyle w:val="TableGrid"/>
        <w:tblW w:type="dxa" w:w="8505"/>
        <w:tblLayout w:type="fixed"/>
        <w:tblLook w:firstColumn="1" w:firstRow="1" w:lastColumn="0" w:lastRow="0" w:noHBand="0" w:noVBand="1" w:val="04A0"/>
      </w:tblPr>
      <w:tblGrid>
        <w:gridCol w:w="1472"/>
        <w:gridCol w:w="5179"/>
        <w:gridCol w:w="1854"/>
      </w:tblGrid>
      <w:tr>
        <w:trPr>
          <w:tblHeader/>
          <w:cantSplit/>
        </w:trPr>
        <w:tc>
          <w:tcPr>
            <w:tcW w:type="dxa" w:w="1472"/>
          </w:tcPr>
          <w:p>
            <w:pPr>
              <w:pStyle w:val="Normal"/>
              <w:keepNext w:val="0"/>
              <w:keepLines/>
            </w:pPr>
            <w:r>
              <w:rPr>
                <w:b/>
                <w:sz w:val="18"/>
                <w:szCs w:val="22"/>
                <w:lang w:val="en-US" w:eastAsia="en-US" w:bidi="ar-SA"/>
                <w:rFonts w:ascii="Times New Roman" w:hAnsi="Times New Roman" w:eastAsia="Times New Roman" w:cs="Times New Roman"/>
              </w:rPr>
              <w:t>Register</w:t>
            </w:r>
          </w:p>
        </w:tc>
        <w:tc>
          <w:tcPr>
            <w:tcW w:type="dxa" w:w="5179"/>
          </w:tcPr>
          <w:p>
            <w:pPr>
              <w:pStyle w:val="Normal"/>
              <w:keepNext w:val="0"/>
              <w:keepLines/>
            </w:pPr>
            <w:r>
              <w:rPr>
                <w:b/>
                <w:sz w:val="18"/>
                <w:szCs w:val="22"/>
                <w:lang w:val="en-US" w:eastAsia="en-US" w:bidi="ar-SA"/>
                <w:rFonts w:ascii="Times New Roman" w:hAnsi="Times New Roman" w:eastAsia="Times New Roman" w:cs="Times New Roman"/>
              </w:rPr>
              <w:t>Contribution</w:t>
            </w:r>
          </w:p>
        </w:tc>
        <w:tc>
          <w:tcPr>
            <w:tcW w:type="dxa" w:w="1854"/>
          </w:tcPr>
          <w:p>
            <w:pPr>
              <w:pStyle w:val="Normal"/>
              <w:keepNext w:val="0"/>
              <w:keepLines/>
            </w:pPr>
            <w:r>
              <w:rPr>
                <w:b/>
                <w:sz w:val="18"/>
                <w:szCs w:val="22"/>
                <w:lang w:val="en-US" w:eastAsia="en-US" w:bidi="ar-SA"/>
                <w:rFonts w:ascii="Times New Roman" w:hAnsi="Times New Roman" w:eastAsia="Times New Roman" w:cs="Times New Roman"/>
              </w:rPr>
              <w:t>Stated in</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Empirical and theoretical</w:t>
            </w:r>
          </w:p>
        </w:tc>
        <w:tc>
          <w:tcPr>
            <w:tcW w:type="dxa" w:w="5179"/>
          </w:tcPr>
          <w:p>
            <w:pPr>
              <w:pStyle w:val="Normal"/>
            </w:pPr>
            <w:r>
              <w:rPr>
                <w:sz w:val="24"/>
                <w:szCs w:val="22"/>
                <w:lang w:val="en-US" w:eastAsia="en-US" w:bidi="ar-SA"/>
                <w:rFonts w:ascii="Times New Roman" w:hAnsi="Times New Roman" w:eastAsia="Times New Roman" w:cs="Times New Roman"/>
              </w:rPr>
              <w:t>Provisional FIAS descriptor; candidate frame-sensitive appraisal account; bounded deployment findings and alternative explanations</w:t>
            </w:r>
          </w:p>
        </w:tc>
        <w:tc>
          <w:tcPr>
            <w:tcW w:type="dxa" w:w="1854"/>
          </w:tcPr>
          <w:p>
            <w:pPr>
              <w:pStyle w:val="Normal"/>
            </w:pPr>
            <w:r>
              <w:rPr>
                <w:sz w:val="24"/>
                <w:szCs w:val="22"/>
                <w:lang w:val="en-US" w:eastAsia="en-US" w:bidi="ar-SA"/>
                <w:rFonts w:ascii="Times New Roman" w:hAnsi="Times New Roman" w:eastAsia="Times New Roman" w:cs="Times New Roman"/>
              </w:rPr>
              <w:t>§8.1, §8.3; Chs 2, 9</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Engineering</w:t>
            </w:r>
          </w:p>
        </w:tc>
        <w:tc>
          <w:tcPr>
            <w:tcW w:type="dxa" w:w="5179"/>
          </w:tcPr>
          <w:p>
            <w:pPr>
              <w:pStyle w:val="Normal"/>
            </w:pPr>
            <w:r>
              <w:rPr>
                <w:sz w:val="24"/>
                <w:szCs w:val="22"/>
                <w:lang w:val="en-US" w:eastAsia="en-US" w:bidi="ar-SA"/>
                <w:rFonts w:ascii="Times New Roman" w:hAnsi="Times New Roman" w:eastAsia="Times New Roman" w:cs="Times New Roman"/>
              </w:rPr>
              <w:t>Domain-specific adaptive-learning synthesis; proposed dynamic-state architecture and credible-progress specification for participant support and system redesign</w:t>
            </w:r>
          </w:p>
        </w:tc>
        <w:tc>
          <w:tcPr>
            <w:tcW w:type="dxa" w:w="1854"/>
          </w:tcPr>
          <w:p>
            <w:pPr>
              <w:pStyle w:val="Normal"/>
            </w:pPr>
            <w:r>
              <w:rPr>
                <w:sz w:val="24"/>
                <w:szCs w:val="22"/>
                <w:lang w:val="en-US" w:eastAsia="en-US" w:bidi="ar-SA"/>
                <w:rFonts w:ascii="Times New Roman" w:hAnsi="Times New Roman" w:eastAsia="Times New Roman" w:cs="Times New Roman"/>
              </w:rPr>
              <w:t>Ch 7 (§7.4, §7.5, §7.5A); §8.4</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Industrial</w:t>
            </w:r>
          </w:p>
        </w:tc>
        <w:tc>
          <w:tcPr>
            <w:tcW w:type="dxa" w:w="5179"/>
          </w:tcPr>
          <w:p>
            <w:pPr>
              <w:pStyle w:val="Normal"/>
            </w:pPr>
            <w:r>
              <w:rPr>
                <w:sz w:val="24"/>
                <w:szCs w:val="22"/>
                <w:lang w:val="en-US" w:eastAsia="en-US" w:bidi="ar-SA"/>
                <w:rFonts w:ascii="Times New Roman" w:hAnsi="Times New Roman" w:eastAsia="Times New Roman" w:cs="Times New Roman"/>
              </w:rPr>
              <w:t>Proposed service-design specification for existing FRA infrastructure, with evaluation criteria for appropriate use, credible progress, burden and cost</w:t>
            </w:r>
          </w:p>
        </w:tc>
        <w:tc>
          <w:tcPr>
            <w:tcW w:type="dxa" w:w="1854"/>
          </w:tcPr>
          <w:p>
            <w:pPr>
              <w:pStyle w:val="Normal"/>
            </w:pPr>
            <w:r>
              <w:rPr>
                <w:sz w:val="24"/>
                <w:szCs w:val="22"/>
                <w:lang w:val="en-US" w:eastAsia="en-US" w:bidi="ar-SA"/>
                <w:rFonts w:ascii="Times New Roman" w:hAnsi="Times New Roman" w:eastAsia="Times New Roman" w:cs="Times New Roman"/>
              </w:rPr>
              <w:t>§8.4; §9.8</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Methodological</w:t>
            </w:r>
          </w:p>
        </w:tc>
        <w:tc>
          <w:tcPr>
            <w:tcW w:type="dxa" w:w="5179"/>
          </w:tcPr>
          <w:p>
            <w:pPr>
              <w:pStyle w:val="Normal"/>
            </w:pPr>
            <w:r>
              <w:rPr>
                <w:sz w:val="24"/>
                <w:szCs w:val="22"/>
                <w:lang w:val="en-US" w:eastAsia="en-US" w:bidi="ar-SA"/>
                <w:rFonts w:ascii="Times New Roman" w:hAnsi="Times New Roman" w:eastAsia="Times New Roman" w:cs="Times New Roman"/>
              </w:rPr>
              <w:t>Sequential exploratory action research; dual-purpose mechanic; QFD evidence-to-design pipeline; descriptive separation of participation and intended regular use</w:t>
            </w:r>
          </w:p>
        </w:tc>
        <w:tc>
          <w:tcPr>
            <w:tcW w:type="dxa" w:w="1854"/>
          </w:tcPr>
          <w:p>
            <w:pPr>
              <w:pStyle w:val="Normal"/>
            </w:pPr>
            <w:r>
              <w:rPr>
                <w:sz w:val="24"/>
                <w:szCs w:val="22"/>
                <w:lang w:val="en-US" w:eastAsia="en-US" w:bidi="ar-SA"/>
                <w:rFonts w:ascii="Times New Roman" w:hAnsi="Times New Roman" w:eastAsia="Times New Roman" w:cs="Times New Roman"/>
              </w:rPr>
              <w:t>§8.2; Table 3.1</w:t>
            </w:r>
          </w:p>
        </w:tc>
      </w:tr>
    </w:tbl>
    <w:p>
      <w:pPr>
        <w:pStyle w:val="Heading2"/>
      </w:pPr>
      <w:bookmarkStart w:id="131" w:name="_Toc232024619"/>
      <w:r>
        <w:rPr>
          <w:lang w:val="en-US" w:eastAsia="en-US" w:bidi="ar-SA"/>
          <w:color w:val="000000"/>
          <w:szCs w:val="22"/>
        </w:rPr>
        <w:t>8.1 Theoretical Contributions</w:t>
      </w:r>
      <w:bookmarkEnd w:id="131"/>
    </w:p>
    <w:p>
      <w:pPr>
        <w:pStyle w:val="Normal"/>
        <w:jc w:val="both"/>
      </w:pPr>
      <w:r>
        <w:rPr>
          <w:i w:val="0"/>
          <w:szCs w:val="22"/>
          <w:lang w:val="en-US" w:eastAsia="en-US" w:bidi="ar-SA"/>
          <w:rFonts w:ascii="Times New Roman" w:hAnsi="Times New Roman" w:eastAsia="Times New Roman" w:cs="Times New Roman"/>
          <w:sz w:val="24"/>
        </w:rPr>
        <w:t>The theoretical contribution is a contextual problem formulation that supports the engineering synthesis. First, FIAS is advanced as a provisional, non-diagnostic descriptor of failure-associated non-return; it does not itself establish an intention to avoid the device or a psychological cause. Second, the contrast between the studied deployments motivates a candidate boundary to the transfer of selected acceptance and gamification design principles into clinically consequential assessment. Clinical framing is one possible contributor, alongside input modality, setting, recruitment, burden and practical consequences; the comparison does not identify a universal boundary of gamification theory. Third, identity-related appraisal is specified as a candidate account whose proposed operators—loss aversion, endowment protection, mental accounting and stereotype threat—require distinct measures and discriminating predictions (Table 2.1). The account must demonstrate explanatory value beyond perceived competence, satisfaction, continuance and medical-information avoidance, rather than claim that these literatures cannot accommodate the observations (Bandura, 1997; Bhattacherjee, 2001; Howell &amp; Shepperd, 2012). Fourth, the thesis integrates these questions with an adaptive-learning response comprising identity disentanglement, trajectory feedback and adaptive calibration. Adaptive learning is established prior work; the proposed originality is its specification for this dual-purpose assessment context and its connection to credible progress under changing task and system conditions (Chapter 7). The completed programme motivates this synthesis but does not establish its effectiveness or necessity.</w:t>
      </w:r>
    </w:p>
    <w:p>
      <w:pPr>
        <w:pStyle w:val="Heading2"/>
      </w:pPr>
      <w:bookmarkStart w:id="132" w:name="_Toc232024620"/>
      <w:r>
        <w:rPr>
          <w:lang w:val="en-US" w:eastAsia="en-US" w:bidi="ar-SA"/>
          <w:color w:val="000000"/>
          <w:szCs w:val="22"/>
        </w:rPr>
        <w:t>8.2 Methodological Contributions</w:t>
      </w:r>
      <w:bookmarkEnd w:id="132"/>
    </w:p>
    <w:p>
      <w:pPr>
        <w:pStyle w:val="Normal"/>
        <w:jc w:val="both"/>
      </w:pPr>
      <w:r>
        <w:rPr>
          <w:szCs w:val="22"/>
          <w:lang w:val="en-US" w:eastAsia="en-US" w:bidi="ar-SA"/>
          <w:rFonts w:ascii="Times New Roman" w:hAnsi="Times New Roman" w:eastAsia="Times New Roman" w:cs="Times New Roman"/>
          <w:sz w:val="24"/>
        </w:rPr>
        <w:t>The methodological contribution lies in the combination and documentation of sequential exploratory action research: an initial theory-informed design expectation, prospective field observation, a subsequent between-cohort comparison, and explicit revision of the resulting explanation and design requirements (Table 3.1). The unfulfilled design expectation is not a statistical falsification of TAM, STAM or gamification research, and Stage 3 is neither a positive control nor an isolated attribution experiment. Reusable elements include the dual-purpose mechanic linking gameplay with a measurement pathway, the QFD evidence-to-design pipeline (§5.5A), the documented AI-assisted development workflow (§5.3.9), and the descriptive separation of immediate participation from future-use intention. Their value is practical traceability from observation to engineering decision, rather than a newly validated causal-identification method. The proposed continuous-improvement process extends that traceability to future changes in task, controller and interface by requiring their rationale, version and evaluation conditions to be retained (Chapter 7).</w:t>
      </w:r>
    </w:p>
    <w:p>
      <w:pPr>
        <w:pStyle w:val="Heading2"/>
      </w:pPr>
      <w:bookmarkStart w:id="133" w:name="_Toc232024621"/>
      <w:r>
        <w:rPr>
          <w:lang w:val="en-US" w:eastAsia="en-US" w:bidi="ar-SA"/>
          <w:color w:val="000000"/>
          <w:szCs w:val="22"/>
        </w:rPr>
        <w:t>8.3 Empirical Contributions</w:t>
      </w:r>
      <w:bookmarkEnd w:id="133"/>
    </w:p>
    <w:p>
      <w:pPr>
        <w:pStyle w:val="Normal"/>
        <w:jc w:val="both"/>
      </w:pPr>
      <w:r>
        <w:rPr>
          <w:szCs w:val="22"/>
          <w:lang w:val="en-US" w:eastAsia="en-US" w:bidi="ar-SA"/>
          <w:rFonts w:ascii="Times New Roman" w:hAnsi="Times New Roman" w:eastAsia="Times New Roman" w:cs="Times New Roman"/>
          <w:sz w:val="24"/>
        </w:rPr>
        <w:t>The empirical record yields the following results: 70.0% early disengagement (21 of 30, at or before three cycles) in the Stage-2 cohort with no observed re-engagement during the eight-week window; a paired recorded-index change of +6.9 points among the nine sustained participants (dz = 2.22, 95% CI 0.95–3.46) and +4.0 points across all thirty (dz = 0.42, 95% CI 0.05–0.79); an association (exploratory, unadjusted) between satisfaction and sustained engagement (Fisher's exact p = 0.013); the documented withdrawal (§5.5) of an earlier exploratory motivational-orientation classification whose coding records could not be produced; recorded-index increase with a therapist-reported entry of no symptom improvement in three of the eight single-session participants (joint count read from the archived per-participant record, Appendix G item G.2; two of seven excluding the unverified record), with no return among any of the eight; 65.2% return among Stage-3 initial dropouts overall and 62.5% in the 65–80 band, reported from the Stage-3 aggregate record (§6.4); 71.7% positive responses to the coordination-related item (a positive-coded response; not a manipulation check); 63.3% regular-use intention overall; and a descriptive 29.3-percentage-point difference between continued or resumed play and regular-use intention in the 65–80 band. These results do not constitute a direct correlation across stages because the participants and measures differ.</w:t>
      </w:r>
    </w:p>
    <w:p>
      <w:pPr>
        <w:pStyle w:val="Heading2"/>
      </w:pPr>
      <w:bookmarkStart w:id="134" w:name="_Toc232024622"/>
      <w:r>
        <w:rPr>
          <w:lang w:val="en-US" w:eastAsia="en-US" w:bidi="ar-SA"/>
          <w:color w:val="000000"/>
          <w:szCs w:val="22"/>
        </w:rPr>
        <w:t>8.4 Industrial and Practical Contributions</w:t>
      </w:r>
      <w:bookmarkEnd w:id="134"/>
    </w:p>
    <w:p>
      <w:pPr>
        <w:pStyle w:val="Normal"/>
        <w:jc w:val="both"/>
      </w:pPr>
      <w:r>
        <w:rPr>
          <w:szCs w:val="22"/>
          <w:lang w:val="en-US" w:eastAsia="en-US" w:bidi="ar-SA"/>
          <w:rFonts w:ascii="Times New Roman" w:hAnsi="Times New Roman" w:eastAsia="Times New Roman" w:cs="Times New Roman"/>
          <w:sz w:val="24"/>
        </w:rPr>
        <w:t>The practical contribution is a proposed implementation specification for supporting voluntary engagement with an existing assessment technology. It brings together participant-facing framing, condition-specific progress feedback, staff coaching and adaptive challenge. Under the stated thesis title, the proactive point of intervention is an emerging difficulty or adverse experience; continuous improvement concerns both the participant's opportunity to learn and the engineering team's revision of an unsatisfactory design. Neither a higher adaptive-game score nor a new software version is sufficient evidence of improvement. The proposed evaluation therefore separates participation, performance under stated conditions, retention and transfer of learning, and service outcomes, while documenting the changes that may affect comparability (Chapter 7; Soderstrom &amp; Bjork, 2015). The framework is informed by field evidence and learning theory, but requires controlled evaluation, implementation-fidelity assessment, usability testing, longitudinal follow-up and cost analysis before effectiveness or industrial benefit can be claimed.</w:t>
      </w:r>
    </w:p>
    <w:p>
      <w:pPr>
        <w:pStyle w:val="Heading2"/>
      </w:pPr>
      <w:bookmarkStart w:id="135" w:name="_Toc232024623"/>
      <w:bookmarkEnd w:id="135"/>
      <w:r>
        <w:rPr>
          <w:lang w:val="en-US" w:eastAsia="en-US" w:bidi="ar-SA"/>
          <w:color w:val="000000"/>
          <w:szCs w:val="22"/>
        </w:rPr>
        <w:t>8.4A A Forward-Looking Contribution: Sensing and Person-Conditioned Adaptation</w:t>
      </w:r>
    </w:p>
    <w:p>
      <w:pPr>
        <w:pStyle w:val="Normal"/>
        <w:jc w:val="both"/>
      </w:pPr>
      <w:r>
        <w:rPr>
          <w:szCs w:val="22"/>
          <w:lang w:val="en-US" w:eastAsia="en-US" w:bidi="ar-SA"/>
          <w:rFonts w:ascii="Times New Roman" w:hAnsi="Times New Roman" w:eastAsia="Times New Roman" w:cs="Times New Roman"/>
          <w:sz w:val="24"/>
        </w:rPr>
        <w:t>A forward-looking contribution concerns the gap between the deployed Stage-2 adaptation configuration and a richer person-conditioned system. The deployed system received pressure-panel and game telemetry, with some information rendered into language for model processing; it did not directly measure the participant's immediate appraisal, affect or intention at the moment of difficulty. The thesis therefore proposes an engineering extension — add ethically justified, consented and validated real-time signals, update a person-specific state estimate, and evaluate whether safe, pre-specified interventions improve retry and return without reducing challenge or obscuring important information (§9.8C) — and states the evidential boundary of that extension at §8.6A. This is a limitation of the sensing and control configuration used in the study; it should not be generalised into a claim about language models in general or about artificial general intelligence.</w:t>
      </w:r>
    </w:p>
    <w:p>
      <w:pPr>
        <w:pStyle w:val="Heading2"/>
      </w:pPr>
      <w:bookmarkStart w:id="136" w:name="_Toc232024624"/>
      <w:r>
        <w:rPr>
          <w:lang w:val="en-US" w:eastAsia="en-US" w:bidi="ar-SA"/>
          <w:color w:val="000000"/>
          <w:szCs w:val="22"/>
        </w:rPr>
        <w:t>8.5 Alternative Explanations</w:t>
      </w:r>
      <w:bookmarkEnd w:id="136"/>
    </w:p>
    <w:p>
      <w:pPr>
        <w:pStyle w:val="Normal"/>
        <w:jc w:val="both"/>
      </w:pPr>
      <w:r>
        <w:rPr>
          <w:szCs w:val="22"/>
          <w:lang w:val="en-US" w:eastAsia="en-US" w:bidi="ar-SA"/>
          <w:rFonts w:ascii="Times New Roman" w:hAnsi="Times New Roman" w:eastAsia="Times New Roman" w:cs="Times New Roman"/>
          <w:sz w:val="24"/>
        </w:rPr>
        <w:t>The credibility of the frame-sensitive account depends on examining alternatives. Ten are considered below, and several remain viable because the comparison is between cohorts and deployment contexts. The expert consultation of §6.8A contributes an interpretive perspective compatible with clinical avoidance and identifies group and coach support as candidate moderators. Consultation does not establish the cause of the observed behaviour. A future within-cohort study should record and, where feasible, standardise these contextual influences.</w:t>
      </w:r>
    </w:p>
    <w:p>
      <w:pPr>
        <w:pStyle w:val="Heading3"/>
      </w:pPr>
      <w:bookmarkStart w:id="137" w:name="_Toc232024625"/>
      <w:r>
        <w:rPr>
          <w:color w:val="000000"/>
          <w:szCs w:val="26"/>
          <w:lang w:val="en-US" w:eastAsia="en-US" w:bidi="ar-SA"/>
        </w:rPr>
        <w:t>8.5.1 Cohort Self-Selection</w:t>
      </w:r>
      <w:bookmarkEnd w:id="137"/>
    </w:p>
    <w:p>
      <w:pPr>
        <w:pStyle w:val="Normal"/>
        <w:jc w:val="both"/>
      </w:pPr>
      <w:r>
        <w:rPr>
          <w:szCs w:val="22"/>
          <w:lang w:val="en-US" w:eastAsia="en-US" w:bidi="ar-SA"/>
          <w:rFonts w:ascii="Times New Roman" w:hAnsi="Times New Roman" w:eastAsia="Times New Roman" w:cs="Times New Roman"/>
          <w:sz w:val="24"/>
        </w:rPr>
        <w:t>Concern: Stage-2 and Stage-3 participants may differ because of volunteer selection, residential status, health, education, technology familiarity or recruitment channel. Response: the Stage-3 return result in the 65–80 band remains substantially different from the Stage-2 observation and is therefore difficult to ignore. However, the natural comparable pair - the Stage-2 re-engagement outcome (0 of 21) and the Stage-3 return-after-dropout outcome (15 of 23) - spans non-equivalent cohorts and conditions, so it cannot quantify the size of selection bias, and the present data cannot show that cohort differences are too small to explain part of the effect. Randomisation within one recruited cohort is required.</w:t>
      </w:r>
    </w:p>
    <w:p>
      <w:pPr>
        <w:pStyle w:val="Heading3"/>
      </w:pPr>
      <w:bookmarkStart w:id="138" w:name="_Toc232024626"/>
      <w:r>
        <w:rPr>
          <w:color w:val="000000"/>
          <w:szCs w:val="26"/>
          <w:lang w:val="en-US" w:eastAsia="en-US" w:bidi="ar-SA"/>
        </w:rPr>
        <w:t>8.5.2 Novelty Effect</w:t>
      </w:r>
      <w:bookmarkEnd w:id="138"/>
    </w:p>
    <w:p>
      <w:pPr>
        <w:pStyle w:val="Normal"/>
        <w:jc w:val="both"/>
      </w:pPr>
      <w:r>
        <w:rPr>
          <w:szCs w:val="22"/>
          <w:lang w:val="en-US" w:eastAsia="en-US" w:bidi="ar-SA"/>
          <w:rFonts w:ascii="Times New Roman" w:hAnsi="Times New Roman" w:eastAsia="Times New Roman" w:cs="Times New Roman"/>
          <w:sz w:val="24"/>
        </w:rPr>
        <w:t>Concern: novelty may increase engagement in a fresh cohort. Response: post-failure return is a stronger outcome than initial participation, but novelty could still affect willingness to retry or return during a short observation period. The study does not eliminate this explanation. Longitudinal follow-up and repeated-session comparison are required.</w:t>
      </w:r>
    </w:p>
    <w:p>
      <w:pPr>
        <w:pStyle w:val="Heading3"/>
      </w:pPr>
      <w:bookmarkStart w:id="139" w:name="_Toc232024627"/>
      <w:r>
        <w:rPr>
          <w:color w:val="000000"/>
          <w:szCs w:val="26"/>
          <w:lang w:val="en-US" w:eastAsia="en-US" w:bidi="ar-SA"/>
        </w:rPr>
        <w:t>8.5.3 Demand Characteristics and Hawthorne Effect</w:t>
      </w:r>
      <w:bookmarkEnd w:id="139"/>
    </w:p>
    <w:p>
      <w:pPr>
        <w:pStyle w:val="Normal"/>
        <w:jc w:val="both"/>
      </w:pPr>
      <w:r>
        <w:rPr>
          <w:szCs w:val="22"/>
          <w:lang w:val="en-US" w:eastAsia="en-US" w:bidi="ar-SA"/>
          <w:rFonts w:ascii="Times New Roman" w:hAnsi="Times New Roman" w:eastAsia="Times New Roman" w:cs="Times New Roman"/>
          <w:sz w:val="24"/>
        </w:rPr>
        <w:t>Concern: participants may have inferred preferred responses or behaved differently because of researcher attention. Response: the behavioural return outcome is less vulnerable than a self-report item, but staff scripts, contact frequency and researcher involvement should be documented and standardised. A blinded or independent outcome assessor would strengthen the next study.</w:t>
      </w:r>
    </w:p>
    <w:p>
      <w:pPr>
        <w:pStyle w:val="Heading3"/>
      </w:pPr>
      <w:bookmarkStart w:id="140" w:name="_Toc232024628"/>
      <w:r>
        <w:rPr>
          <w:color w:val="000000"/>
          <w:szCs w:val="26"/>
          <w:lang w:val="en-US" w:eastAsia="en-US" w:bidi="ar-SA"/>
        </w:rPr>
        <w:t>8.5.4 Regression to the Mean</w:t>
      </w:r>
      <w:bookmarkEnd w:id="140"/>
    </w:p>
    <w:p>
      <w:pPr>
        <w:pStyle w:val="Normal"/>
        <w:jc w:val="both"/>
      </w:pPr>
      <w:r>
        <w:rPr>
          <w:szCs w:val="22"/>
          <w:lang w:val="en-US" w:eastAsia="en-US" w:bidi="ar-SA"/>
          <w:rFonts w:ascii="Times New Roman" w:hAnsi="Times New Roman" w:eastAsia="Times New Roman" w:cs="Times New Roman"/>
          <w:sz w:val="24"/>
        </w:rPr>
        <w:t>Concern: the Stage-2 zero return may be an extreme small-sample observation. Response: 0 of 21 over eight weeks is an important field result with an upper 95% Wilson bound of approximately 15.5%, but it is not a metaphysical "regime". Replication with a larger cohort and identical follow-up is required.</w:t>
      </w:r>
    </w:p>
    <w:p>
      <w:pPr>
        <w:pStyle w:val="Heading3"/>
      </w:pPr>
      <w:bookmarkStart w:id="141" w:name="_Toc232024629"/>
      <w:r>
        <w:rPr>
          <w:color w:val="000000"/>
          <w:szCs w:val="26"/>
          <w:lang w:val="en-US" w:eastAsia="en-US" w:bidi="ar-SA"/>
        </w:rPr>
        <w:t>8.5.5 Physical Fatigue and Motor-Learning Limits</w:t>
      </w:r>
      <w:bookmarkEnd w:id="141"/>
    </w:p>
    <w:p>
      <w:pPr>
        <w:pStyle w:val="Normal"/>
        <w:jc w:val="both"/>
      </w:pPr>
      <w:r>
        <w:rPr>
          <w:szCs w:val="22"/>
          <w:lang w:val="en-US" w:eastAsia="en-US" w:bidi="ar-SA"/>
          <w:rFonts w:ascii="Times New Roman" w:hAnsi="Times New Roman" w:eastAsia="Times New Roman" w:cs="Times New Roman"/>
          <w:sz w:val="24"/>
        </w:rPr>
        <w:t>Concern: age-linked fatigue, balance limitation or motor-learning difficulty may explain some Stage-3 non-return and some of the gap between continued or resumed play and regular-use intention. Response: this explanation remains plausible and should be measured directly rather than assigned only to a residual subgroup.</w:t>
      </w:r>
    </w:p>
    <w:p>
      <w:pPr>
        <w:pStyle w:val="Heading3"/>
      </w:pPr>
      <w:bookmarkStart w:id="142" w:name="_Toc232024630"/>
      <w:r>
        <w:rPr>
          <w:color w:val="000000"/>
          <w:szCs w:val="26"/>
          <w:lang w:val="en-US" w:eastAsia="en-US" w:bidi="ar-SA"/>
        </w:rPr>
        <w:t>8.5.6 Language and Literacy Confounds</w:t>
      </w:r>
      <w:bookmarkEnd w:id="142"/>
    </w:p>
    <w:p>
      <w:pPr>
        <w:pStyle w:val="Normal"/>
        <w:jc w:val="both"/>
      </w:pPr>
      <w:r>
        <w:rPr>
          <w:szCs w:val="22"/>
          <w:lang w:val="en-US" w:eastAsia="en-US" w:bidi="ar-SA"/>
          <w:rFonts w:ascii="Times New Roman" w:hAnsi="Times New Roman" w:eastAsia="Times New Roman" w:cs="Times New Roman"/>
          <w:sz w:val="24"/>
        </w:rPr>
        <w:t>Concern: the Stage-3 pattern may reflect terminology or other changes in presentation rather than a specific psychological mechanism. Response: terminology is one component of participant-facing framing, but Stage 3 changed lexical, procedural, interface and recruitment cues together with the deployment context. The observed contrast concerns that combined package and context; it does not estimate an isolated framing effect. Future component testing is required to identify which elements contribute, under which conditions, and whether they interact.</w:t>
      </w:r>
    </w:p>
    <w:p>
      <w:pPr>
        <w:pStyle w:val="Heading3"/>
      </w:pPr>
      <w:bookmarkStart w:id="143" w:name="_Toc232024631"/>
      <w:r>
        <w:rPr>
          <w:color w:val="000000"/>
          <w:szCs w:val="26"/>
          <w:lang w:val="en-US" w:eastAsia="en-US" w:bidi="ar-SA"/>
        </w:rPr>
        <w:t>8.5.7 Mechanism-Aspecific Just-Better-Design Alternative</w:t>
      </w:r>
      <w:bookmarkEnd w:id="143"/>
    </w:p>
    <w:p>
      <w:pPr>
        <w:pStyle w:val="Normal"/>
        <w:jc w:val="both"/>
      </w:pPr>
      <w:r>
        <w:rPr>
          <w:szCs w:val="22"/>
          <w:lang w:val="en-US" w:eastAsia="en-US" w:bidi="ar-SA"/>
          <w:rFonts w:ascii="Times New Roman" w:hAnsi="Times New Roman" w:eastAsia="Times New Roman" w:cs="Times New Roman"/>
          <w:sz w:val="24"/>
        </w:rPr>
        <w:t>Concern: Stage 3 may have produced better outcomes because the overall experience was simply better in ways not captured by the protocol. Response: the game mechanic and session structure were carried into the separately built Stage-3 HTML build, but the platform, input device, setting, supervision, interface, pre-session procedure and recruitment all differed — Stage 3 was played remotely — mostly on participants' own computers and, for some older participants, on a prepared iPad with a research assistant beside them (§6.4) — rather than on the therapist-supervised pressure-panel station. "Just better design" and "just a lighter context" therefore remain viable mechanism-aspecific alternatives. Detailed implementation-fidelity records and within-cohort randomisation are required.</w:t>
      </w:r>
    </w:p>
    <w:p>
      <w:pPr>
        <w:pStyle w:val="Heading3"/>
      </w:pPr>
      <w:r>
        <w:rPr>
          <w:color w:val="000000"/>
          <w:szCs w:val="26"/>
          <w:lang w:val="en-US" w:eastAsia="en-US" w:bidi="ar-SA"/>
        </w:rPr>
        <w:t>8.5.8 Input Modality and Embodied Exposure</w:t>
      </w:r>
    </w:p>
    <w:p>
      <w:pPr>
        <w:pStyle w:val="Normal"/>
        <w:jc w:val="both"/>
      </w:pPr>
      <w:r>
        <w:rPr>
          <w:szCs w:val="22"/>
          <w:lang w:val="en-US" w:eastAsia="en-US" w:bidi="ar-SA"/>
          <w:rFonts w:ascii="Times New Roman" w:hAnsi="Times New Roman" w:eastAsia="Times New Roman" w:cs="Times New Roman"/>
          <w:sz w:val="24"/>
        </w:rPr>
        <w:t>Concern: in Stage 2, participants controlled play through weight shifts on a foot pad resting on the pressure-panel footplate, whereas in Stage 3 participants steered with arrow keys or a foot-pad sensor where one was available, and which device each participant used was not recorded (§6.4). The contrast may therefore reflect the physical demands and perceived meaning of the input device as well as clinical framing: difficulty involving balance may be interpreted differently from difficulty involving finger control. Response: this is a viable alternative that the present comparison cannot separate from framing. Technical coupling to a measurement pathway, participant-facing clinical meaning, and embodied task demand should remain distinct design dimensions; combining them under one explanatory label would prevent their contributions from being tested separately. The proposed coupled-versus-decoupled comparison holds input modality constant, while a separately designed modality comparison would be needed to estimate embodiment effects.</w:t>
      </w:r>
    </w:p>
    <w:p>
      <w:pPr>
        <w:jc w:val="both"/>
      </w:pPr>
      <w:r>
        <w:t>Stage 3B adds a touch-input component study — recorded to its 30 September 2026 cut-off in §8.8 and Appendix I, and no longer used as the test of adaptive learning — to a programme that has used standing whole-body input and remote seated hand input. Its adaptive-versus-static and zero-failure-versus-game-over contrasts address presentation components within its study context; clinical framing is not a factor in that design. Consequently, Stage 3B cannot by itself identify the clinical-framing effect or separate framing from embodiment across the earlier stages. A graduated route from seated play to standing-panel interaction may be worth testing as a design proposition, but the present observations do not show that input modality functions as an identity-exposure scale, that confidence accumulates along that route, or that clinical reattachment is successful. Those outcomes require their own measures and comparison conditions.</w:t>
      </w:r>
    </w:p>
    <w:p>
      <w:pPr>
        <w:pStyle w:val="Heading3"/>
      </w:pPr>
      <w:r>
        <w:rPr>
          <w:color w:val="000000"/>
        </w:rPr>
        <w:t>8.5.9 Ordinary Discontinuance and Non-Usage Attrition</w:t>
      </w:r>
    </w:p>
    <w:p>
      <w:pPr>
        <w:jc w:val="both"/>
      </w:pPr>
      <w:r>
        <w:t>Concern: the observed non-return may represent ordinary discontinuance related to dissatisfaction, burden, boredom, limited relevance, competing priorities or changing opportunity. Response: non-usage attrition describes an outcome requiring explanation; it does not necessarily predict gradual decline, occasional return or indifference to context (Eysenbach, 2005). Improving recorded performance can coexist with boredom, low perceived competence or an unsatisfactory experience, so the score–return divergence does not rule these explanations out. The thesis's satisfaction–engagement association makes satisfaction-based continuance a particularly relevant rival (Bhattacherjee, 2001). The concentration of exits early in Stage 2 identifies a useful intervention point, but does not by itself discriminate among these accounts. Likewise, changes in burden, enjoyment and opportunity across the Stage-3 package and context could affect return. A future study should compare explicitly specified predictors and appraisals, including satisfaction, perceived competence, expected benefit, burden and identity relevance. FIAS would add explanatory value only if its proposed account predicts something beyond those alternatives. The retrieved observation sequence of §5.6 adds a further observation, though not a discriminating one: the field notes record players who acknowledged the system's benefits and were recording index gains, yet gave up after recurring in-game failures across their second and third cycles - a profile that boredom, limited-relevance and competing-priority accounts do not obviously predict, although none of them is excluded by it. That reading is an interpretation of retrospective field notes rather than a measured discrimination: acknowledging benefit while stopping is also compatible with dissatisfaction, burden or competing priorities, so it does not by itself weigh against these ordinary-attrition explanations, which remain live rivals to be carried as comparators into the future study specified above. Observations that would distinguish the accounts prospectively include measured appraisal at the failure moment, stated reasons for stopping collected from non-returners, and whether return differs when verdict cues are removed while burden, enjoyment and opportunity are held constant.</w:t>
      </w:r>
    </w:p>
    <w:p>
      <w:pPr>
        <w:pStyle w:val="Heading3"/>
      </w:pPr>
      <w:r>
        <w:rPr>
          <w:color w:val="000000"/>
        </w:rPr>
        <w:t>8.5.10 Rational Consequence-Avoidance</w:t>
      </w:r>
    </w:p>
    <w:p>
      <w:pPr>
        <w:jc w:val="both"/>
      </w:pPr>
      <w:r>
        <w:t>Concern: the operating practice described in §4.1A gives an adverse FRA verdict real consequences - prescribed balance training and recommendations against walking alone and freely - so avoidance could be a rational response to those consequences rather than an identity-level appraisal: a resident may stay away simply because a bad result costs freedom and time, no psychology of self-concept required. Response: this rival is conceded as live and unmeasured, and it is partly complementary rather than fully displacing - the consequence pathway still runs through the verdict and its frame, not through difficulty or game design, so it shares the coupling structure of the account this thesis proposes while differing on the mechanism inside it. The present data cannot separate the two: Stage 3 removed the verdict and its practical consequences together, so the between-cohort difference is equally consistent with either reading. Distinguishing them requires instrumentation the confirmatory study should carry - measured perception of consequence risk alongside identity-threat measures - and until then the thesis's mechanism language remains at the candidate level (§6.7).</w:t>
      </w:r>
    </w:p>
    <w:p>
      <w:pPr>
        <w:pStyle w:val="Heading2"/>
      </w:pPr>
      <w:bookmarkStart w:id="144" w:name="_Toc232024632"/>
      <w:r>
        <w:rPr>
          <w:lang w:val="en-US" w:eastAsia="en-US" w:bidi="ar-SA"/>
          <w:color w:val="000000"/>
          <w:szCs w:val="22"/>
        </w:rPr>
        <w:t>8.6 Limitations</w:t>
      </w:r>
      <w:bookmarkEnd w:id="144"/>
    </w:p>
    <w:p>
      <w:pPr>
        <w:pStyle w:val="Normal"/>
        <w:jc w:val="both"/>
      </w:pPr>
      <w:r>
        <w:rPr>
          <w:szCs w:val="22"/>
          <w:lang w:val="en-US" w:eastAsia="en-US" w:bidi="ar-SA"/>
          <w:rFonts w:ascii="Times New Roman" w:hAnsi="Times New Roman" w:eastAsia="Times New Roman" w:cs="Times New Roman"/>
          <w:sz w:val="24"/>
        </w:rPr>
        <w:t>The principal limitations are as follows. The Stage-2-versus-Stage-3 comparison is between-cycle and between-cohort; the Stage-3 decoupling package contains multiple changes, including a change of platform, input device, setting and supervision (a remotely played HTML build rather than the supervised pressure-panel station); the proposed mental-accounting, endowment, stereotype-threat and entropy mechanisms were not measured directly; the Stage-2 FIAS composite requires a complete fixed codebook and independent reliability assessment; the clinical significance of short-term FRA-index change is unknown; self-selection and embedded-researcher effects remain possible; observation windows are short; and both cohorts are culturally specific. The nested model comparison is prospective rather than completed. The Chapter-7 adaptive-learning framework remains untested in the field: the Stage-3B component study is reported as a descriptive record to its 30 September 2026 cut-off (§8.8; Appendix I) and is not used as a test of adaptive learning, because the learning measurement it carried was not articulated to the adaptive-learning construct — immediate task performance is not durable learning, and the adaptive arm was a support package of difficulty adjustment with coaching rather than difficulty adjustment alone. These limitations narrow the claims but do not remove the practical importance of the observed failure-return patterns.</w:t>
      </w:r>
    </w:p>
    <w:p>
      <w:pPr>
        <w:pStyle w:val="Heading2"/>
      </w:pPr>
      <w:bookmarkStart w:id="145" w:name="_Toc232024633"/>
      <w:bookmarkEnd w:id="145"/>
      <w:r>
        <w:rPr>
          <w:lang w:val="en-US" w:eastAsia="en-US" w:bidi="ar-SA"/>
          <w:color w:val="000000"/>
          <w:szCs w:val="22"/>
        </w:rPr>
        <w:t>8.6A A Further Limitation: The Deployed Sensing and Adaptation Configuration</w:t>
      </w:r>
    </w:p>
    <w:p>
      <w:pPr>
        <w:pStyle w:val="Normal"/>
        <w:jc w:val="both"/>
      </w:pPr>
      <w:r>
        <w:rPr>
          <w:szCs w:val="22"/>
          <w:lang w:val="en-US" w:eastAsia="en-US" w:bidi="ar-SA"/>
          <w:rFonts w:ascii="Times New Roman" w:hAnsi="Times New Roman" w:eastAsia="Times New Roman" w:cs="Times New Roman"/>
          <w:sz w:val="24"/>
        </w:rPr>
        <w:t>A further limitation concerns the deployed AI and sensing configuration. Layer 2 adapted game difficulty from telemetry and language-rendered summaries on a scheduled cycle. The proposed dynamic-state extension shortens the control loop but still depends mainly on pressure-panel and in-game event data. Neither configuration directly measures the participant's interpretation, affect, hesitation or intention at the moment of difficulty.</w:t>
      </w:r>
    </w:p>
    <w:p>
      <w:pPr>
        <w:pStyle w:val="Normal"/>
        <w:jc w:val="both"/>
      </w:pPr>
      <w:r>
        <w:rPr>
          <w:szCs w:val="22"/>
          <w:lang w:val="en-US" w:eastAsia="en-US" w:bidi="ar-SA"/>
          <w:rFonts w:ascii="Times New Roman" w:hAnsi="Times New Roman" w:eastAsia="Times New Roman" w:cs="Times New Roman"/>
          <w:sz w:val="24"/>
        </w:rPr>
        <w:t>The thesis therefore cannot claim that the system observed a "cognitive collapse" or missed a directly established psychological event. What it can say is that the system lacked channels for immediate participant appraisal and affect, while the behavioural outcome of interest may be shaped by reactions occurring close to the failure event. A future person-conditioned system would need validated, ethically acceptable measures and a pre-specified intervention policy. It would also need to demonstrate incremental predictive and behavioural value beyond simple game telemetry.</w:t>
      </w:r>
    </w:p>
    <w:p>
      <w:pPr>
        <w:pStyle w:val="Normal"/>
        <w:jc w:val="both"/>
      </w:pPr>
      <w:r>
        <w:rPr>
          <w:szCs w:val="22"/>
          <w:lang w:val="en-US" w:eastAsia="en-US" w:bidi="ar-SA"/>
          <w:rFonts w:ascii="Times New Roman" w:hAnsi="Times New Roman" w:eastAsia="Times New Roman" w:cs="Times New Roman"/>
          <w:sz w:val="24"/>
        </w:rPr>
        <w:t>This limitation belongs first to the study's input architecture, not to language models in general. The intuition that the limits of a system's language may bound the world it can represent has a long philosophical lineage (Wittgenstein, 1922), and the symbol-grounding and embodied-intelligence literatures (Harnad, 1990; Brooks, 1991) provide relevant theoretical context, but they do not establish that text-based models are categorically incapable of contributing to grounded systems. The bounded engineering question is whether adding direct environmental and behavioural inputs improves prediction and safe adaptation in this FRA setting. That question is testable on the existing apparatus and should be separated from broader claims about AGI.</w:t>
      </w:r>
    </w:p>
    <w:p>
      <w:pPr>
        <w:pStyle w:val="Heading2"/>
      </w:pPr>
      <w:r>
        <w:rPr>
          <w:lang w:val="en-US" w:eastAsia="en-US" w:bidi="ar-SA"/>
          <w:color w:val="000000"/>
          <w:szCs w:val="22"/>
        </w:rPr>
        <w:t>8.6B Extending the Unit of Analysis: Abandonment as a Three-Party Decision</w:t>
      </w:r>
    </w:p>
    <w:p>
      <w:pPr>
        <w:pStyle w:val="Normal"/>
        <w:jc w:val="both"/>
      </w:pPr>
      <w:r>
        <w:rPr>
          <w:szCs w:val="22"/>
          <w:lang w:val="en-US" w:eastAsia="en-US" w:bidi="ar-SA"/>
          <w:rFonts w:ascii="Times New Roman" w:hAnsi="Times New Roman" w:eastAsia="Times New Roman" w:cs="Times New Roman"/>
          <w:sz w:val="24"/>
        </w:rPr>
        <w:t>The empirical stages principally examine the older user's engagement. A wider unit of analysis is nevertheless plausible: the user, family and care staff may each influence opportunities and reasons to return. A user may be concerned about capability, discomfort, time or autonomy; family members may interpret the experience as helpful or distressing; care staff may weigh clinical value against practical workload. These possibilities are hypotheses about the setting, not findings about measured family or clinician decisions. They extend the question from an individual's appraisal to how support, burden and interpretation may be distributed across the care relationship (Greenhalgh et al., 2017).</w:t>
      </w:r>
    </w:p>
    <w:p>
      <w:pPr>
        <w:pStyle w:val="Normal"/>
        <w:jc w:val="both"/>
      </w:pPr>
      <w:r>
        <w:rPr>
          <w:szCs w:val="22"/>
          <w:lang w:val="en-US" w:eastAsia="en-US" w:bidi="ar-SA"/>
          <w:rFonts w:ascii="Times New Roman" w:hAnsi="Times New Roman" w:eastAsia="Times New Roman" w:cs="Times New Roman"/>
          <w:sz w:val="24"/>
        </w:rPr>
        <w:t>On this wider reading, non-use may be sustained by interacting decisions and constraints rather than one person's appraisal alone. The study does not establish that all three parties must withdraw support, that an identity appraisal initiates the process, or that these interactions explain the Stage-2 pattern. A prospective adaptive-learning intervention could examine whether truthful progress information, acceptable participation demands and a shared support plan help users and care partners decide whether continued use is worthwhile. Such information must include plateaus, deterioration and uncertainty where present; a rising display cannot be presumed. Measuring the parties' appraisals and interactions would connect the next study to the adopter-system concerns of NASSS while testing the specific relationships proposed here (Greenhalgh et al., 2017).</w:t>
      </w:r>
    </w:p>
    <w:p>
      <w:pPr>
        <w:jc w:val="both"/>
      </w:pPr>
      <w:r>
        <w:t>A related alternative, raised by the industrial partner during draft review, is a shared narrative about the station. Residents, families or staff might circulate interpretations of assessment that influence non-use, including among people without direct experience. The programme collected no sociometric or narrative-circulation data, so it cannot determine the source, content or causal role of such narratives. They might arise from an adverse encounter, institutional practice, general beliefs about ageing or other sources; individual FIAS events are not a necessary starting point. One strand of the account is nonetheless anchored in the deployment record: the researcher's field notes record that, as dropouts accumulated, remaining players saw that many peers had stopped attending, and that further abandonment followed that visible thinning — an observed co-occurrence that the researcher interpreted at the time as contributory (§5.6). This is a field-note observation of within-deployment dropout visibility, not sociometric or narrative-circulation data; it documents a social channel operating, while leaving the source, content and causal role of any circulating narrative unmeasured. The next programme could combine interviews and observations across the care network with a carefully specified group-level support intervention. Any group response should be evaluated alongside individual appraisals, rather than assumed to confirm or remedy the proposed identity mechanism.</w:t>
      </w:r>
    </w:p>
    <w:p>
      <w:pPr>
        <w:pStyle w:val="Heading2"/>
      </w:pPr>
      <w:bookmarkStart w:id="146" w:name="_Toc232024634"/>
      <w:r>
        <w:rPr>
          <w:lang w:val="en-US" w:eastAsia="en-US" w:bidi="ar-SA"/>
          <w:color w:val="000000"/>
          <w:szCs w:val="22"/>
        </w:rPr>
        <w:t>8.7 Ethical Considerations</w:t>
      </w:r>
      <w:bookmarkEnd w:id="146"/>
    </w:p>
    <w:p>
      <w:pPr>
        <w:jc w:val="both"/>
      </w:pPr>
      <w:commentRangeStart w:id="7"/>
      <w:r>
        <w:t>This study examines the assessment phase of an assess-then-train product model and does not evaluate the training phase. An underused assessment station is an important service-design problem because it may limit opportunities to offer subsequent support. The proposed framework could be extended to repeated training encounters, but the present research does not establish that the same appraisal processes operate there or that assessment engagement produces training benefit. A training extension would require its own task specification, supervision, outcome measures and longitudinal evaluation. In particular, calibrated training performance must be distinguished from retained capability and clinical benefit; the future programme in §8.8 provides a route to examine these questions.</w:t>
      </w:r>
      <w:commentRangeEnd w:id="7"/>
      <w:r>
        <w:rPr>
          <w:rStyle w:val="CommentReference"/>
        </w:rPr>
        <w:commentReference w:id="7"/>
      </w:r>
    </w:p>
    <w:p>
      <w:pPr>
        <w:pStyle w:val="Normal"/>
        <w:jc w:val="both"/>
      </w:pPr>
      <w:r>
        <w:rPr>
          <w:szCs w:val="22"/>
          <w:lang w:val="en-US" w:eastAsia="en-US" w:bidi="ar-SA"/>
          <w:rFonts w:ascii="Times New Roman" w:hAnsi="Times New Roman" w:eastAsia="Times New Roman" w:cs="Times New Roman"/>
          <w:sz w:val="24"/>
        </w:rPr>
        <w:t>The programme involves a vulnerable population, an embedded researcher, and a frame manipulation — decoupling — that intentionally changes how participants interpret the activity they are engaging with. The ethical framework has five components.</w:t>
      </w:r>
    </w:p>
    <w:p>
      <w:pPr>
        <w:pStyle w:val="Heading3"/>
      </w:pPr>
      <w:bookmarkStart w:id="147" w:name="_Toc232024635"/>
      <w:r>
        <w:rPr>
          <w:color w:val="000000"/>
          <w:szCs w:val="26"/>
          <w:lang w:val="en-US" w:eastAsia="en-US" w:bidi="ar-SA"/>
        </w:rPr>
        <w:t>8.7.1 Vulnerability of Frail Older Adults</w:t>
      </w:r>
      <w:bookmarkEnd w:id="147"/>
    </w:p>
    <w:p>
      <w:pPr>
        <w:pStyle w:val="Normal"/>
        <w:jc w:val="both"/>
      </w:pPr>
      <w:r>
        <w:rPr>
          <w:szCs w:val="22"/>
          <w:lang w:val="en-US" w:eastAsia="en-US" w:bidi="ar-SA"/>
          <w:rFonts w:ascii="Times New Roman" w:hAnsi="Times New Roman" w:eastAsia="Times New Roman" w:cs="Times New Roman"/>
          <w:sz w:val="24"/>
        </w:rPr>
        <w:t>Older adults in residential care are vulnerable in several distinct senses: physical, cognitive, social, and identity. The safeguards on record are those stated in §3.4, §5.4 and §6.4: in Stage 2, the facility's gatekeeper arrangement, therapist supervision of every session, voluntary participation free of charge with no consequence for refusal, and pseudonymisation at collection; in Stage 3, voluntary unpaid participation that could be declined by not taking part, no clinical telemetry or health verdict, and no recording of names or e-mail addresses as data. No exclusion criteria, stoppage rules, information sheets or difficulty-calibration records for Stages 2 and 3 are on file, and none is claimed here.</w:t>
      </w:r>
    </w:p>
    <w:p>
      <w:pPr>
        <w:pStyle w:val="Heading3"/>
      </w:pPr>
      <w:bookmarkStart w:id="148" w:name="_Toc232024636"/>
      <w:r>
        <w:rPr>
          <w:color w:val="000000"/>
          <w:szCs w:val="26"/>
          <w:lang w:val="en-US" w:eastAsia="en-US" w:bidi="ar-SA"/>
        </w:rPr>
        <w:t>8.7.2 Decoupling and the Deception Question</w:t>
      </w:r>
      <w:bookmarkEnd w:id="148"/>
    </w:p>
    <w:p>
      <w:pPr>
        <w:pStyle w:val="Normal"/>
        <w:jc w:val="both"/>
      </w:pPr>
      <w:r>
        <w:rPr>
          <w:szCs w:val="22"/>
          <w:lang w:val="en-US" w:eastAsia="en-US" w:bidi="ar-SA"/>
          <w:rFonts w:ascii="Times New Roman" w:hAnsi="Times New Roman" w:eastAsia="Times New Roman" w:cs="Times New Roman"/>
          <w:sz w:val="24"/>
        </w:rPr>
        <w:t>The Stage-3 protocol did not collect clinical balance telemetry from any participant. Any future deployment that reintroduces clinical telemetry alongside decoupled framing must address the deception question directly. The recommended informed-consent script states, in the opening paragraph, that the session is a coordination game whose movements are also recorded for balance research, and that the participant's individual clinical results will not be discussed during sessions but will be available on request. A frame manipulation accompanied by full prior disclosure is not deception in the ethically problematic sense. In the completed programme the disclosure question arose in Stage 2, which operated with incomplete disclosure: participants were not told during the deployment that play formed part of a research project, consent was given by the facility as gatekeeper at research start, and written consent was obtained retrospectively from the nine sustained participants only; the twenty-one who dropped out did not sign, and their symptom entries are therapist observations compiled by the researcher (§3.4). The rationale was that announcing a fall-risk study would re-impose the frame under study. The limitations are that the disclosure decision was the researcher's rather than a prior committee determination, that the non-signing participants' aggregated data are used without their written consent, and that an itemised institutional determination on these arrangements is not part of the record at 30 September 2026 (§3.4); the thesis reports the arrangements as they operated and does not present them as a model for future deployments.</w:t>
      </w:r>
    </w:p>
    <w:p>
      <w:pPr>
        <w:pStyle w:val="Heading3"/>
      </w:pPr>
      <w:bookmarkStart w:id="149" w:name="_Toc232024637"/>
      <w:r>
        <w:rPr>
          <w:color w:val="000000"/>
          <w:szCs w:val="26"/>
          <w:lang w:val="en-US" w:eastAsia="en-US" w:bidi="ar-SA"/>
        </w:rPr>
        <w:t>8.7.3 Autonomy, Dignity and the Right Not to Engage</w:t>
      </w:r>
      <w:bookmarkEnd w:id="149"/>
    </w:p>
    <w:p>
      <w:pPr>
        <w:pStyle w:val="Normal"/>
        <w:jc w:val="both"/>
      </w:pPr>
      <w:r>
        <w:rPr>
          <w:szCs w:val="22"/>
          <w:lang w:val="en-US" w:eastAsia="en-US" w:bidi="ar-SA"/>
          <w:rFonts w:ascii="Times New Roman" w:hAnsi="Times New Roman" w:eastAsia="Times New Roman" w:cs="Times New Roman"/>
          <w:sz w:val="24"/>
        </w:rPr>
        <w:t>The intervention is targeted at the gap between the user's stated intent and the user's subsequent behaviour, not at users who have decided that the technology is not for them. Staff training in any deployment of the adaptive-learning framework must include explicit guidance not to use coaching to override a clearly stated preference for non-engagement.</w:t>
      </w:r>
    </w:p>
    <w:p>
      <w:pPr>
        <w:pStyle w:val="Heading3"/>
      </w:pPr>
      <w:bookmarkStart w:id="150" w:name="_Toc232024638"/>
      <w:r>
        <w:rPr>
          <w:color w:val="000000"/>
          <w:szCs w:val="26"/>
          <w:lang w:val="en-US" w:eastAsia="en-US" w:bidi="ar-SA"/>
        </w:rPr>
        <w:t>8.7.4 Equity, Access and Deployment Risks</w:t>
      </w:r>
      <w:bookmarkEnd w:id="150"/>
    </w:p>
    <w:p>
      <w:pPr>
        <w:pStyle w:val="Normal"/>
        <w:jc w:val="both"/>
      </w:pPr>
      <w:r>
        <w:rPr>
          <w:szCs w:val="22"/>
          <w:lang w:val="en-US" w:eastAsia="en-US" w:bidi="ar-SA"/>
          <w:rFonts w:ascii="Times New Roman" w:hAnsi="Times New Roman" w:eastAsia="Times New Roman" w:cs="Times New Roman"/>
          <w:sz w:val="24"/>
        </w:rPr>
        <w:t>Three risks are flagged: equity (the adaptive-learning framework requires staff training that may not be available in lower-resource settings); paternalism (a system that adapts and reframes can shade into a system that decides for the user what their experience means); surveillance (the clinical instrument measuring alongside play records continuous telemetry). PIPL governance and a participant-accessible data policy are the operational answers; the cost-effectiveness work of the proposed confirmatory programme should specify minimum staff-training intensity.</w:t>
      </w:r>
    </w:p>
    <w:p>
      <w:pPr>
        <w:pStyle w:val="Heading3"/>
      </w:pPr>
      <w:bookmarkStart w:id="151" w:name="_Toc232024639"/>
      <w:r>
        <w:rPr>
          <w:color w:val="000000"/>
          <w:szCs w:val="26"/>
          <w:lang w:val="en-US" w:eastAsia="en-US" w:bidi="ar-SA"/>
        </w:rPr>
        <w:t>8.7.5 Embedded Researcher Bias</w:t>
      </w:r>
      <w:bookmarkEnd w:id="151"/>
    </w:p>
    <w:p>
      <w:pPr>
        <w:pStyle w:val="Normal"/>
        <w:jc w:val="both"/>
      </w:pPr>
      <w:r>
        <w:rPr>
          <w:szCs w:val="22"/>
          <w:lang w:val="en-US" w:eastAsia="en-US" w:bidi="ar-SA"/>
          <w:rFonts w:ascii="Times New Roman" w:hAnsi="Times New Roman" w:eastAsia="Times New Roman" w:cs="Times New Roman"/>
          <w:sz w:val="24"/>
        </w:rPr>
        <w:t>The lead author's embedded role may influence observation, interpretation, participant interaction and theory development. Reflective field notes and pre-specified predictions help but do not eliminate this risk. The next cycle should use standardised scripts, independent coding, blinded or independent outcome assessment where feasible, and an analysis plan registered before outcomes are examined.</w:t>
      </w:r>
    </w:p>
    <w:p>
      <w:pPr>
        <w:pStyle w:val="Heading2"/>
      </w:pPr>
      <w:bookmarkStart w:id="152" w:name="_Toc232024640"/>
      <w:r>
        <w:rPr>
          <w:lang w:val="en-US" w:eastAsia="en-US" w:bidi="ar-SA"/>
          <w:color w:val="000000"/>
          <w:szCs w:val="22"/>
        </w:rPr>
        <w:t>8.8 Future Research</w:t>
      </w:r>
      <w:bookmarkEnd w:id="152"/>
    </w:p>
    <w:p>
      <w:pPr>
        <w:jc w:val="both"/>
      </w:pPr>
      <w:r>
        <w:t>Stage 3B was designed after the Stage-3A results were in hand. The decoupled package recorded continued or resumed play in most of its cohort (§6.4), but it does not deliver the FRA measurement to the users who need it, and the Chapter-7 adaptive framework remained untested in the field; Stage 3B was designed as the response to that limitation — retrospectively motivated by the Stage-3A result, prospectively specified before recruitment (the protocol and the pre-specified analysis hierarchy are repository-dated 8–9 August 2026). It is a 2×2 component experiment in a new, remotely recruited cohort, crossing adaptive support (rule-agent difficulty adjustment with coaching) against static presentation (fixed pace with coaching suppressed) and zero-failure (ZF) against game-over (GO) failure modes, with assignment drawn at random per participant at first enrolment and persisted in the browser (effectively per browser profile); the adaptive arm is therefore a support package rather than difficulty adjustment alone. Consent in Stage 3B is recorded in-build: the protocol specifies a consent screen stating the research purpose, voluntariness, anonymity and data use and requiring an explicit tap or click before play, with the consent event written into each participant's export — an upgrade of Stage 3's implied-consent model — and the participant-facing game description and recruitment instructions describe the same consent page. The achieved record is stated at a cut-off of 30 September 2026 and compiled in Appendix I; the frozen edition's clean-run window runs to 15 October 2026, and returns received after 30 September 2026 are archived as received and are not entered in this thesis. The 9 August 2026 build (commit 59b7881) was distributed on 10–12 August through five device-tagged files (DEV1–DEV5); a 13 August revision (a1afc42) added run-level input-mode logging; and a frozen study edition (build stamp Alpine_Coordination_Game_v3.1s_Stage3B_FROZEN20260915; twenty distributor-tagged copies D01–D20, hosted on GitHub Pages) opened a clean-run window on 15 September 2026. Returns on record at the cut-off are one verified return (code B9V8YA, received 15 August 2026 from the participant's own e-mail address); five returns received on 15 September 2026, excluded because they were played on the 13-August edition rather than the deployed build, were researcher-solicited plays made within about twenty minutes on one device copy, and all fell in the adaptive arm; and, from the frozen edition, five clean-run returns: one played on 16 September 2026 on distributor copy D13 and received on 30 September, and four played on 29 September 2026 on copy D01 (four in the static arm and one in the adaptive arm; three in game-over mode and two in zero-failure mode; three single 30-second sessions, one return of two sessions and one of three); a further file (code BYXXMT), whose consent and export stamps are dated 13 August 2026 and which names device copy DEV1 on the v3.0 build string, was archived as received on 30 September 2026 pending an author statement of who played it and how it reached the author (Appendix I.7); it is not counted in any category and no outcome values are reported. After this initial round, the measurement of learning was found not to be articulated to the adaptive-learning construct set out in Chapter 7: the outcomes on record are a willingness item (D2) with sessions played as a co-primary outcome and, in the separate Pro v4.1 self-test, immediate fixed-course clearance near ceiling on non-equivalent course forms, whereas the framework's claim concerns durable learning that is credible under changing task conditions; the adaptive arm is a support package (difficulty adjustment with coaching) whose components cannot be attributed; assignment persisted per browser profile and the first-exposure build differed between the verified return and the excluded returns; and the record holds no retention or transfer measure. By the author's decision of 26 September 2026 (decision record, Appendix G, item G.12), Stage 3B is no longer used to determine whether an adaptive-learning process occurs in the AI-enabled zero-failure game mechanism. Its results form no part of the evidence presented in this thesis, and no confirmatory analysis is reported; by the author's amendment of 29 September 2026 and decision of 2 October 2026 (Appendix G, item G.12) the record is stated at 30 September 2026. The thesis concludes on the record of Stages 1–3A, and adaptive learning is carried forward as a design direction for discussion and future study. The design as specified could test the component contrasts in a future, adequately powered run; any interaction claim would require adequate sample size and precision. Because clinical framing is not independently varied, this experiment is distinct from the coupled-versus-decoupled study proposed below. Its learning-theory context includes errorless learning in memory-impaired populations, low-consequence failure in game-based learning and dynamic difficulty adjustment (Baddeley &amp; Wilson, 1994; Plass et al., 2015; Zohaib, 2018). These traditions motivate alternative hypotheses; they do not establish that preventing errors is universally preferable for older adults or that the present design reconciles their effects. Assessment of progress under the component conditions should follow the comparability requirements in Chapter 7.</w:t>
      </w:r>
    </w:p>
    <w:p>
      <w:pPr>
        <w:jc w:val="both"/>
      </w:pPr>
      <w:r>
        <w:t>The described Stage-3B score economy provides a useful distinction between participation incentives and improvement evidence. The earlier builds used distance and coins; the richer economy implemented in the 13 August 2026 scoring revision (commit 923a25e; Appendix I) includes a combo multiplier, skill-dodge bonuses, collection rate and a persistent experience total with skier levels. A reset multiplier reduces future earning opportunities without subtracting accumulated points. That design choice may change the experience of a setback, but the thesis does not establish that opportunity costs are psychologically harmless or that banked points produce a learning-trajectory appraisal. A persistent experience total principally records rewarded participation: it can increase when capability is unchanged or when challenge has been reduced. It should therefore be displayed as activity or experience earned, separately from condition-specific performance and comparable anchor checks. The stated use of the same scoring formula across the experimental conditions helps define the intervention, but it does not make raw scores comparable when task demands, assistance or exposure differ. This distinction protects the motivational purpose of the economy while preventing accumulated rewards from being presented as evidence of learning (Soderstrom &amp; Bjork, 2015).</w:t>
      </w:r>
    </w:p>
    <w:p>
      <w:pPr>
        <w:jc w:val="both"/>
      </w:pPr>
      <w:r>
        <w:rPr/>
        <w:t>A separate Stage-3B Pro v4.1 researcher self-test batch (Batch 01, 19–20 September 2026) is also on record and is reported in Appendix I as a development record, not as evidence. The Pro v4.1 edition adds a feedback-conditioned practice-proposal policy: after each practice run the player may report difficulty, feeling and reason, and local rules combine that report with performance counts to propose the next practice, which the player accepts or overrides. Its optional external-judgment step was not used in any recorded session; the policy does not train any model's weights, so it is neither reinforcement learning from human feedback nor a comparable training method. The record comprises seven stored player codes (ten exports from five codes summarised in the Batch 01 reports, and two exports received later), all labelled researcher self-test by the software and played, by the author's account, by volunteers and their families or friends recruited for selected age groups; it documents a traceable feedback-to-decision-to-settings mechanism and six paired opening–closing fixed-course checks within visits (across five codes), near ceiling on non-equivalent course forms. The batch's own reports state that it does not establish durable learning, reduced abandonment or the FIAS mechanism, and the descriptive tables and exploratory statistics are confined to Appendix I.</w:t>
      </w:r>
    </w:p>
    <w:p>
      <w:pPr>
        <w:jc w:val="both"/>
      </w:pPr>
      <w:r>
        <w:rPr/>
        <w:t>A future test of adaptive learning in the AI-enabled zero-failure mechanism would need to close the measurement and design gaps that this record exposes. Its learning outcome would be articulated to durable learning rather than immediate task performance: retention or transfer checks on equivalent course forms, taken after a delay and away from ceiling. Difficulty adjustment would be separated from coaching, so that an adaptive arm is not a support package whose components cannot be attributed. Assignment would be randomised per participant on a single frozen study edition, with the first-exposure build version recorded, and every return would carry verified participant provenance. Until such a study is run, the adaptive-learning claim remains a design proposition (Chapter 7).</w:t>
      </w:r>
    </w:p>
    <w:p>
      <w:pPr>
        <w:jc w:val="both"/>
      </w:pPr>
      <w:r>
        <w:rPr/>
        <w:t>The two remote deployments also yield a practical lesson about capturing field data, drawn from how the records arrived rather than from any Stage-3B result. The Stage-3A build saved nothing automatically and asked its questions outside the game, so returns arrived in mixed formats - exported files or copied text in e-mails - and could not later be compiled participant by participant (§6.4). The Stage-3B builds recorded an in-game consent event, asked the questionnaire inside the game immediately after play, and exported the runs, the assigned condition and the answers in one structured file, so each Stage-3B return on record could be checked for build, condition, timing and score arithmetic (Appendix I.4). Embedding consent, an immediate post-play questionnaire and a structured export in the game itself therefore improved the completeness and checkability of each return. It did not by itself secure returns: Stage 3B still depended on the player sending the file, few returns arrived, and one reached the author only as a converted copy. A future field study should capture feedback inside the game immediately after play and, with ethics approval and the participant's consent, transmit it automatically rather than rely on manual export.</w:t>
      </w:r>
    </w:p>
    <w:p>
      <w:pPr>
        <w:pStyle w:val="Normal"/>
        <w:jc w:val="both"/>
      </w:pPr>
      <w:r>
        <w:rPr>
          <w:i w:val="0"/>
          <w:szCs w:val="22"/>
          <w:lang w:val="en-US" w:eastAsia="en-US" w:bidi="ar-SA"/>
          <w:rFonts w:ascii="Times New Roman" w:hAnsi="Times New Roman" w:eastAsia="Times New Roman" w:cs="Times New Roman"/>
          <w:sz w:val="24"/>
        </w:rPr>
        <w:t>The priority extensions are ordered by the questions they can resolve. A within-cohort randomised comparison of coupled and participant-facing decoupled conditions should harmonise recruitment, eligibility, staff scripts, software, input modality and follow-up. Longitudinal evaluation should then assess repeated voluntary use and retained or transferred learning. Direct measures of appraisal, self-efficacy, identity relevance, affect and willingness to continue are needed to test the proposed explanation, together with independent reliability and construct-validation work. Intervention components can be specified using the Behaviour Change Wheel to support replication (Michie et al., 2011). Evaluation of the adaptive-learning framework must additionally retain task and controller versions, distinguish participation rewards from performance, and use comparable checks or explicitly report discontinuity when a redesign changes what can be measured (Chapter 7). Cross-cultural and cross-domain studies should follow from these foundations. The three-party extension of §8.6B adds a further question: whether measuring and supporting the user, family and clinician perspectives improves appropriate return beyond an individual intervention.</w:t>
      </w:r>
    </w:p>
    <w:p>
      <w:pPr>
        <w:pStyle w:val="Normal"/>
        <w:jc w:val="both"/>
      </w:pPr>
      <w:r>
        <w:rPr>
          <w:szCs w:val="22"/>
          <w:lang w:val="en-US" w:eastAsia="en-US" w:bidi="ar-SA"/>
          <w:rFonts w:ascii="Times New Roman" w:hAnsi="Times New Roman" w:eastAsia="Times New Roman" w:cs="Times New Roman"/>
          <w:sz w:val="24"/>
        </w:rPr>
        <w:t>A further engineering extension is to test person-conditioned adaptation. The existing apparatus already records a body-coupled pressure signal. Additional channels - such as reaction time, posture change, voice cues, brief in-the-moment self-report or facial-affect estimates - should be selected only if they add valid information, are proportionate to the risk, and are acceptable to participants. Signals would be synchronised with game events and used by a pre-specified, auditable policy. The evaluation criterion is incremental benefit: better prediction of retry and return, safer and more appropriate intervention, and no loss of comprehension, autonomy or challenge.</w:t>
      </w:r>
    </w:p>
    <w:p>
      <w:pPr>
        <w:pStyle w:val="Normal"/>
        <w:jc w:val="both"/>
      </w:pPr>
      <w:r>
        <w:rPr>
          <w:szCs w:val="22"/>
          <w:lang w:val="en-US" w:eastAsia="en-US" w:bidi="ar-SA"/>
          <w:rFonts w:ascii="Times New Roman" w:hAnsi="Times New Roman" w:eastAsia="Times New Roman" w:cs="Times New Roman"/>
          <w:sz w:val="24"/>
        </w:rPr>
        <w:t>A within-cohort coupled-versus-decoupled study is the decisive next test of the clinical-framing hypothesis. Participants would be recruited from one community sample and assigned to conditions with identical hardware, software, level structure, session length, staff support and follow-up. The primary outcome should be observed return within a pre-specified window; secondary outcomes should include repeated use, self-efficacy, perceived identity threat, fatigue, enjoyment, burden, comprehension and adverse events. A separate qualitative panel with non-returners would help distinguish reasons for attending once from reasons for intending regular use. This study should be distinguished from Stage 3B's adaptive and failure-presentation component contrasts. If the intervention includes an AI component, its protocol should use the SPIRIT-AI extension (Cruz Rivera et al., 2020), while its completed trial report should use CONSORT-AI (Liu et al., 2020).</w:t>
      </w:r>
    </w:p>
    <w:p>
      <w:pPr>
        <w:jc w:val="both"/>
      </w:pPr>
      <w:r>
        <w:t>A further proposition addresses the group-level possibility in §8.6B. Simple role-based or cooperative play is one candidate design response: a role might offer distance from a threatening appraisal, participation rewards might give a session value beyond its performance score, and shared goals might provide social support. These effects remain hypotheses. The design also presents costs that should be tested rather than presumed manageable. Unfamiliar role-play conventions may add entry demands; maintaining roles, rules and narratives may impose unwanted cognitive load; and individual clinical activities may not suit a group format. The intervention should therefore begin with a limited, comprehensible design and compare its acceptability and incremental benefit with simpler coaching or social support.</w:t>
      </w:r>
    </w:p>
    <w:p>
      <w:pPr>
        <w:jc w:val="both"/>
      </w:pPr>
      <w:r>
        <w:t>One candidate implementation is system-managed, optional narrative support with low demands on the user. Difficulty adaptation and narrative selection are separate functions: a future system could maintain continuity and offer a simple role while the participant retains control over whether to use that presentation. This proposal does not depend on attributing a particular model or rule-agent configuration to the completed deployments. Narrative content could respond within pre-specified limits to stated preferences and observed interaction, but should not claim knowledge of a participant's hidden identity or affect. Asynchronous contribution to shared goals is one possible way to add a social element without displaying individual clinical results. The design would need to demonstrate that the presentation is comprehensible, dignified and useful to its intended users. Optional narrative support should be compared with simpler alternatives, and its accumulated experience rewards should remain distinct from measures of capability.</w:t>
      </w:r>
    </w:p>
    <w:p>
      <w:pPr>
        <w:jc w:val="both"/>
      </w:pPr>
      <w:r>
        <w:t>The most speculative extension is transfer from role-mediated play to a person's response to difficulty outside the game. A narrative could present a setback as an event with a next action, but repeated rewarded participation is not itself evidence that appraisal habits have changed. The hypothesis has three separable links: a system can provide acceptable role support; that support improves appropriate engagement; and the resulting experience transfers to appraisal or behaviour beyond the game. The thesis supplies no evidence for the third link. Testing it would require measures outside the game, retention or transfer tasks, and observation after narrative support is withdrawn. This extension belongs to the future person-conditioned programme (§9.8B) and should not be used to establish the current framework's learning or innovation outcomes.</w:t>
      </w:r>
    </w:p>
    <w:p>
      <w:pPr>
        <w:pStyle w:val="Heading2"/>
      </w:pPr>
      <w:bookmarkStart w:id="153" w:name="_Toc232024641"/>
      <w:r>
        <w:rPr>
          <w:lang w:val="en-US" w:eastAsia="en-US" w:bidi="ar-SA"/>
          <w:color w:val="000000"/>
          <w:szCs w:val="22"/>
        </w:rPr>
        <w:t>8.9 Reproducibility and Data Availability</w:t>
      </w:r>
      <w:bookmarkEnd w:id="153"/>
    </w:p>
    <w:p>
      <w:pPr>
        <w:pStyle w:val="Normal"/>
        <w:jc w:val="both"/>
      </w:pPr>
      <w:r>
        <w:rPr>
          <w:szCs w:val="22"/>
          <w:lang w:val="en-US" w:eastAsia="en-US" w:bidi="ar-SA"/>
          <w:rFonts w:ascii="Times New Roman" w:hAnsi="Times New Roman" w:eastAsia="Times New Roman" w:cs="Times New Roman"/>
          <w:sz w:val="24"/>
        </w:rPr>
        <w:t>Because the central methodological contribution includes an artefact, reproducibility requires access to both data and implementation records. The record is stated in two registers so that the claim matches the deposit. Bound now are the source-to-result manifest and build-lineage matrix (Appendix G, items G.0 and G.0A); the de-identified Stage-2 participant dataset (Appendix G, item G.2); the Stage-3 data logbook with its codebook and the aggregate summary compiled in July 2026 (item G.3; its participant-level sheets are not populated); the photographic and screenshot record (items G.4 and G.6); the labelled synthetic pipeline-test workbook (item G.8); the further supplementary items listed in Appendix G; and the instrument documentation of Appendices A, C and D, whose completeness the third boundary below states exactly. Not deposited with this thesis, and listed in Appendix G with that status, are the cleaned Stage-1 survey response file (item G.1; the Stage-1 figures are carried with this limit in the abstract, §4.2 and Table 4.1); the deployed endpoint, model version and run-time settings of the Stage-2 Layer-2 call (item G.7 holds the August 2024 prototype's prompt template only; no claim rests on either); the Stage-2 build file and the game-state specification workbook (items G.0A and G.14); the archival scans of the completed Stage-2 interview forms and after-game questionnaire sheets (Appendix C; the satisfaction finding is reported with this limit in §5.5 and §8.3); and the written consent for the item G.10 demonstration videos (the figure that reproduces a frame from them is retained only on that stated status). The source-to-result manifest (item G.0) and the build-lineage matrix (item G.0A) are bound, and each row states what is and is not on record. The Stage-3B record to its 30 September 2026 cut-off — the protocol and analysis-hierarchy commits of 8–9 August 2026, the frozen study edition of 15 September 2026 with its freeze record and checksums, the as-received returns archive with its verification findings, and the Pro v4.1 self-test Batch 01 reports — is held in the thesis repository (docs/thesis/stage3b and docs/thesis/data_entry/incoming) and summarised in Appendix I; it is a descriptive record and carries no evidential weight in this thesis. Where an item cannot be shared openly, its entry states the access procedure and restrictions. File names alone are not sufficient unless the files are deposited with the thesis or in a governed repository accessible to examiners. The Stage-3 results reported in Chapter 6 come from the aggregate summary compiled in July 2026 from returns that arrived in mixed formats; a participant-level compilation that would let the summary be checked entry by entry cannot be made, because the returns were not retained as separate records (Appendix G, item G.3).</w:t>
      </w:r>
    </w:p>
    <w:p>
      <w:pPr>
        <w:pStyle w:val="Normal"/>
        <w:jc w:val="both"/>
      </w:pPr>
      <w:r>
        <w:rPr>
          <w:i w:val="0"/>
          <w:szCs w:val="22"/>
          <w:lang w:val="en-US" w:eastAsia="en-US" w:bidi="ar-SA"/>
          <w:rFonts w:ascii="Times New Roman" w:hAnsi="Times New Roman" w:eastAsia="Times New Roman" w:cs="Times New Roman"/>
          <w:sz w:val="24"/>
        </w:rPr>
        <w:t>Three reproducibility boundaries are material and are named here so that replication attempts are not misled. First, the InBody calibration function is a vendor component and is treated as a black box: replication on other hardware requires new calibration and may not reproduce the same signals. Second, third-party model endpoints change over time, and although the August 2024 prototype's prompt template and endpoint family are deposited (Appendix G, item G.7), the deployed Stage-2 build's own template, model version and run-time settings are not on record, so the exact Stage-2 run-time configuration cannot be reproduced from the record, and no claim in this thesis rests on it. Stage-2 play took place at the centre and was recorded by hand by the therapist beside the player, who logged the game states at the end of each game and then the FRA indices from the InBody FRA system, which measured in parallel from the footplate beneath the game's foot pad and kept its own data set, there being no application programming interface between the two (§5.2A); the game software's electronic session telemetry and AI-call records were not kept. Layer 3 had the capability to log them, but capability is not evidence, so no claim in this thesis rests on them. Third, the appendix record is stated exactly rather than claimed complete. The photographic record is bound (Appendix G, items G.4 and G.6). The instruments are documented at stated levels of completeness: Appendix A reproduces the six Stage-1 survey items; Appendix C documents the nine-item Stage-2 post-deployment interview instrument, with its full bilingual wording from the archived entry workbook, and the designed-but-not-administered F4 protocol, while archival scans of the completed forms and of the after-game questionnaire sheets are not filed with this thesis; and Appendix D reproduces the two Stage-3 items on the five-point format and with the wording confirmed by the author, noting the shorter labels used in the aggregate summary. No separate translation-procedure document is bound. The FIAS coding scheme is bound only at the level Appendix B states: the item-level codebook, its adjudication rules and inter-coder reliability are deliverables of the proposed confirmatory study (§8.8), and the composite carries no evidential weight in this thesis (§5.6). Consent instruments are not reproduced in the appendices; §3.4 states each stage's consent procedure exactly as it operated — gatekeeper consent and retrospective written consent from the sustained participants in Stage 2, and informed, implied consent in the Stage-3 remote deployment.</w:t>
      </w:r>
    </w:p>
    <w:p>
      <w:pPr>
        <w:pStyle w:val="Normal"/>
        <w:spacing w:after="200" w:line="276" w:lineRule="auto"/>
        <w:rPr>
          <w:rFonts w:asciiTheme="majorHAnsi" w:eastAsiaTheme="majorEastAsia" w:hAnsiTheme="majorHAnsi" w:cstheme="majorBidi"/>
          <w:b/>
          <w:bCs/>
          <w:color w:val="000000"/>
          <w:sz w:val="32"/>
          <w:szCs w:val="28"/>
        </w:rPr>
      </w:pPr>
      <w:bookmarkStart w:id="154" w:name="_Toc232024642"/>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8"/>
        </w:rPr>
        <w:t>Chapter 9 Conclusion</w:t>
      </w:r>
      <w:bookmarkEnd w:id="154"/>
    </w:p>
    <w:p>
      <w:pPr>
        <w:pStyle w:val="Heading2"/>
      </w:pPr>
      <w:bookmarkStart w:id="155" w:name="_Toc232024643"/>
      <w:r>
        <w:rPr>
          <w:lang w:val="en-US" w:eastAsia="en-US" w:bidi="ar-SA"/>
          <w:color w:val="000000"/>
          <w:szCs w:val="22"/>
        </w:rPr>
        <w:t>9.1 What This Programme Set Out to Do</w:t>
      </w:r>
      <w:bookmarkEnd w:id="155"/>
    </w:p>
    <w:p>
      <w:pPr>
        <w:pStyle w:val="Normal"/>
        <w:jc w:val="both"/>
      </w:pPr>
      <w:r>
        <w:rPr>
          <w:szCs w:val="22"/>
          <w:lang w:val="en-US" w:eastAsia="en-US" w:bidi="ar-SA"/>
          <w:rFonts w:ascii="Times New Roman" w:hAnsi="Times New Roman" w:eastAsia="Times New Roman" w:cs="Times New Roman"/>
          <w:sz w:val="24"/>
        </w:rPr>
        <w:t>The programme set out to identify and characterise failure-associated non-return to a gamified health technology, to examine whether participant-facing clinical framing may contribute to that pattern, and to translate the evidence into an engineering design response. Fall-risk assessment provided the working case, across a Guangzhou residential setting and a separate Hong Kong community setting. Under the title Gamification as Proactive Approach for Continuous Improvement and Innovation Enhancement, the proactive intervention point is an adverse or difficult experience before disengagement becomes established; continuous improvement has two distinct objects, the participant's supported learning and the engineering team's revision of the intervention; and innovation enhancement is expressed through the proposed integration of gameplay, measurement, truthful progress feedback and a documented redesign process on an existing technological platform. The contribution is positioned as a frame-sensitive engagement model and a testable continuous-improvement framework, not as a general theory of health-technology abandonment. In the architecture of Table 3.1, the programme formalised an initial design expectation (H0) from the best available acceptance and gamification theory, examined it in the field, and followed its non-confirmation in the deployed configuration to the programme's observations and its proposed design response. The completed research establishes a field problem and informs this specification; it does not demonstrate continuous gains in capability, preventive effectiveness or increased organisational innovation productivity.</w:t>
      </w:r>
    </w:p>
    <w:p>
      <w:pPr>
        <w:pStyle w:val="Normal"/>
        <w:jc w:val="both"/>
      </w:pPr>
      <w:r>
        <w:rPr>
          <w:i w:val="0"/>
          <w:szCs w:val="22"/>
          <w:lang w:val="en-US" w:eastAsia="en-US" w:bidi="ar-SA"/>
          <w:rFonts w:ascii="Times New Roman" w:hAnsi="Times New Roman" w:eastAsia="Times New Roman" w:cs="Times New Roman"/>
          <w:sz w:val="24"/>
        </w:rPr>
        <w:t>The programme was conducted as sequential exploratory action research. Its conclusion separates observed results, candidate explanations and proposed designs. This distinction is particularly important when an innovation requires change: revision can improve the design rationale without yet demonstrating a better participant or service outcome. The contribution is the resulting domain-specific engineering synthesis together with the bounded evidence from which it was developed.</w:t>
      </w:r>
    </w:p>
    <w:p>
      <w:pPr>
        <w:pStyle w:val="Heading2"/>
      </w:pPr>
      <w:bookmarkStart w:id="156" w:name="_Toc232024644"/>
      <w:r>
        <w:rPr>
          <w:lang w:val="en-US" w:eastAsia="en-US" w:bidi="ar-SA"/>
          <w:color w:val="000000"/>
          <w:szCs w:val="22"/>
        </w:rPr>
        <w:t>9.2 The Three-Stage Empirical Arc</w:t>
      </w:r>
      <w:bookmarkEnd w:id="156"/>
    </w:p>
    <w:p>
      <w:pPr>
        <w:pStyle w:val="Normal"/>
        <w:jc w:val="both"/>
      </w:pPr>
      <w:r>
        <w:rPr>
          <w:szCs w:val="22"/>
          <w:lang w:val="en-US" w:eastAsia="en-US" w:bidi="ar-SA"/>
          <w:rFonts w:ascii="Times New Roman" w:hAnsi="Times New Roman" w:eastAsia="Times New Roman" w:cs="Times New Roman"/>
          <w:sz w:val="24"/>
        </w:rPr>
        <w:t>Stage 1 used a six-item face-to-face survey to characterise a utilisation and non-return problem. Thirty-nine per cent reported prior FRA use, and a high proportion of prior users reported an adverse or unacceptable first experience and no subsequent return. Because the per-respondent response file is not archived (§4.2; Appendix G, item G.1), the two conditional figures are rounded approximations whose item-level counts are not reproduced, and the mapping of survey items to "failure" is interpretive (§4.8); working estimates of access and perceived benefit could not be traced to the archived instrument and are not reported. Stage 1 is therefore treated as descriptive and hypothesis-generating. It suggested that the first experience deserved direct prospective study and motivated the FIDS-to-FIAS conceptual revision.</w:t>
      </w:r>
    </w:p>
    <w:p>
      <w:pPr>
        <w:pStyle w:val="Normal"/>
        <w:jc w:val="both"/>
      </w:pPr>
      <w:r>
        <w:rPr>
          <w:szCs w:val="22"/>
          <w:lang w:val="en-US" w:eastAsia="en-US" w:bidi="ar-SA"/>
          <w:rFonts w:ascii="Times New Roman" w:hAnsi="Times New Roman" w:eastAsia="Times New Roman" w:cs="Times New Roman"/>
          <w:sz w:val="24"/>
        </w:rPr>
        <w:t>Stage 2 prospectively studied thirty residents over eight weeks using a dual-purpose AI-assisted skiing game. Seventy per cent of participants disengaged at or before three game cycles, and no re-engagement was observed among the low-engagement group during the study window. Five of eight single-session participants recorded an index increase (one of them the record that failed verification; §5.5); two of eight reported symptom improvement; none returned. These are separate descriptive margins; the archived joint count is three of the eight with a recorded score increase and no reported symptom improvement (two of seven excluding the unverified record S2-P015; §5.5, §8.3). This divergence motivated consideration of appraisal alongside measured performance, but it did not establish clinical benefit or directly measure endowment, mental accounting or stereotype threat. The initial theory-informed expectation of sustained engagement was not realised in this deployment. That outcome identifies a design problem; it does not falsify the acceptance models or the gamification literature (§2.3.5; §5.9).</w:t>
      </w:r>
    </w:p>
    <w:p>
      <w:pPr>
        <w:pStyle w:val="Normal"/>
        <w:jc w:val="both"/>
      </w:pPr>
      <w:r>
        <w:rPr>
          <w:szCs w:val="22"/>
          <w:lang w:val="en-US" w:eastAsia="en-US" w:bidi="ar-SA"/>
          <w:rFonts w:ascii="Times New Roman" w:hAnsi="Times New Roman" w:eastAsia="Times New Roman" w:cs="Times New Roman"/>
          <w:sz w:val="24"/>
        </w:rPr>
        <w:t>Stage 3 examined a participant-facing decoupling package in a separate Hong Kong cohort of 120 adults recruited through the author's networks, playing a separately built HTML version of the game, distributed mainly by e-mail, on their own computers or, for some older participants, on a pre-installed iPad with a research assistant beside them (§6.4). The skiing-game structure was retained in that build; the pressure-panel apparatus, clinical setting and in-person supervision were not, and clinical recruitment language, pre-session procedure, labels and participant-facing outputs were changed. Observed non-return was 6.7% overall and 14.6% in the 65–80 band. Fifteen of twenty-three initial dropouts returned overall; ten of sixteen returned in the 65–80 band. The result is a substantial behavioural difference and supports a frame-sensitive account, but the between-cohort design does not eliminate cohort and contextual alternatives. The coordination-item count is reported as a positive-coded response, not as a manipulation check or a direct measure of latent learning orientation.</w:t>
      </w:r>
    </w:p>
    <w:p>
      <w:pPr>
        <w:pStyle w:val="Normal"/>
        <w:jc w:val="both"/>
      </w:pPr>
      <w:r>
        <w:rPr>
          <w:szCs w:val="22"/>
          <w:lang w:val="en-US" w:eastAsia="en-US" w:bidi="ar-SA"/>
          <w:rFonts w:ascii="Times New Roman" w:hAnsi="Times New Roman" w:eastAsia="Times New Roman" w:cs="Times New Roman"/>
          <w:sz w:val="24"/>
        </w:rPr>
        <w:t>Stage 3B, a pre-specified (repository-dated) 2×2 component study crossing adaptive against static difficulty with zero-failure against game-over failure presentation, was built and distributed from August 2026 and frozen as a study edition on 15 September 2026. Its record, closed at 30 September 2026, comprises one verified return (15 August 2026), five researcher-solicited returns of 15 September 2026 excluded on verification, five clean-run returns from the frozen edition (played 16 and 29 September 2026; Appendix I), and a researcher self-test batch of the Pro v4.1 practice-proposal policy. After the initial round, the learning measurement was found not to be articulated to the adaptive-learning construct: immediate task performance is not durable learning, the clearance measure runs near ceiling, the course forms were not equivalent, and the adaptive arm was a support package of difficulty adjustment and coaching rather than difficulty alone. Stage 3B is therefore reported as a descriptive component-study record (§8.8; Appendix I) and is not used as a test of the adaptive-learning framework; the thesis concludes on the record of Stages 1, 2 and 3A, and adaptive learning is carried forward as discussion and future study.</w:t>
      </w:r>
    </w:p>
    <w:p>
      <w:pPr>
        <w:pStyle w:val="Heading2"/>
      </w:pPr>
      <w:r>
        <w:rPr>
          <w:color w:val="000000"/>
        </w:rPr>
        <w:t>9.2A The Programme Diary: How the Knowledge and Design Questions Evolved</w:t>
      </w:r>
    </w:p>
    <w:p>
      <w:pPr>
        <w:jc w:val="both"/>
      </w:pPr>
      <w:r>
        <w:t>Table 9.1 records the programme retrospectively, including its working explanations, observations and design revisions. Its purpose is to make the development of the argument visible. An explanation being reconsidered is not equivalent to its falsification: perceived competence, ordinary discontinuance, cohort differences and contextual demands remain viable alongside the proposed frame-sensitive account. Likewise, experience with a particular adaptation configuration does not establish that AI is necessary or unnecessary for every implementation. Future activities in the diary are plans rather than completed evidence. The continuous-improvement contribution lies in making those revisions and their reasons inspectable, while requiring outcome evaluation before a revised design is judged more effective.</w:t>
      </w:r>
    </w:p>
    <w:p>
      <w:pPr>
        <w:sectPr w:rsidR="0062437E" w:rsidSect="00034616">
          <w:footerReference w:type="default" r:id="rId22"/>
          <w:pgSz w:w="11906" w:h="16838"/>
          <w:pgMar w:top="1417" w:right="1417" w:bottom="1417" w:left="1984" w:header="720" w:footer="720" w:gutter="0"/>
          <w:pgNumType w:fmt="decimal"/>
          <w:cols w:space="720"/>
          <w:docGrid w:linePitch="360"/>
        </w:sectPr>
      </w:pPr>
    </w:p>
    <w:p>
      <w:pPr>
        <w:pStyle w:val="FigureCaption"/>
        <w:keepNext/>
        <w:pageBreakBefore/>
      </w:pPr>
      <w:r>
        <w:t>Table 9.1. The programme diary: knowledge evolution in programme order, 2023 – October 2026. The Stage 3B row records that study to its 30 September 2026 cut-off (§8.8; Appendix I).</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t>2023</w:t>
            </w:r>
          </w:p>
        </w:tc>
        <w:tc>
          <w:tcPr>
            <w:tcW w:type="dxa" w:w="2384"/>
          </w:tcPr>
          <w:p>
            <w:r>
              <w:t>Site observation at the operating facility</w:t>
            </w:r>
          </w:p>
        </w:tc>
        <w:tc>
          <w:tcPr>
            <w:tcW w:type="dxa" w:w="2460"/>
          </w:tcPr>
          <w:p>
            <w:r>
              <w:t>Industry experience of FRA operations; abandonment literature</w:t>
            </w:r>
          </w:p>
        </w:tc>
        <w:tc>
          <w:tcPr>
            <w:tcW w:type="dxa" w:w="3422"/>
          </w:tcPr>
          <w:p>
            <w:r>
              <w:t>The FIDS conjecture: device-associated discomfort as a candidate driver of non-return</w:t>
            </w:r>
          </w:p>
        </w:tc>
        <w:tc>
          <w:tcPr>
            <w:tcW w:type="dxa" w:w="3596"/>
          </w:tcPr>
          <w:p>
            <w:r>
              <w:t>- (starting conjecture recorded)</w:t>
            </w:r>
          </w:p>
        </w:tc>
      </w:tr>
      <w:tr>
        <w:trPr>
          <w:cantSplit/>
        </w:trPr>
        <w:tc>
          <w:tcPr>
            <w:tcW w:type="dxa" w:w="1575"/>
          </w:tcPr>
          <w:p>
            <w:r>
              <w:t>July-August 2024</w:t>
            </w:r>
          </w:p>
        </w:tc>
        <w:tc>
          <w:tcPr>
            <w:tcW w:type="dxa" w:w="2384"/>
          </w:tcPr>
          <w:p>
            <w:r>
              <w:t>Stage 1 retrospective survey (N=200 of 280)</w:t>
            </w:r>
          </w:p>
        </w:tc>
        <w:tc>
          <w:tcPr>
            <w:tcW w:type="dxa" w:w="2460"/>
          </w:tcPr>
          <w:p>
            <w:r>
              <w:t>FIDS conjecture</w:t>
            </w:r>
          </w:p>
        </w:tc>
        <w:tc>
          <w:tcPr>
            <w:tcW w:type="dxa" w:w="3422"/>
          </w:tcPr>
          <w:p>
            <w:r>
              <w:t>The utilisation/non-return problem quantified (aggregate record; the response file is not archived, §4.2, Appendix G item G.1); adverse device experience concentrated among prior users</w:t>
            </w:r>
          </w:p>
        </w:tc>
        <w:tc>
          <w:tcPr>
            <w:tcW w:type="dxa" w:w="3596"/>
          </w:tcPr>
          <w:p>
            <w:r>
              <w:t>Prior use did not ensure continued use; non-exposure alone does not describe the non-return reported by prior users</w:t>
            </w:r>
          </w:p>
        </w:tc>
      </w:tr>
      <w:tr>
        <w:trPr>
          <w:cantSplit/>
        </w:trPr>
        <w:tc>
          <w:tcPr>
            <w:tcW w:type="dxa" w:w="1575"/>
          </w:tcPr>
          <w:p>
            <w:r>
              <w:t>2023–2024</w:t>
            </w:r>
          </w:p>
        </w:tc>
        <w:tc>
          <w:tcPr>
            <w:tcW w:type="dxa" w:w="2384"/>
          </w:tcPr>
          <w:p>
            <w:r>
              <w:t>Game design and platform-coupling demonstration</w:t>
            </w:r>
          </w:p>
        </w:tc>
        <w:tc>
          <w:tcPr>
            <w:tcW w:type="dxa" w:w="2460"/>
          </w:tcPr>
          <w:p>
            <w:r>
              <w:t>Gamification and dynamic-difficulty literature</w:t>
            </w:r>
          </w:p>
        </w:tc>
        <w:tc>
          <w:tcPr>
            <w:tcW w:type="dxa" w:w="3422"/>
          </w:tcPr>
          <w:p>
            <w:r>
              <w:t>The dual-purpose skiing game as the programme's instrument (early prototypes; the AI-assisted workflow applies to the 2025+ build generations, §5.3.9)</w:t>
            </w:r>
          </w:p>
        </w:tc>
        <w:tc>
          <w:tcPr>
            <w:tcW w:type="dxa" w:w="3596"/>
          </w:tcPr>
          <w:p>
            <w:r>
              <w:t>-</w:t>
            </w:r>
          </w:p>
        </w:tc>
      </w:tr>
      <w:tr>
        <w:trPr>
          <w:cantSplit/>
        </w:trPr>
        <w:tc>
          <w:tcPr>
            <w:tcW w:type="dxa" w:w="1575"/>
          </w:tcPr>
          <w:p>
            <w:r>
              <w:rPr/>
              <w:t>June–August 2025 (eight weeks)</w:t>
            </w:r>
          </w:p>
        </w:tc>
        <w:tc>
          <w:tcPr>
            <w:tcW w:type="dxa" w:w="2384"/>
          </w:tcPr>
          <w:p>
            <w:r>
              <w:t>Stage 2 eight-week facility deployment (N=30)</w:t>
            </w:r>
          </w:p>
        </w:tc>
        <w:tc>
          <w:tcPr>
            <w:tcW w:type="dxa" w:w="2460"/>
          </w:tcPr>
          <w:p>
            <w:r>
              <w:t>Expectation that gamified delivery would sustain engagement</w:t>
            </w:r>
          </w:p>
        </w:tc>
        <w:tc>
          <w:tcPr>
            <w:tcW w:type="dxa" w:w="3422"/>
          </w:tcPr>
          <w:p>
            <w:r>
              <w:t>Seventy per cent disengagement at or before three cycles; divergence between recorded score improvement and non-return</w:t>
            </w:r>
          </w:p>
        </w:tc>
        <w:tc>
          <w:tcPr>
            <w:tcW w:type="dxa" w:w="3596"/>
          </w:tcPr>
          <w:p>
            <w:r>
              <w:t>Recorded performance alone did not explain return; competence, satisfaction and burden remain viable accounts alongside the provisional FIAS appraisal interpretation</w:t>
            </w:r>
          </w:p>
        </w:tc>
      </w:tr>
    </w:tbl>
    <w:p>
      <w:pPr>
        <w:pStyle w:val="FigureCaption"/>
        <w:keepNext/>
        <w:pageBreakBefore/>
      </w:pPr>
      <w:r>
        <w:t>Table 9.1. The programme diary (continued).</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t>April–July 2026</w:t>
            </w:r>
          </w:p>
        </w:tc>
        <w:tc>
          <w:tcPr>
            <w:tcW w:type="dxa" w:w="2384"/>
          </w:tcPr>
          <w:p>
            <w:r>
              <w:t>Stage 3 remote decoupled deployment (register N=120)</w:t>
            </w:r>
          </w:p>
        </w:tc>
        <w:tc>
          <w:tcPr>
            <w:tcW w:type="dxa" w:w="2460"/>
          </w:tcPr>
          <w:p>
            <w:r>
              <w:t>FIAS as a provisional description; framing and other participant/context explanations open</w:t>
            </w:r>
          </w:p>
        </w:tc>
        <w:tc>
          <w:tcPr>
            <w:tcW w:type="dxa" w:w="3422"/>
          </w:tcPr>
          <w:p>
            <w:r>
              <w:t>Different return behaviour in a separate deployment with changed clinical cues, input modality and context; descriptive difference between continued play and stated intention</w:t>
            </w:r>
          </w:p>
        </w:tc>
        <w:tc>
          <w:tcPr>
            <w:tcW w:type="dxa" w:w="3596"/>
          </w:tcPr>
          <w:p>
            <w:r>
              <w:t>The contrast motivated a frame-sensitive hypothesis without excluding cohort, modality, burden or other contextual explanations</w:t>
            </w:r>
          </w:p>
        </w:tc>
      </w:tr>
      <w:tr>
        <w:trPr>
          <w:cantSplit/>
        </w:trPr>
        <w:tc>
          <w:tcPr>
            <w:tcW w:type="dxa" w:w="1575"/>
          </w:tcPr>
          <w:p>
            <w:r>
              <w:t>March–September 2026</w:t>
            </w:r>
          </w:p>
        </w:tc>
        <w:tc>
          <w:tcPr>
            <w:tcW w:type="dxa" w:w="2384"/>
          </w:tcPr>
          <w:p>
            <w:r>
              <w:t>Expert consultation panel (four consultations with follow-ups)</w:t>
            </w:r>
          </w:p>
        </w:tc>
        <w:tc>
          <w:tcPr>
            <w:tcW w:type="dxa" w:w="2460"/>
          </w:tcPr>
          <w:p>
            <w:r>
              <w:t>Stage 1-3 findings and the FIDS-to-FIAS transition</w:t>
            </w:r>
          </w:p>
        </w:tc>
        <w:tc>
          <w:tcPr>
            <w:tcW w:type="dxa" w:w="3422"/>
          </w:tcPr>
          <w:p>
            <w:r>
              <w:t>Expert interpretations of the observations and proposed design; practical concerns about coaching, context and rewards</w:t>
            </w:r>
          </w:p>
        </w:tc>
        <w:tc>
          <w:tcPr>
            <w:tcW w:type="dxa" w:w="3596"/>
          </w:tcPr>
          <w:p>
            <w:r>
              <w:t>The team reconsidered practical support and implementation assumptions; participant mechanisms and comparative cost-effectiveness remained untested</w:t>
            </w:r>
          </w:p>
        </w:tc>
      </w:tr>
      <w:tr>
        <w:trPr>
          <w:cantSplit/>
        </w:trPr>
        <w:tc>
          <w:tcPr>
            <w:tcW w:type="dxa" w:w="1575"/>
          </w:tcPr>
          <w:p>
            <w:r>
              <w:t>6 August 2026 (approval period 16 Jun 2024 – 30 Oct 2026)</w:t>
            </w:r>
          </w:p>
        </w:tc>
        <w:tc>
          <w:tcPr>
            <w:tcW w:type="dxa" w:w="2384"/>
          </w:tcPr>
          <w:p>
            <w:r>
              <w:t>Ethics approval HSEARS20260805008</w:t>
            </w:r>
          </w:p>
        </w:tc>
        <w:tc>
          <w:tcPr>
            <w:tcW w:type="dxa" w:w="2460"/>
          </w:tcPr>
          <w:p>
            <w:r>
              <w:t>-</w:t>
            </w:r>
          </w:p>
        </w:tc>
        <w:tc>
          <w:tcPr>
            <w:tcW w:type="dxa" w:w="3422"/>
          </w:tcPr>
          <w:p>
            <w:r>
              <w:t>Formal approval received (exact date and authorised scope per the approval memo, §3.4)</w:t>
            </w:r>
          </w:p>
        </w:tc>
        <w:tc>
          <w:tcPr>
            <w:tcW w:type="dxa" w:w="3596"/>
          </w:tcPr>
          <w:p>
            <w:r>
              <w:t>-</w:t>
            </w:r>
          </w:p>
        </w:tc>
      </w:tr>
    </w:tbl>
    <w:p>
      <w:pPr>
        <w:pStyle w:val="FigureCaption"/>
        <w:keepNext/>
        <w:keepLines/>
        <w:jc w:val="center"/>
      </w:pPr>
      <w:r>
        <w:t>Table 9.1. The programme diary (continued).</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rPr/>
              <w:t>August–September 2026 (record closed 30 September 2026)</w:t>
            </w:r>
          </w:p>
        </w:tc>
        <w:tc>
          <w:tcPr>
            <w:tcW w:type="dxa" w:w="2384"/>
          </w:tcPr>
          <w:p>
            <w:r>
              <w:t>Stage 3B pre-specified (repository-dated) 2×2 component study, reported as a descriptive record</w:t>
            </w:r>
          </w:p>
        </w:tc>
        <w:tc>
          <w:tcPr>
            <w:tcW w:type="dxa" w:w="2460"/>
          </w:tcPr>
          <w:p>
            <w:r>
              <w:t>The adaptive-learning framework; the errorless-versus-graceful-failure question open</w:t>
            </w:r>
          </w:p>
        </w:tc>
        <w:tc>
          <w:tcPr>
            <w:tcW w:type="dxa" w:w="3422"/>
          </w:tcPr>
          <w:p>
            <w:r>
              <w:rPr>
                <w:highlight w:val="yellow"/>
              </w:rPr>
              <w:t>Protocol and analysis hierarchy repository-dated 8–9 August 2026, before recruitment; remote distribution through personal networks from 10 August; one verified return received 15 August 2026; frozen study edition 15 September 2026; five researcher-solicited returns of 15 September 2026 excluded on verification; five clean-run returns from the frozen edition (played 16 and 29 September 2026), listed in Appendix I (Table I.4); a researcher self-test batch of the Pro v4.1 practice-proposal policy (19–20 September 2026) documented separately (§8.8; Appendix I)</w:t>
            </w:r>
          </w:p>
        </w:tc>
        <w:tc>
          <w:tcPr>
            <w:tcW w:type="dxa" w:w="3596"/>
          </w:tcPr>
          <w:p>
            <w:r>
              <w:rPr>
                <w:highlight w:val="yellow"/>
              </w:rPr>
              <w:t>After the initial round, the learning measurement was found not to be articulated to the adaptive-learning construct (immediate task performance is not durable learning; clearance near ceiling; non-equivalent course forms; the adaptive arm is a support package of difficulty adjustment and coaching rather than difficulty alone). Stage 3B is therefore recorded as a descriptive component study and is not used to test the framework; adaptive/static and failure-presentation components remain future tests; clinical framing is not a factor</w:t>
            </w:r>
          </w:p>
        </w:tc>
      </w:tr>
      <w:tr>
        <w:trPr>
          <w:cantSplit/>
        </w:trPr>
        <w:tc>
          <w:tcPr>
            <w:tcW w:type="dxa" w:w="1575"/>
          </w:tcPr>
          <w:p>
            <w:r>
              <w:t>October 2026</w:t>
            </w:r>
          </w:p>
        </w:tc>
        <w:tc>
          <w:tcPr>
            <w:tcW w:type="dxa" w:w="2384"/>
          </w:tcPr>
          <w:p>
            <w:r>
              <w:t>Programme close and thesis completion</w:t>
            </w:r>
          </w:p>
        </w:tc>
        <w:tc>
          <w:tcPr>
            <w:tcW w:type="dxa" w:w="2460"/>
          </w:tcPr>
          <w:p>
            <w:r>
              <w:t>-</w:t>
            </w:r>
          </w:p>
        </w:tc>
        <w:tc>
          <w:tcPr>
            <w:tcW w:type="dxa" w:w="3422"/>
          </w:tcPr>
          <w:p>
            <w:r>
              <w:t>Synthesis of completed observations (Stages 1, 2 and 3A), candidate explanations and proposed engineering response; adaptive learning carried as discussion and future study</w:t>
            </w:r>
          </w:p>
        </w:tc>
        <w:tc>
          <w:tcPr>
            <w:tcW w:type="dxa" w:w="3596"/>
          </w:tcPr>
          <w:p>
            <w:r>
              <w:t>AI is treated as an implementation option whose incremental value requires comparison; no general necessity or sufficiency claim follows from a particular configuration</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Heading2"/>
      </w:pPr>
      <w:r>
        <w:rPr>
          <w:lang w:val="en-US" w:eastAsia="en-US" w:bidi="ar-SA"/>
          <w:color w:val="000000"/>
          <w:szCs w:val="22"/>
        </w:rPr>
        <w:t>9.3 The Central Finding: Contrasting Engagement Patterns Across Deployment Contexts</w:t>
      </w:r>
    </w:p>
    <w:p>
      <w:pPr>
        <w:pStyle w:val="Normal"/>
        <w:jc w:val="both"/>
      </w:pPr>
      <w:r>
        <w:rPr>
          <w:szCs w:val="22"/>
          <w:lang w:val="en-US" w:eastAsia="en-US" w:bidi="ar-SA"/>
          <w:rFonts w:ascii="Times New Roman" w:hAnsi="Times New Roman" w:eastAsia="Times New Roman" w:cs="Times New Roman"/>
          <w:sz w:val="24"/>
        </w:rPr>
        <w:t>The central empirical conclusion is that post-failure return differed substantially between the coupled Stage-2 context and the participant-facing decoupled Stage-3 context. The findings are consistent with the proposition that coupling a game to an artefact-based clinical assessment can change the behavioural meaning of failure for some older users. They do not prove that coupling alone caused non-return, that the proposed psychological mechanism operated in every participant, or that decoupling eliminates abandonment.</w:t>
      </w:r>
    </w:p>
    <w:p>
      <w:pPr>
        <w:pStyle w:val="Normal"/>
        <w:jc w:val="both"/>
      </w:pPr>
      <w:r>
        <w:rPr>
          <w:szCs w:val="22"/>
          <w:lang w:val="en-US" w:eastAsia="en-US" w:bidi="ar-SA"/>
          <w:rFonts w:ascii="Times New Roman" w:hAnsi="Times New Roman" w:eastAsia="Times New Roman" w:cs="Times New Roman"/>
          <w:sz w:val="24"/>
        </w:rPr>
        <w:t>Technical coupling means that an interaction contributes both to gameplay and to a measurement pathway. Participant-facing framing concerns how that interaction and its outputs are described and understood. Embodied task demand and the practical consequences of assessment are further, distinct dimensions. An adverse game event could therefore be interpreted as information about ability or independence, but this is a candidate appraisal pathway, not an observed mechanism. Stages 1 and 2 document the engagement problem in a clinically consequential setting; they do not directly establish endowment protection or mental-account closure.</w:t>
      </w:r>
    </w:p>
    <w:p>
      <w:pPr>
        <w:pStyle w:val="Normal"/>
        <w:jc w:val="both"/>
      </w:pPr>
      <w:r>
        <w:rPr>
          <w:szCs w:val="22"/>
          <w:lang w:val="en-US" w:eastAsia="en-US" w:bidi="ar-SA"/>
          <w:rFonts w:ascii="Times New Roman" w:hAnsi="Times New Roman" w:eastAsia="Times New Roman" w:cs="Times New Roman"/>
          <w:sz w:val="24"/>
        </w:rPr>
        <w:t>In Stage 3, participant-facing clinical cues were reduced through several coordinated changes, and post-failure return was common in the separate coordination-game cohort. This observation motivates testing the practical value of separating engagement feedback from immediate diagnostic-verdict presentation. Because cohort, platform, input device, setting and supervision also differed, the result cannot identify the effectiveness of that separation. It is exploratory field evidence for a contextual question whose causal components remain to be tested.</w:t>
      </w:r>
    </w:p>
    <w:p>
      <w:pPr>
        <w:pStyle w:val="Normal"/>
        <w:jc w:val="both"/>
      </w:pPr>
      <w:r>
        <w:rPr>
          <w:szCs w:val="22"/>
          <w:lang w:val="en-US" w:eastAsia="en-US" w:bidi="ar-SA"/>
          <w:rFonts w:ascii="Times New Roman" w:hAnsi="Times New Roman" w:eastAsia="Times New Roman" w:cs="Times New Roman"/>
          <w:sz w:val="24"/>
        </w:rPr>
        <w:t>FIAS is consequently retained as a provisional, non-diagnostic descriptor of failure-associated non-return, with the identity-related appraisal account stated separately. Neither the label nor non-return alone establishes active avoidance or its motive. The findings identify a candidate limit to transferring selected design principles into this assessment context; they do not locate a universal boundary at which gamification theory fails. Theoretical value depends on specifying and testing what the proposed account adds beyond perceived competence, satisfaction-based continuance, information avoidance and practical burden (Bandura, 1997; Bhattacherjee, 2001; Howell &amp; Shepperd, 2012). Construct validity, discriminant validity and incremental prediction remain open questions.</w:t>
      </w:r>
    </w:p>
    <w:p>
      <w:pPr>
        <w:jc w:val="both"/>
      </w:pPr>
      <w:r>
        <w:t>The finding can be stated more narrowly: recorded performance and the decision to return need not move together, and engagement differed across the two deployment contexts. Clinical meaning is a plausible contributor, while difficulty, design, burden, opportunity and participant characteristics remain possible explanations. This is sufficient to motivate a design response that attends to the interpretation of difficulty as well as to task performance.</w:t>
      </w:r>
    </w:p>
    <w:p>
      <w:pPr>
        <w:pStyle w:val="Heading2"/>
      </w:pPr>
      <w:r>
        <w:rPr>
          <w:color w:val="000000"/>
        </w:rPr>
        <w:t>9.3A From Observations to a Testable Engineering Response</w:t>
      </w:r>
    </w:p>
    <w:p>
      <w:pPr>
        <w:jc w:val="both"/>
      </w:pPr>
      <w:r>
        <w:rPr/>
        <w:t>The programme can be read in calendar order (Table 3.1A), through its retrospective research diary (Table 9.1), and as a sequence from evidence to engineering questions (Table 9.2). The latter is a chain of reasoning, not a demonstrated chain of causal effects. It distinguishes observed non-use and non-return, candidate appraisals, viable alternative explanations, and the proposed adaptive-learning response. Stage-1 never-users are not classified as having experienced failure-associated non-return. Facility assessment practices may also give clinical results practical consequences, which should remain distinct from an identity-threat explanation. Participant interpretations can inform the account where supported by documented records, but enjoyment of some game features cannot establish that gameplay or task demands played no part in withdrawal.</w:t>
      </w:r>
    </w:p>
    <w:p>
      <w:pPr>
        <w:pStyle w:val="FigureCaption"/>
        <w:keepNext/>
        <w:keepLines/>
      </w:pPr>
      <w:r>
        <w:t>Table 9.2. The sequence from empirical observations to candidate explanations and a proposed engineering response. Each entry identifies its evidence and evidential status; the sequence does not establish a causal chain.</w:t>
      </w:r>
    </w:p>
    <w:tbl>
      <w:tblPr>
        <w:tblStyle w:val="TableGrid"/>
        <w:tblW w:w="8505" w:type="dxa"/>
        <w:tblLayout w:type="fixed"/>
        <w:tblLook w:firstColumn="1" w:firstRow="1" w:lastColumn="0" w:lastRow="0" w:noHBand="0" w:noVBand="1" w:val="04A0"/>
      </w:tblPr>
      <w:tblGrid>
        <w:gridCol w:w="661"/>
        <w:gridCol w:w="3024"/>
        <w:gridCol w:w="3024"/>
        <w:gridCol w:w="1796"/>
      </w:tblGrid>
      <w:tr>
        <w:trPr>
          <w:tblHeader/>
          <w:cantSplit/>
        </w:trPr>
        <w:tc>
          <w:tcPr>
            <w:tcW w:w="661" w:type="dxa"/>
          </w:tcPr>
          <w:p>
            <w:pPr>
              <w:keepNext w:val="0"/>
              <w:keepLines/>
            </w:pPr>
            <w:r>
              <w:rPr>
                <w:rFonts w:ascii="Times New Roman" w:hAnsi="Times New Roman"/>
                <w:b/>
                <w:sz w:val="16"/>
              </w:rPr>
              <w:t>Link</w:t>
            </w:r>
          </w:p>
        </w:tc>
        <w:tc>
          <w:tcPr>
            <w:tcW w:w="3024" w:type="dxa"/>
          </w:tcPr>
          <w:p>
            <w:pPr>
              <w:keepNext w:val="0"/>
              <w:keepLines/>
            </w:pPr>
            <w:r>
              <w:rPr>
                <w:rFonts w:ascii="Times New Roman" w:hAnsi="Times New Roman"/>
                <w:b/>
                <w:sz w:val="18"/>
              </w:rPr>
              <w:t>Observation, interpretation or proposal</w:t>
            </w:r>
          </w:p>
        </w:tc>
        <w:tc>
          <w:tcPr>
            <w:tcW w:w="3024" w:type="dxa"/>
          </w:tcPr>
          <w:p>
            <w:pPr>
              <w:keepNext w:val="0"/>
              <w:keepLines/>
            </w:pPr>
            <w:r>
              <w:rPr>
                <w:rFonts w:ascii="Times New Roman" w:hAnsi="Times New Roman"/>
                <w:b/>
                <w:sz w:val="18"/>
              </w:rPr>
              <w:t>Principal evidence</w:t>
            </w:r>
          </w:p>
        </w:tc>
        <w:tc>
          <w:tcPr>
            <w:tcW w:w="1796" w:type="dxa"/>
          </w:tcPr>
          <w:p>
            <w:pPr>
              <w:keepNext w:val="0"/>
              <w:keepLines/>
            </w:pPr>
            <w:r>
              <w:rPr>
                <w:rFonts w:ascii="Times New Roman" w:hAnsi="Times New Roman"/>
                <w:b/>
                <w:sz w:val="18"/>
              </w:rPr>
              <w:t>Status</w:t>
            </w:r>
          </w:p>
        </w:tc>
      </w:tr>
      <w:tr>
        <w:trPr>
          <w:cantSplit/>
        </w:trPr>
        <w:tc>
          <w:tcPr>
            <w:tcW w:w="661" w:type="dxa"/>
          </w:tcPr>
          <w:p>
            <w:r>
              <w:t>1</w:t>
            </w:r>
          </w:p>
        </w:tc>
        <w:tc>
          <w:tcPr>
            <w:tcW w:w="3024" w:type="dxa"/>
          </w:tcPr>
          <w:p>
            <w:r>
              <w:t>The studied FRA station was underused despite its intended clinical value</w:t>
            </w:r>
          </w:p>
        </w:tc>
        <w:tc>
          <w:tcPr>
            <w:tcW w:w="3024" w:type="dxa"/>
          </w:tcPr>
          <w:p>
            <w:r>
              <w:t>Site observation, 2023; Stage-1 utilisation record (Chapter 4)</w:t>
            </w:r>
          </w:p>
        </w:tc>
        <w:tc>
          <w:tcPr>
            <w:tcW w:w="1796" w:type="dxa"/>
          </w:tcPr>
          <w:p>
            <w:r>
              <w:t>Observed</w:t>
            </w:r>
          </w:p>
        </w:tc>
      </w:tr>
      <w:tr>
        <w:trPr>
          <w:cantSplit/>
        </w:trPr>
        <w:tc>
          <w:tcPr>
            <w:tcW w:w="661" w:type="dxa"/>
          </w:tcPr>
          <w:p>
            <w:r>
              <w:t>2</w:t>
            </w:r>
          </w:p>
        </w:tc>
        <w:tc>
          <w:tcPr>
            <w:tcW w:w="3024" w:type="dxa"/>
          </w:tcPr>
          <w:p>
            <w:r>
              <w:t>Prior FRA users reported adverse first experiences and non-return; assessment demands and practical consequences are candidate contributors</w:t>
            </w:r>
          </w:p>
        </w:tc>
        <w:tc>
          <w:tcPr>
            <w:tcW w:w="3024" w:type="dxa"/>
          </w:tcPr>
          <w:p>
            <w:r>
              <w:t>Stage-1 survey, N=200 (aggregate record; per-respondent response file not archived, §4.2, Appendix G item G.1), plus facility operating practice (Chapter 4)</w:t>
            </w:r>
          </w:p>
        </w:tc>
        <w:tc>
          <w:tcPr>
            <w:tcW w:w="1796" w:type="dxa"/>
          </w:tcPr>
          <w:p>
            <w:r>
              <w:t>Observed reports; self-efficacy and consequence-avoidance interpretations remain provisional</w:t>
            </w:r>
          </w:p>
        </w:tc>
      </w:tr>
      <w:tr>
        <w:trPr>
          <w:cantSplit/>
        </w:trPr>
        <w:tc>
          <w:tcPr>
            <w:tcW w:w="661" w:type="dxa"/>
          </w:tcPr>
          <w:p>
            <w:r>
              <w:t>3</w:t>
            </w:r>
          </w:p>
        </w:tc>
        <w:tc>
          <w:tcPr>
            <w:tcW w:w="3024" w:type="dxa"/>
          </w:tcPr>
          <w:p>
            <w:r>
              <w:t>The implemented acceptance-informed, gamified FRA did not sustain engagement for most Stage-2 participants</w:t>
            </w:r>
          </w:p>
        </w:tc>
        <w:tc>
          <w:tcPr>
            <w:tcW w:w="3024" w:type="dxa"/>
          </w:tcPr>
          <w:p>
            <w:r>
              <w:t>Stage 2: 70% disengaged at &lt;=3 cycles; 0/21 re-engagement (Chapter 5)</w:t>
            </w:r>
          </w:p>
        </w:tc>
        <w:tc>
          <w:tcPr>
            <w:tcW w:w="1796" w:type="dxa"/>
          </w:tcPr>
          <w:p>
            <w:r>
              <w:t>Observed</w:t>
            </w:r>
          </w:p>
        </w:tc>
      </w:tr>
      <w:tr>
        <w:trPr>
          <w:cantSplit/>
        </w:trPr>
        <w:tc>
          <w:tcPr>
            <w:tcW w:w="661" w:type="dxa"/>
          </w:tcPr>
          <w:p>
            <w:r>
              <w:t>4</w:t>
            </w:r>
          </w:p>
        </w:tc>
        <w:tc>
          <w:tcPr>
            <w:tcW w:w="3024" w:type="dxa"/>
          </w:tcPr>
          <w:p>
            <w:r>
              <w:t>Favourable recorded performance and continued participation need not coincide</w:t>
            </w:r>
          </w:p>
        </w:tc>
        <w:tc>
          <w:tcPr>
            <w:tcW w:w="3024" w:type="dxa"/>
          </w:tcPr>
          <w:p>
            <w:r>
              <w:t>Recorded-score/return divergence (§5.6); satisfaction–engagement association; viable discontinuance alternatives (§8.5.9)</w:t>
            </w:r>
          </w:p>
        </w:tc>
        <w:tc>
          <w:tcPr>
            <w:tcW w:w="1796" w:type="dxa"/>
          </w:tcPr>
          <w:p>
            <w:r>
              <w:t>Observed divergence; mechanisms not discriminated</w:t>
            </w:r>
          </w:p>
        </w:tc>
      </w:tr>
      <w:tr>
        <w:trPr>
          <w:cantSplit/>
        </w:trPr>
        <w:tc>
          <w:tcPr>
            <w:tcW w:w="661" w:type="dxa"/>
          </w:tcPr>
          <w:p>
            <w:r>
              <w:t>5</w:t>
            </w:r>
          </w:p>
        </w:tc>
        <w:tc>
          <w:tcPr>
            <w:tcW w:w="3024" w:type="dxa"/>
          </w:tcPr>
          <w:p>
            <w:r>
              <w:t>Perceived capability may influence continuation even when recorded performance improves</w:t>
            </w:r>
          </w:p>
        </w:tc>
        <w:tc>
          <w:tcPr>
            <w:tcW w:w="3024" w:type="dxa"/>
          </w:tcPr>
          <w:p>
            <w:r>
              <w:t>Self-efficacy account (§2.4.4); Stage-2 performance and return observations</w:t>
            </w:r>
          </w:p>
        </w:tc>
        <w:tc>
          <w:tcPr>
            <w:tcW w:w="1796" w:type="dxa"/>
          </w:tcPr>
          <w:p>
            <w:r>
              <w:t>Viable explanation requiring direct measurement</w:t>
            </w:r>
          </w:p>
        </w:tc>
      </w:tr>
      <w:tr>
        <w:trPr>
          <w:cantSplit/>
        </w:trPr>
        <w:tc>
          <w:tcPr>
            <w:tcW w:w="661" w:type="dxa"/>
          </w:tcPr>
          <w:p>
            <w:r>
              <w:t>6</w:t>
            </w:r>
          </w:p>
        </w:tc>
        <w:tc>
          <w:tcPr>
            <w:tcW w:w="3024" w:type="dxa"/>
          </w:tcPr>
          <w:p>
            <w:r>
              <w:t>Identity-relevant loss appraisal is one proposed explanation of the provisional FIAS pattern</w:t>
            </w:r>
          </w:p>
        </w:tc>
        <w:tc>
          <w:tcPr>
            <w:tcW w:w="3024" w:type="dxa"/>
          </w:tcPr>
          <w:p>
            <w:r>
              <w:t>Proposed appraisal account (§5.6–§5.7); expert interpretation (§6.12, Appendix H)</w:t>
            </w:r>
          </w:p>
        </w:tc>
        <w:tc>
          <w:tcPr>
            <w:tcW w:w="1796" w:type="dxa"/>
          </w:tcPr>
          <w:p>
            <w:r>
              <w:t>Hypothesised mechanism; construct and incremental explanatory value unvalidated</w:t>
            </w:r>
          </w:p>
        </w:tc>
      </w:tr>
      <w:tr>
        <w:trPr>
          <w:cantSplit/>
        </w:trPr>
        <w:tc>
          <w:tcPr>
            <w:tcW w:w="661" w:type="dxa"/>
          </w:tcPr>
          <w:p>
            <w:r>
              <w:t>7</w:t>
            </w:r>
          </w:p>
        </w:tc>
        <w:tc>
          <w:tcPr>
            <w:tcW w:w="3024" w:type="dxa"/>
          </w:tcPr>
          <w:p>
            <w:r>
              <w:t>The remote Stage-3 cohort showed substantial engagement and return under a different package and context</w:t>
            </w:r>
          </w:p>
        </w:tc>
        <w:tc>
          <w:tcPr>
            <w:tcW w:w="3024" w:type="dxa"/>
          </w:tcPr>
          <w:p>
            <w:r>
              <w:t>Stage 3: 85.4% continued or resumed play (65–80); observed return in the separate cohort (Chapter 6)</w:t>
            </w:r>
          </w:p>
        </w:tc>
        <w:tc>
          <w:tcPr>
            <w:tcW w:w="1796" w:type="dxa"/>
          </w:tcPr>
          <w:p>
            <w:r>
              <w:t>Observed; framing, cohort, modality and design contributions not isolated</w:t>
            </w:r>
          </w:p>
        </w:tc>
      </w:tr>
      <w:tr>
        <w:trPr>
          <w:cantSplit/>
        </w:trPr>
        <w:tc>
          <w:tcPr>
            <w:tcW w:w="661" w:type="dxa"/>
          </w:tcPr>
          <w:p>
            <w:r>
              <w:t>8</w:t>
            </w:r>
          </w:p>
        </w:tc>
        <w:tc>
          <w:tcPr>
            <w:tcW w:w="3024" w:type="dxa"/>
          </w:tcPr>
          <w:p>
            <w:r>
              <w:t>A candidate limit to transferring selected gamification design principles into this clinically consequential setting</w:t>
            </w:r>
          </w:p>
        </w:tc>
        <w:tc>
          <w:tcPr>
            <w:tcW w:w="3024" w:type="dxa"/>
          </w:tcPr>
          <w:p>
            <w:r>
              <w:t>Stages 2-3 jointly (§8.1)</w:t>
            </w:r>
          </w:p>
        </w:tc>
        <w:tc>
          <w:tcPr>
            <w:tcW w:w="1796" w:type="dxa"/>
          </w:tcPr>
          <w:p>
            <w:r>
              <w:t>Contextual interpretation motivating a controlled test</w:t>
            </w:r>
          </w:p>
        </w:tc>
      </w:tr>
      <w:tr>
        <w:trPr>
          <w:cantSplit/>
        </w:trPr>
        <w:tc>
          <w:tcPr>
            <w:tcW w:w="661" w:type="dxa"/>
          </w:tcPr>
          <w:p>
            <w:r>
              <w:t>9</w:t>
            </w:r>
          </w:p>
        </w:tc>
        <w:tc>
          <w:tcPr>
            <w:tcW w:w="3024" w:type="dxa"/>
          </w:tcPr>
          <w:p>
            <w:r>
              <w:t>Proposed adaptive-learning framework with non-terminal feedback and credible progress under task or controller changes</w:t>
            </w:r>
          </w:p>
        </w:tc>
        <w:tc>
          <w:tcPr>
            <w:tcW w:w="3024" w:type="dxa"/>
          </w:tcPr>
          <w:p>
            <w:r>
              <w:t>Engineering synthesis (Chapter 7); Stage 3B 2×2 component-study record, closed 30 September 2026 (§8.8; Appendix I); separate framing comparison proposed</w:t>
            </w:r>
          </w:p>
        </w:tc>
        <w:tc>
          <w:tcPr>
            <w:tcW w:w="1796" w:type="dxa"/>
          </w:tcPr>
          <w:p>
            <w:r>
              <w:t>Proposed; complete framework and progress specification not evaluated; Stage 3B not used as their test because its learning measure was not articulated to the construct</w:t>
            </w:r>
          </w:p>
        </w:tc>
      </w:tr>
      <w:tr>
        <w:trPr>
          <w:cantSplit/>
        </w:trPr>
        <w:tc>
          <w:tcPr>
            <w:tcW w:w="661" w:type="dxa"/>
          </w:tcPr>
          <w:p>
            <w:r>
              <w:t>10</w:t>
            </w:r>
          </w:p>
        </w:tc>
        <w:tc>
          <w:tcPr>
            <w:tcW w:w="3024" w:type="dxa"/>
          </w:tcPr>
          <w:p>
            <w:r>
              <w:t>Habit formation, appraisal transfer and multi-party or group influences</w:t>
            </w:r>
          </w:p>
        </w:tc>
        <w:tc>
          <w:tcPr>
            <w:tcW w:w="3024" w:type="dxa"/>
          </w:tcPr>
          <w:p>
            <w:r>
              <w:t>§8.6B concession; §8.8 propositions; §9.8B</w:t>
            </w:r>
          </w:p>
        </w:tc>
        <w:tc>
          <w:tcPr>
            <w:tcW w:w="1796" w:type="dxa"/>
          </w:tcPr>
          <w:p>
            <w:r>
              <w:t>Future research hypotheses</w:t>
            </w:r>
          </w:p>
        </w:tc>
      </w:tr>
    </w:tbl>
    <w:p>
      <w:pPr>
        <w:pStyle w:val="Heading2"/>
      </w:pPr>
      <w:bookmarkStart w:id="157" w:name="_Toc232024646"/>
      <w:bookmarkEnd w:id="157"/>
      <w:r>
        <w:rPr>
          <w:lang w:val="en-US" w:eastAsia="en-US" w:bidi="ar-SA"/>
          <w:color w:val="000000"/>
          <w:szCs w:val="22"/>
        </w:rPr>
        <w:t>9.4 Implications for Gamification in Older-Adult Assessment</w:t>
      </w:r>
    </w:p>
    <w:p>
      <w:pPr>
        <w:pStyle w:val="Normal"/>
        <w:jc w:val="both"/>
      </w:pPr>
      <w:r>
        <w:rPr>
          <w:szCs w:val="22"/>
          <w:lang w:val="en-US" w:eastAsia="en-US" w:bidi="ar-SA"/>
          <w:rFonts w:ascii="Times New Roman" w:hAnsi="Times New Roman" w:eastAsia="Times New Roman" w:cs="Times New Roman"/>
          <w:sz w:val="24"/>
        </w:rPr>
        <w:t>Stage 3 showed that many older participants in its cohort engaged with and returned to the coordination game. This is consistent with prior older-adult gamification research, but it is not a replication against a universal literature-predicted retention benchmark. Nor does the contrast locate failure exclusively in clinical language or interpretation. The useful implication is that selected game mechanics should be evaluated within the population, physical task and institutional setting in which success and difficulty acquire meaning. The present programme contributes a specific assessment case and a proposed engineering response to that contextual problem.</w:t>
      </w:r>
    </w:p>
    <w:p>
      <w:pPr>
        <w:pStyle w:val="Normal"/>
        <w:jc w:val="both"/>
      </w:pPr>
      <w:r>
        <w:rPr>
          <w:szCs w:val="22"/>
          <w:lang w:val="en-US" w:eastAsia="en-US" w:bidi="ar-SA"/>
          <w:rFonts w:ascii="Times New Roman" w:hAnsi="Times New Roman" w:eastAsia="Times New Roman" w:cs="Times New Roman"/>
          <w:sz w:val="24"/>
        </w:rPr>
        <w:t>Stage 3 altered lexical language, pre-session procedure, participant-facing interface and clinical-output presentation alongside cohort and delivery conditions. Its engagement pattern is therefore an observation under a combined package and context. Future controlled component studies should estimate which changes contribute to outcomes and whether their effects depend on one another.</w:t>
      </w:r>
    </w:p>
    <w:p>
      <w:pPr>
        <w:pStyle w:val="Normal"/>
        <w:jc w:val="both"/>
      </w:pPr>
      <w:r>
        <w:rPr>
          <w:szCs w:val="22"/>
          <w:lang w:val="en-US" w:eastAsia="en-US" w:bidi="ar-SA"/>
          <w:rFonts w:ascii="Times New Roman" w:hAnsi="Times New Roman" w:eastAsia="Times New Roman" w:cs="Times New Roman"/>
          <w:sz w:val="24"/>
        </w:rPr>
        <w:t>The industry implication is a design principle rather than a universal rule: where sustained engagement is required, measurement and engagement functions may share hardware and sensor data while using carefully separated participant-facing pathways. The design must remain truthful, clinically safe and transparent about data use. Decoupling should reduce unnecessary verdict-like cues, not conceal risk or deny users access to clinically important information.</w:t>
      </w:r>
    </w:p>
    <w:p>
      <w:pPr>
        <w:pStyle w:val="Heading2"/>
      </w:pPr>
      <w:bookmarkStart w:id="158" w:name="_Toc232024647"/>
      <w:bookmarkEnd w:id="158"/>
      <w:r>
        <w:rPr>
          <w:lang w:val="en-US" w:eastAsia="en-US" w:bidi="ar-SA"/>
          <w:color w:val="000000"/>
          <w:szCs w:val="22"/>
        </w:rPr>
        <w:t>9.5 Adaptive Learning and Credible Improvement Under Change</w:t>
      </w:r>
    </w:p>
    <w:p>
      <w:pPr>
        <w:pStyle w:val="Normal"/>
        <w:jc w:val="both"/>
      </w:pPr>
      <w:r>
        <w:rPr>
          <w:szCs w:val="22"/>
          <w:lang w:val="en-US" w:eastAsia="en-US" w:bidi="ar-SA"/>
          <w:rFonts w:ascii="Times New Roman" w:hAnsi="Times New Roman" w:eastAsia="Times New Roman" w:cs="Times New Roman"/>
          <w:sz w:val="24"/>
        </w:rPr>
        <w:t>Decoupling did not answer every engagement question. In the 65–80 group, continued or resumed play (dropouts who played again included) was 85.4% and stated regular-use intention was 56.1%. The 29.3-percentage-point difference is descriptive and may reflect fatigue, access, burden, perceived relevance, enjoyment, motor difficulty, novelty or other factors. The present data do not show that the same identity mechanism caused the difference.</w:t>
      </w:r>
    </w:p>
    <w:p>
      <w:pPr>
        <w:pStyle w:val="Normal"/>
        <w:jc w:val="both"/>
      </w:pPr>
      <w:r>
        <w:rPr>
          <w:szCs w:val="22"/>
          <w:lang w:val="en-US" w:eastAsia="en-US" w:bidi="ar-SA"/>
          <w:rFonts w:ascii="Times New Roman" w:hAnsi="Times New Roman" w:eastAsia="Times New Roman" w:cs="Times New Roman"/>
          <w:sz w:val="24"/>
        </w:rPr>
        <w:t>Adaptive learning is proposed as an engineering response, informed by established work on learning and adaptive challenge, rather than a newly discovered or uniquely necessary behavioural driver. The adaptive-learning framework combines identity disentanglement, trajectory feedback and adaptive calibration. Its intended role is to make difficulty informative and the next step actionable. Chapter 7 adds the condition that makes the trajectory credible: assistance, difficulty, task and controller changes must be visible in the record, and participation rewards must be separated from performance and evidence of learning. A participant may complete more activity while requiring more support; an innovation may become more usable after redesign while producing outcomes that are no longer directly comparable. In either case, the display should state what changed and what can be compared. Stable anchor checks, where feasible and appropriate, support comparison; an incompatible redesign requires an explicit discontinuity rather than a new baseline that conceals earlier decline. Plateaus, setbacks and uncertainty are legitimate results. Retained or transferred learning requires evidence beyond immediate performance (Soderstrom &amp; Bjork, 2015). The framework and this progress specification remain untested as a complete package. Stage 3 does not establish their effectiveness, and the Stage 3B component study is not used as their test: after its initial round, its learning measurement was found not to be articulated to the adaptive-learning construct — immediate task performance is not durable learning — so its record is reported descriptively (§8.8; Appendix I) and adaptive learning is carried forward as discussion and future study. Future evaluation should compare them with decoupling alone and with simpler support alternatives, using a learning measure that goes beyond immediate performance.</w:t>
      </w:r>
    </w:p>
    <w:p>
      <w:pPr>
        <w:pStyle w:val="Heading2"/>
      </w:pPr>
      <w:r>
        <w:rPr>
          <w:lang w:val="en-US" w:eastAsia="en-US" w:bidi="ar-SA"/>
          <w:color w:val="000000"/>
          <w:szCs w:val="22"/>
        </w:rPr>
        <w:t>9.6 Competing Appraisal Regimes: Endowment Protection and Learning Trajectory</w:t>
      </w:r>
    </w:p>
    <w:p>
      <w:pPr>
        <w:pStyle w:val="Normal"/>
        <w:jc w:val="both"/>
      </w:pPr>
      <w:r>
        <w:rPr>
          <w:szCs w:val="22"/>
          <w:lang w:val="en-US" w:eastAsia="en-US" w:bidi="ar-SA"/>
          <w:rFonts w:ascii="Times New Roman" w:hAnsi="Times New Roman" w:eastAsia="Times New Roman" w:cs="Times New Roman"/>
          <w:sz w:val="24"/>
        </w:rPr>
        <w:t>The relationship between identity protection and learning trajectory is a theoretical proposition, not an empirical demonstration of mutual exclusion.</w:t>
      </w:r>
    </w:p>
    <w:p>
      <w:pPr>
        <w:pStyle w:val="Normal"/>
        <w:jc w:val="both"/>
      </w:pPr>
      <w:r>
        <w:rPr>
          <w:szCs w:val="22"/>
          <w:lang w:val="en-US" w:eastAsia="en-US" w:bidi="ar-SA"/>
          <w:rFonts w:ascii="Times New Roman" w:hAnsi="Times New Roman" w:eastAsia="Times New Roman" w:cs="Times New Roman"/>
          <w:sz w:val="24"/>
        </w:rPr>
        <w:t>An endowment-protective appraisal treats an adverse result as a threat to a valued, relatively stable self-description. A learning-trajectory appraisal treats the same result as information about present position and next action. Both appraisals can coexist within a person, and their relative influence may vary by context, history, culture, support and task.</w:t>
      </w:r>
    </w:p>
    <w:p>
      <w:pPr>
        <w:pStyle w:val="Normal"/>
        <w:jc w:val="both"/>
      </w:pPr>
      <w:r>
        <w:rPr>
          <w:szCs w:val="22"/>
          <w:lang w:val="en-US" w:eastAsia="en-US" w:bidi="ar-SA"/>
          <w:rFonts w:ascii="Times New Roman" w:hAnsi="Times New Roman" w:eastAsia="Times New Roman" w:cs="Times New Roman"/>
          <w:sz w:val="24"/>
        </w:rPr>
        <w:t>The engineering objective is to support a credible interpretation of difficulty without denying identity, removing all challenge or obscuring clinically meaningful information. A trajectory may show improvement, stability, increased support needs or deterioration; truthful feedback should help the participant understand those possibilities and choose the next step. Mastery-oriented feedback, appropriate challenge and user choice may influence appraisal, but their effects require direct measurement. Apparent score gains produced by easier tasks or stronger assistance should not be presented as demonstrated capability gains (Chapter 7; Soderstrom &amp; Bjork, 2015).</w:t>
      </w:r>
    </w:p>
    <w:p>
      <w:pPr>
        <w:pStyle w:val="Normal"/>
        <w:jc w:val="both"/>
      </w:pPr>
      <w:r>
        <w:rPr>
          <w:szCs w:val="22"/>
          <w:lang w:val="en-US" w:eastAsia="en-US" w:bidi="ar-SA"/>
          <w:rFonts w:ascii="Times New Roman" w:hAnsi="Times New Roman" w:eastAsia="Times New Roman" w:cs="Times New Roman"/>
          <w:sz w:val="24"/>
        </w:rPr>
        <w:t>The thesis consequently reformulates its strongest structural claim: endowment-protective and learning-trajectory appraisals are competing interpretive regimes. The adaptive-learning framework is designed to increase the salience of the latter. WTA-WTP asymmetry, identity appraisal and changes in self-efficacy are future measurement targets, not established mediators in the current dataset.</w:t>
      </w:r>
    </w:p>
    <w:p>
      <w:pPr>
        <w:pStyle w:val="Heading2"/>
      </w:pPr>
      <w:bookmarkStart w:id="159" w:name="_Toc232024649"/>
      <w:bookmarkEnd w:id="159"/>
      <w:r>
        <w:rPr>
          <w:lang w:val="en-US" w:eastAsia="en-US" w:bidi="ar-SA"/>
          <w:color w:val="000000"/>
          <w:szCs w:val="22"/>
        </w:rPr>
        <w:t>9.7 Contributions to Engineering and Theory</w:t>
      </w:r>
    </w:p>
    <w:p>
      <w:pPr>
        <w:pStyle w:val="Normal"/>
        <w:jc w:val="both"/>
      </w:pPr>
      <w:commentRangeStart w:id="8"/>
      <w:r>
        <w:rPr>
          <w:i w:val="0"/>
          <w:szCs w:val="22"/>
          <w:lang w:val="en-US" w:eastAsia="en-US" w:bidi="ar-SA"/>
          <w:rFonts w:ascii="Times New Roman" w:hAnsi="Times New Roman" w:eastAsia="Times New Roman" w:cs="Times New Roman"/>
          <w:sz w:val="24"/>
        </w:rPr>
        <w:t>The principal contribution is a domain-specific engineering synthesis for proactive support and continuous improvement in gamified assessment. It translates an observed engagement problem into an interaction architecture and evaluation requirements that another engineering team can inspect and test. The empirical contribution is the documented non-return pattern, its divergence from recorded performance, and the contrasting engagement observed in a separate deployment. The theoretical contribution is a provisional FIAS description and a frame-sensitive appraisal hypothesis, situated among established explanations of competence, continuance and avoidance. The industrial contribution - the innovation-enhancement element of the title - is the integration of these elements with a two-loop specification: participant support during difficulty, and accountable system revision when the design does not achieve its aims. Adaptive learning itself is prior knowledge; its proposed integration for this assessment problem, including credible progress under task and controller changes, is the thesis's design contribution. The methodological contribution - the sequential exploratory action-research design and the dual-purpose mechanic - is stated in §8.2. Mechanisms, incremental effectiveness, retained learning and transfer remain to be evaluated.</w:t>
      </w:r>
      <w:commentRangeEnd w:id="8"/>
      <w:r>
        <w:rPr>
          <w:rStyle w:val="CommentReference"/>
        </w:rPr>
        <w:commentReference w:id="8"/>
      </w:r>
    </w:p>
    <w:p>
      <w:pPr>
        <w:pStyle w:val="Normal"/>
        <w:jc w:val="both"/>
      </w:pPr>
      <w:commentRangeStart w:id="8"/>
      <w:r>
        <w:rPr>
          <w:i w:val="0"/>
          <w:szCs w:val="22"/>
          <w:lang w:val="en-US" w:eastAsia="en-US" w:bidi="ar-SA"/>
          <w:rFonts w:ascii="Times New Roman" w:hAnsi="Times New Roman" w:eastAsia="Times New Roman" w:cs="Times New Roman"/>
          <w:sz w:val="24"/>
        </w:rPr>
        <w:t>Measured against the practice-oriented standard of the Doctor of Engineering — knowledge for engineering practice, stated in a form another engineering team can inspect and test — the contribution claimed is problem clarification, iterative design learning and a testable specification (Abstract; §1.11), not a demonstrated effect. Stated positively, the programme leaves an engineering team with four things it did not have before. First, a documented field case in which an acceptance-informed gamified assessment station recorded index gains while most users did not return (Stage 2: 21 of 30 disengaged at or before three cycles, and none of the 21 returned within the eight-week window), which locates the design target for this service in engagement after difficulty rather than in initial acceptance alone. Second, a deployed dual-purpose arrangement in which one weight shift drives play through a foot pad and is measured at the same moment by the FRA footplate beneath it, so that measurement is carried alongside play without clinical numbers on the play screen — achieved physically, because the FRA510S exposes no application programming interface, with the two data sets joined by the therapist's hand record (§5.2A, §5.3) — a property the Stage-2 build already had while the session itself carried clinical framing (§5.5; §6.3). Third, a recorded contrast in which a separately built browser version of the game that retained its skiing mechanic and session structure, with participant-facing clinical cues reduced at the artefact level (recruitment materials retained fall-prevention vocabulary; §6.4) and played remotely with a different input device (§8.5.7–8.5.8), was followed by return in most initial dropouts in a separate cohort (15 of 23), which marks the participant-facing assessment frame as a candidate variable to control in design and testing. Fourth, the credible-progress specification (§7.5.2; Table 7.3), which states in checkable terms how participation, condition-specific performance, learning and clinical change must be recorded and kept apart when a redesign changes the task. A team building a gamified assessment service can act on these directly: design for return after difficulty, separate the participant-facing pathway from the clinical output rather than only keeping numbers off the play surface, without concealing clinically important information (§9.4), and adopt the progress-recording rules before claiming improvement.</w:t>
      </w:r>
      <w:commentRangeEnd w:id="8"/>
    </w:p>
    <w:p>
      <w:pPr>
        <w:pStyle w:val="Heading2"/>
      </w:pPr>
      <w:bookmarkStart w:id="160" w:name="_Toc232024650"/>
      <w:r>
        <w:rPr>
          <w:lang w:val="en-US" w:eastAsia="en-US" w:bidi="ar-SA"/>
          <w:color w:val="000000"/>
          <w:szCs w:val="22"/>
        </w:rPr>
        <w:t>9.8 Practical Contributions for Industry and Practice</w:t>
      </w:r>
      <w:bookmarkEnd w:id="160"/>
    </w:p>
    <w:p>
      <w:pPr>
        <w:pStyle w:val="Normal"/>
        <w:jc w:val="both"/>
      </w:pPr>
      <w:r>
        <w:rPr>
          <w:szCs w:val="22"/>
          <w:lang w:val="en-US" w:eastAsia="en-US" w:bidi="ar-SA"/>
          <w:rFonts w:ascii="Times New Roman" w:hAnsi="Times New Roman" w:eastAsia="Times New Roman" w:cs="Times New Roman"/>
          <w:sz w:val="24"/>
        </w:rPr>
        <w:t>For industry, the thesis supplies a proposed route from an underused installed technology to a testable learning-oriented service. Reusing infrastructure may permit integration of framing, coaching, adaptive challenge and progress feedback, but the practical feasibility and cost of doing so require assessment. The specification makes redesign accountable: identify the deployment difficulty, state the intended change, retain the previous configuration and its outcome record, and evaluate the revision against comparable criteria where possible. If the task or outcome definition changes, the discontinuity must be declared. This gives continuous improvement an inspectable engineering meaning and makes innovation enhancement a question of demonstrably better decisions and outcomes, rather than the presence of adaptation or AI alone. Participant benefit, staff burden, longitudinal use and implementation cost remain evaluation targets.</w:t>
      </w:r>
    </w:p>
    <w:p>
      <w:pPr>
        <w:pStyle w:val="Normal"/>
        <w:jc w:val="both"/>
      </w:pPr>
      <w:r>
        <w:rPr>
          <w:szCs w:val="22"/>
          <w:lang w:val="en-US" w:eastAsia="en-US" w:bidi="ar-SA"/>
          <w:rFonts w:ascii="Times New Roman" w:hAnsi="Times New Roman" w:eastAsia="Times New Roman" w:cs="Times New Roman"/>
          <w:sz w:val="24"/>
        </w:rPr>
        <w:t>The dual-purpose mechanic is an engineering pattern in which one interaction contributes to gameplay and a measurement pathway. Its transfer to another apparatus or population requires validation; the present case does not establish universal portability. The practical lesson is to examine how outputs are presented and interpreted, since a favourable recorded score does not guarantee continued use. The AI-assisted workflow is documented as a development method; reproducibility depends on preserving the relevant prompts, model and software versions, tests and human design decisions. Claims that the workflow improves development speed, cost or quality require an appropriate comparison.</w:t>
      </w:r>
    </w:p>
    <w:p>
      <w:pPr>
        <w:pStyle w:val="Normal"/>
        <w:jc w:val="both"/>
      </w:pPr>
      <w:r>
        <w:rPr>
          <w:szCs w:val="22"/>
          <w:lang w:val="en-US" w:eastAsia="en-US" w:bidi="ar-SA"/>
          <w:rFonts w:ascii="Times New Roman" w:hAnsi="Times New Roman" w:eastAsia="Times New Roman" w:cs="Times New Roman"/>
          <w:sz w:val="24"/>
        </w:rPr>
        <w:t>Stage 3 provides a promising feasibility signal for further service-design work: 10 of 16 initial dropouts aged 65–80 returned in that cohort. It does not estimate a market size, the causal benefit of decoupling, or return on investment. The 71.7% coordination-item count is a positive-coded response, not a manipulation check, and the short follow-up does not establish sustained adoption. Industrial planning should therefore proceed through a controlled pilot that measures longitudinal use, participant outcomes, implementation cost and safety under documented configurations.</w:t>
      </w:r>
    </w:p>
    <w:p>
      <w:pPr>
        <w:pStyle w:val="Heading2"/>
      </w:pPr>
      <w:bookmarkStart w:id="161" w:name="_Toc232024651"/>
      <w:r>
        <w:rPr>
          <w:lang w:val="en-US" w:eastAsia="en-US" w:bidi="ar-SA"/>
          <w:color w:val="000000"/>
          <w:szCs w:val="22"/>
        </w:rPr>
        <w:t>9.8A A Secondary Contribution to Gamification: Agentic-AI-Driven Dynamic Game States</w:t>
      </w:r>
      <w:bookmarkEnd w:id="161"/>
    </w:p>
    <w:p>
      <w:pPr>
        <w:pStyle w:val="Normal"/>
        <w:jc w:val="both"/>
      </w:pPr>
      <w:r>
        <w:rPr>
          <w:szCs w:val="22"/>
          <w:lang w:val="en-US" w:eastAsia="en-US" w:bidi="ar-SA"/>
          <w:rFonts w:ascii="Times New Roman" w:hAnsi="Times New Roman" w:eastAsia="Times New Roman" w:cs="Times New Roman"/>
          <w:sz w:val="24"/>
        </w:rPr>
        <w:t>A secondary design contribution is the proposed dynamic game-state architecture. It replaces a terminal failure screen with a small repertoire of recovery, mastery, narrative and reframe states selected from observed performance. The design is intended to preserve continuity and challenge while reducing categorical failure cues. It was not evaluated in the empirical programme (the Stage 3B component study, whose failure-mode factor crossed zero-failure with game-over, computes no comparison from its returns and reports no confirmatory analysis; §8.8; Appendix I), so it should be presented as a prototype specification and testable extension rather than as an established "loss-free" mechanic.</w:t>
      </w:r>
    </w:p>
    <w:p>
      <w:pPr>
        <w:pStyle w:val="Normal"/>
        <w:jc w:val="both"/>
      </w:pPr>
      <w:r>
        <w:rPr>
          <w:szCs w:val="22"/>
          <w:lang w:val="en-US" w:eastAsia="en-US" w:bidi="ar-SA"/>
          <w:rFonts w:ascii="Times New Roman" w:hAnsi="Times New Roman" w:eastAsia="Times New Roman" w:cs="Times New Roman"/>
          <w:sz w:val="24"/>
        </w:rPr>
        <w:t>The workflow documents how a behavioural and safety specification was translated into candidate state logic, synthetic tests and auditable runtime rules; the AI tooling used in this translation is an enabling technology, and the contribution remains the behavioural design framework the states implement. Human developers remain responsible for design intent, validation and governance. The natural next study is a controlled comparison of the proposed state repertoire with the original game state, measuring retry, return, challenge, comprehension, affect, fatigue and adverse effects.</w:t>
      </w:r>
    </w:p>
    <w:p>
      <w:pPr>
        <w:pStyle w:val="Heading2"/>
      </w:pPr>
      <w:r>
        <w:rPr>
          <w:lang w:val="en-US" w:eastAsia="en-US" w:bidi="ar-SA"/>
          <w:color w:val="000000"/>
          <w:szCs w:val="22"/>
        </w:rPr>
        <w:t>9.8B Future Research Proposition: From Telemetry-Conditioned to Person-Conditioned Adaptation</w:t>
      </w:r>
    </w:p>
    <w:p>
      <w:pPr>
        <w:pStyle w:val="Normal"/>
        <w:jc w:val="both"/>
      </w:pPr>
      <w:r>
        <w:rPr>
          <w:szCs w:val="22"/>
          <w:lang w:val="en-US" w:eastAsia="en-US" w:bidi="ar-SA"/>
          <w:rFonts w:ascii="Times New Roman" w:hAnsi="Times New Roman" w:eastAsia="Times New Roman" w:cs="Times New Roman"/>
          <w:sz w:val="24"/>
        </w:rPr>
        <w:t>This section and §9.8C are bounded future-research implications, not empirical findings of the thesis. The FRA evidence supports claims about framing and post-failure behaviour in the studied cohorts. It does not support a general conclusion about the limits of language models or the nature of artificial general intelligence.</w:t>
      </w:r>
    </w:p>
    <w:p>
      <w:pPr>
        <w:pStyle w:val="Normal"/>
        <w:jc w:val="both"/>
      </w:pPr>
      <w:r>
        <w:rPr>
          <w:szCs w:val="22"/>
          <w:lang w:val="en-US" w:eastAsia="en-US" w:bidi="ar-SA"/>
          <w:rFonts w:ascii="Times New Roman" w:hAnsi="Times New Roman" w:eastAsia="Times New Roman" w:cs="Times New Roman"/>
          <w:sz w:val="24"/>
        </w:rPr>
        <w:t>The deployed Stage-2 system adapted difficulty using pressure-panel and game telemetry, with some information rendered into language for model processing. It did not directly observe the participant's immediate appraisal, affect or intention. The next engineering question is whether adding valid, consented, real-time behavioural inputs improves prediction and safe adaptation beyond telemetry alone.</w:t>
      </w:r>
    </w:p>
    <w:p>
      <w:pPr>
        <w:pStyle w:val="Normal"/>
        <w:jc w:val="both"/>
      </w:pPr>
      <w:r>
        <w:rPr>
          <w:szCs w:val="22"/>
          <w:lang w:val="en-US" w:eastAsia="en-US" w:bidi="ar-SA"/>
          <w:rFonts w:ascii="Times New Roman" w:hAnsi="Times New Roman" w:eastAsia="Times New Roman" w:cs="Times New Roman"/>
          <w:sz w:val="24"/>
        </w:rPr>
        <w:t>A person-conditioned extension would synchronise game events with carefully selected signals such as reaction time, posture change, voice cues, brief in-the-moment self-report or validated affect estimates. An auditable policy could then select a recovery, reframe or mastery state within defined safety limits. The evaluation should compare prediction, retry, return, user comprehension, autonomy and unintended effects. The aim is not to infer a hidden mental state with certainty, but to improve responsiveness while preserving user control.</w:t>
      </w:r>
    </w:p>
    <w:p>
      <w:pPr>
        <w:pStyle w:val="Normal"/>
        <w:jc w:val="both"/>
      </w:pPr>
      <w:r>
        <w:rPr>
          <w:szCs w:val="22"/>
          <w:lang w:val="en-US" w:eastAsia="en-US" w:bidi="ar-SA"/>
          <w:rFonts w:ascii="Times New Roman" w:hAnsi="Times New Roman" w:eastAsia="Times New Roman" w:cs="Times New Roman"/>
          <w:sz w:val="24"/>
        </w:rPr>
        <w:t xml:space="preserve">The wider embodied and grounded-AI literature provides relevant context because it studies agents that learn from interaction with environments rather than from static text alone. The contribution of this thesis is modest: it specifies one human-centred testbed in which additional sensing, adaptive action and behavioural outcomes can be aligned. Whether lessons from this setting generalise to broader theories of intelligence is outside the empirical scope of the thesis.</w:t>
      </w:r>
    </w:p>
    <w:p>
      <w:pPr>
        <w:pStyle w:val="Normal"/>
        <w:jc w:val="both"/>
      </w:pPr>
      <w:r>
        <w:rPr>
          <w:szCs w:val="22"/>
          <w:lang w:val="en-US" w:eastAsia="en-US" w:bidi="ar-SA"/>
          <w:rFonts w:ascii="Times New Roman" w:hAnsi="Times New Roman" w:eastAsia="Times New Roman" w:cs="Times New Roman"/>
          <w:sz w:val="24"/>
        </w:rPr>
        <w:t>This extension also clarifies Principle 3 of the adaptive-learning framework. Adaptive calibration can adjust the game to observed performance and, in a proposed extension, update a person-specific state estimate from validated signals. These are control and estimation functions; neither automatically demonstrates participant learning. Both should remain distinct from the system-innovation loop in Chapter 7, which records changes to the design and evaluates their consequences. Additional sensing must show incremental value against simpler baselines and must not alter the meaning of a progress measure without an explicit record of that change.</w:t>
      </w:r>
    </w:p>
    <w:p>
      <w:pPr>
        <w:jc w:val="both"/>
      </w:pPr>
      <w:r>
        <w:t>The role-adaptive proposition in §8.8 extends this future programme from challenge parameters to optional narrative support. Whether it improves engagement or transfers to the person's response to difficulty is an open research question, not an outcome established by the present thesis.</w:t>
      </w:r>
    </w:p>
    <w:p>
      <w:pPr>
        <w:pStyle w:val="Heading2"/>
      </w:pPr>
      <w:r>
        <w:rPr>
          <w:lang w:val="en-US" w:eastAsia="en-US" w:bidi="ar-SA"/>
          <w:color w:val="000000"/>
          <w:szCs w:val="22"/>
        </w:rPr>
        <w:t>9.8C Bounded Implications for AI Evaluation</w:t>
      </w:r>
    </w:p>
    <w:p>
      <w:pPr>
        <w:pStyle w:val="Normal"/>
        <w:jc w:val="both"/>
      </w:pPr>
      <w:r>
        <w:rPr>
          <w:szCs w:val="22"/>
          <w:lang w:val="en-US" w:eastAsia="en-US" w:bidi="ar-SA"/>
          <w:rFonts w:ascii="Times New Roman" w:hAnsi="Times New Roman" w:eastAsia="Times New Roman" w:cs="Times New Roman"/>
          <w:sz w:val="24"/>
        </w:rPr>
        <w:t>The FRA programme suggests a limited evaluation principle for human-adaptive systems: assess not only the plausibility of system outputs but also whether actions improve pre-specified outcomes in a responsive environment. This is an engineering implication from the study architecture, not a criterion for AGI.</w:t>
      </w:r>
    </w:p>
    <w:p>
      <w:pPr>
        <w:pStyle w:val="Normal"/>
        <w:jc w:val="both"/>
      </w:pPr>
      <w:r>
        <w:rPr>
          <w:szCs w:val="22"/>
          <w:lang w:val="en-US" w:eastAsia="en-US" w:bidi="ar-SA"/>
          <w:rFonts w:ascii="Times New Roman" w:hAnsi="Times New Roman" w:eastAsia="Times New Roman" w:cs="Times New Roman"/>
          <w:sz w:val="24"/>
        </w:rPr>
        <w:t>The deployed configuration processed game and pressure-panel information, some of which was rendered into language. Its limitation was practical: the available inputs did not include direct measures of the participant's immediate appraisal or affect (§8.6A). The engineering extension is therefore specific and testable (Table 9.3; Figure 9.1): add ethically justified, validated behavioural or experiential inputs; update a person-specific state estimate; and evaluate whether pre-specified, safe interventions improve retry and return without reducing challenge or obscuring important information. For the FRA platform, the operational outcomes are concrete: immediate retry after difficulty, return within a fixed window, repeated voluntary use, perceived competence, fatigue, comprehension, burden, safety and appropriate clinical follow-up. The boundary of this position is explicit: the empirical warrant covers the studied engagement patterns and the limitations of the deployed input architecture, and the proposed person-conditioned system remains an engineering programme to be evaluated (§8.8) — not a claim about language models in general or about artificial general intelligence.</w:t>
      </w:r>
    </w:p>
    <w:p>
      <w:pPr>
        <w:pStyle w:val="FigureCaption"/>
        <w:keepNext/>
        <w:keepLines/>
        <w:jc w:val="center"/>
      </w:pPr>
      <w:r>
        <w:rPr>
          <w:sz w:val="24"/>
          <w:szCs w:val="22"/>
          <w:lang w:val="en-US" w:eastAsia="en-US" w:bidi="ar-SA"/>
          <w:rFonts w:ascii="Times New Roman" w:hAnsi="Times New Roman" w:eastAsia="Times New Roman" w:cs="Times New Roman"/>
          <w:i/>
        </w:rPr>
        <w:t>Table 9.3. Deployed Stage-2 adaptation configuration versus a proposed person-conditioned extension. The comparison describes two system architectures for future evaluation; it should not be read as a categorical comparison between all language-based AI and "full" intelligence.</w:t>
      </w:r>
    </w:p>
    <w:tbl>
      <w:tblPr>
        <w:tblStyle w:val="TableGrid"/>
        <w:tblW w:w="8505" w:type="dxa"/>
        <w:jc w:val="center"/>
        <w:tblLayout w:type="fixed"/>
        <w:tblLook w:val="04A0" w:firstRow="1" w:lastRow="0" w:firstColumn="1" w:lastColumn="0" w:noHBand="0" w:noVBand="1"/>
      </w:tblPr>
      <w:tblGrid>
        <w:gridCol w:w="1748"/>
        <w:gridCol w:w="3229"/>
        <w:gridCol w:w="3528"/>
      </w:tblGrid>
      <w:tr w:rsidR="0062437E" w14:paraId="0C23F125" w14:textId="77777777" w:rsidTr="00FD5D21">
        <w:trPr>
          <w:jc w:val="center"/>
          <w:tblHeader/>
          <w:cantSplit/>
        </w:trPr>
        <w:tc>
          <w:tcPr>
            <w:tcW w:w="1748" w:type="dxa"/>
          </w:tcPr>
          <w:p>
            <w:pPr>
              <w:pStyle w:val="Normal"/>
              <w:keepNext w:val="0"/>
              <w:keepLines/>
            </w:pPr>
            <w:r>
              <w:rPr>
                <w:b/>
                <w:sz w:val="18"/>
                <w:szCs w:val="22"/>
                <w:lang w:val="en-US" w:eastAsia="en-US" w:bidi="ar-SA"/>
                <w:rFonts w:ascii="Times New Roman" w:hAnsi="Times New Roman" w:eastAsia="Times New Roman" w:cs="Times New Roman"/>
              </w:rPr>
              <w:t>Dimension</w:t>
            </w:r>
          </w:p>
        </w:tc>
        <w:tc>
          <w:tcPr>
            <w:tcW w:w="3229" w:type="dxa"/>
          </w:tcPr>
          <w:p>
            <w:pPr>
              <w:pStyle w:val="Normal"/>
              <w:keepNext w:val="0"/>
              <w:keepLines/>
            </w:pPr>
            <w:r>
              <w:rPr>
                <w:szCs w:val="22"/>
                <w:lang w:val="en-US" w:eastAsia="en-US" w:bidi="ar-SA"/>
                <w:rFonts w:ascii="Times New Roman" w:hAnsi="Times New Roman" w:eastAsia="Times New Roman" w:cs="Times New Roman"/>
                <w:b/>
                <w:sz w:val="18"/>
              </w:rPr>
              <w:t>Deployed Stage-2 adaptation configuration</w:t>
            </w:r>
          </w:p>
        </w:tc>
        <w:tc>
          <w:tcPr>
            <w:tcW w:w="3528" w:type="dxa"/>
          </w:tcPr>
          <w:p>
            <w:pPr>
              <w:pStyle w:val="Normal"/>
              <w:keepNext w:val="0"/>
              <w:keepLines/>
            </w:pPr>
            <w:r>
              <w:rPr>
                <w:szCs w:val="22"/>
                <w:lang w:val="en-US" w:eastAsia="en-US" w:bidi="ar-SA"/>
                <w:rFonts w:ascii="Times New Roman" w:hAnsi="Times New Roman" w:eastAsia="Times New Roman" w:cs="Times New Roman"/>
                <w:b/>
                <w:sz w:val="18"/>
              </w:rPr>
              <w:t>Proposed person-conditioned extension</w:t>
            </w:r>
          </w:p>
        </w:tc>
      </w:tr>
      <w:tr w:rsidR="0062437E" w14:paraId="2864A92A"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World available to the system</w:t>
            </w:r>
          </w:p>
        </w:tc>
        <w:tc>
          <w:tcPr>
            <w:tcW w:w="3229" w:type="dxa"/>
          </w:tcPr>
          <w:p>
            <w:pPr>
              <w:pStyle w:val="Normal"/>
            </w:pPr>
            <w:r>
              <w:rPr>
                <w:szCs w:val="22"/>
                <w:lang w:val="en-US" w:eastAsia="en-US" w:bidi="ar-SA"/>
                <w:rFonts w:ascii="Times New Roman" w:hAnsi="Times New Roman" w:eastAsia="Times New Roman" w:cs="Times New Roman"/>
                <w:sz w:val="24"/>
              </w:rPr>
              <w:t>Pressure-panel and game telemetry, partly rendered into language for model processing</w:t>
            </w:r>
          </w:p>
        </w:tc>
        <w:tc>
          <w:tcPr>
            <w:tcW w:w="3528" w:type="dxa"/>
          </w:tcPr>
          <w:p>
            <w:pPr>
              <w:pStyle w:val="Normal"/>
            </w:pPr>
            <w:r>
              <w:rPr>
                <w:szCs w:val="22"/>
                <w:lang w:val="en-US" w:eastAsia="en-US" w:bidi="ar-SA"/>
                <w:rFonts w:ascii="Times New Roman" w:hAnsi="Times New Roman" w:eastAsia="Times New Roman" w:cs="Times New Roman"/>
                <w:sz w:val="24"/>
              </w:rPr>
              <w:t>Telemetry plus ethically justified, validated behavioural or experiential inputs</w:t>
            </w:r>
          </w:p>
        </w:tc>
      </w:tr>
      <w:tr w:rsidR="0062437E" w14:paraId="3CF93FC4"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Input at run time</w:t>
            </w:r>
          </w:p>
        </w:tc>
        <w:tc>
          <w:tcPr>
            <w:tcW w:w="3229" w:type="dxa"/>
          </w:tcPr>
          <w:p>
            <w:pPr>
              <w:pStyle w:val="Normal"/>
            </w:pPr>
            <w:r>
              <w:rPr>
                <w:sz w:val="24"/>
                <w:szCs w:val="22"/>
                <w:lang w:val="en-US" w:eastAsia="en-US" w:bidi="ar-SA"/>
                <w:rFonts w:ascii="Times New Roman" w:hAnsi="Times New Roman" w:eastAsia="Times New Roman" w:cs="Times New Roman"/>
              </w:rPr>
              <w:t>Telemetry rendered into a natural-language summary string</w:t>
            </w:r>
          </w:p>
        </w:tc>
        <w:tc>
          <w:tcPr>
            <w:tcW w:w="3528" w:type="dxa"/>
          </w:tcPr>
          <w:p>
            <w:pPr>
              <w:pStyle w:val="Normal"/>
            </w:pPr>
            <w:r>
              <w:rPr>
                <w:sz w:val="24"/>
                <w:szCs w:val="22"/>
                <w:lang w:val="en-US" w:eastAsia="en-US" w:bidi="ar-SA"/>
                <w:rFonts w:ascii="Times New Roman" w:hAnsi="Times New Roman" w:eastAsia="Times New Roman" w:cs="Times New Roman"/>
              </w:rPr>
              <w:t>Selected validated behavioural or experiential signals aligned with game events, alongside telemetry</w:t>
            </w:r>
          </w:p>
        </w:tc>
      </w:tr>
      <w:tr w:rsidR="0062437E" w14:paraId="34C88DFE"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Timescale</w:t>
            </w:r>
          </w:p>
        </w:tc>
        <w:tc>
          <w:tcPr>
            <w:tcW w:w="3229" w:type="dxa"/>
          </w:tcPr>
          <w:p>
            <w:pPr>
              <w:pStyle w:val="Normal"/>
            </w:pPr>
            <w:r>
              <w:rPr>
                <w:sz w:val="24"/>
                <w:szCs w:val="22"/>
                <w:lang w:val="en-US" w:eastAsia="en-US" w:bidi="ar-SA"/>
                <w:rFonts w:ascii="Times New Roman" w:hAnsi="Times New Roman" w:eastAsia="Times New Roman" w:cs="Times New Roman"/>
              </w:rPr>
              <w:t>Scheduled: five-minute adjustment cycle</w:t>
            </w:r>
          </w:p>
        </w:tc>
        <w:tc>
          <w:tcPr>
            <w:tcW w:w="3528" w:type="dxa"/>
          </w:tcPr>
          <w:p>
            <w:pPr>
              <w:pStyle w:val="Normal"/>
            </w:pPr>
            <w:r>
              <w:rPr>
                <w:sz w:val="24"/>
                <w:szCs w:val="22"/>
                <w:lang w:val="en-US" w:eastAsia="en-US" w:bidi="ar-SA"/>
                <w:rFonts w:ascii="Times New Roman" w:hAnsi="Times New Roman" w:eastAsia="Times New Roman" w:cs="Times New Roman"/>
              </w:rPr>
              <w:t>Illustrative target: perception at one-second cadence and action within seconds; latency and benefit require evaluation</w:t>
            </w:r>
          </w:p>
        </w:tc>
      </w:tr>
      <w:tr w:rsidR="0062437E" w14:paraId="4DDCCB00"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Object of learning</w:t>
            </w:r>
          </w:p>
        </w:tc>
        <w:tc>
          <w:tcPr>
            <w:tcW w:w="3229" w:type="dxa"/>
          </w:tcPr>
          <w:p>
            <w:pPr>
              <w:pStyle w:val="Normal"/>
            </w:pPr>
            <w:r>
              <w:rPr>
                <w:szCs w:val="22"/>
                <w:lang w:val="en-US" w:eastAsia="en-US" w:bidi="ar-SA"/>
                <w:rFonts w:ascii="Times New Roman" w:hAnsi="Times New Roman" w:eastAsia="Times New Roman" w:cs="Times New Roman"/>
                <w:sz w:val="24"/>
              </w:rPr>
              <w:t>General model parameters plus session-level telemetry</w:t>
            </w:r>
          </w:p>
        </w:tc>
        <w:tc>
          <w:tcPr>
            <w:tcW w:w="3528" w:type="dxa"/>
          </w:tcPr>
          <w:p>
            <w:pPr>
              <w:pStyle w:val="Normal"/>
            </w:pPr>
            <w:r>
              <w:rPr>
                <w:szCs w:val="22"/>
                <w:lang w:val="en-US" w:eastAsia="en-US" w:bidi="ar-SA"/>
                <w:rFonts w:ascii="Times New Roman" w:hAnsi="Times New Roman" w:eastAsia="Times New Roman" w:cs="Times New Roman"/>
                <w:sz w:val="24"/>
              </w:rPr>
              <w:t>A person-specific state estimate, with uncertainty, updated during interaction</w:t>
            </w:r>
          </w:p>
        </w:tc>
      </w:tr>
      <w:tr w:rsidR="0062437E" w14:paraId="34FEE616"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Output</w:t>
            </w:r>
          </w:p>
        </w:tc>
        <w:tc>
          <w:tcPr>
            <w:tcW w:w="3229" w:type="dxa"/>
          </w:tcPr>
          <w:p>
            <w:pPr>
              <w:pStyle w:val="Normal"/>
            </w:pPr>
            <w:r>
              <w:rPr>
                <w:sz w:val="24"/>
                <w:szCs w:val="22"/>
                <w:lang w:val="en-US" w:eastAsia="en-US" w:bidi="ar-SA"/>
                <w:rFonts w:ascii="Times New Roman" w:hAnsi="Times New Roman" w:eastAsia="Times New Roman" w:cs="Times New Roman"/>
              </w:rPr>
              <w:t>A text recommendation: difficulty level plus written rationale</w:t>
            </w:r>
          </w:p>
        </w:tc>
        <w:tc>
          <w:tcPr>
            <w:tcW w:w="3528" w:type="dxa"/>
          </w:tcPr>
          <w:p>
            <w:pPr>
              <w:pStyle w:val="Normal"/>
            </w:pPr>
            <w:r>
              <w:rPr>
                <w:sz w:val="24"/>
                <w:szCs w:val="22"/>
                <w:lang w:val="en-US" w:eastAsia="en-US" w:bidi="ar-SA"/>
                <w:rFonts w:ascii="Times New Roman" w:hAnsi="Times New Roman" w:eastAsia="Times New Roman" w:cs="Times New Roman"/>
              </w:rPr>
              <w:t>An action in the environment: selection of the next game state</w:t>
            </w:r>
          </w:p>
        </w:tc>
      </w:tr>
      <w:tr w:rsidR="0062437E" w14:paraId="540D50DC" w14:textId="77777777" w:rsidTr="00FD5D21">
        <w:trPr>
          <w:jc w:val="center"/>
          <w:cantSplit/>
        </w:trPr>
        <w:tc>
          <w:tcPr>
            <w:tcW w:w="1748" w:type="dxa"/>
          </w:tcPr>
          <w:p>
            <w:pPr>
              <w:pStyle w:val="Normal"/>
            </w:pPr>
            <w:r>
              <w:rPr>
                <w:szCs w:val="22"/>
                <w:lang w:val="en-US" w:eastAsia="en-US" w:bidi="ar-SA"/>
                <w:rFonts w:ascii="Times New Roman" w:hAnsi="Times New Roman" w:eastAsia="Times New Roman" w:cs="Times New Roman"/>
                <w:sz w:val="24"/>
              </w:rPr>
              <w:t>Feedback channel</w:t>
            </w:r>
          </w:p>
        </w:tc>
        <w:tc>
          <w:tcPr>
            <w:tcW w:w="3229" w:type="dxa"/>
          </w:tcPr>
          <w:p>
            <w:pPr>
              <w:pStyle w:val="Normal"/>
            </w:pPr>
            <w:r>
              <w:rPr>
                <w:szCs w:val="22"/>
                <w:lang w:val="en-US" w:eastAsia="en-US" w:bidi="ar-SA"/>
                <w:rFonts w:ascii="Times New Roman" w:hAnsi="Times New Roman" w:eastAsia="Times New Roman" w:cs="Times New Roman"/>
                <w:sz w:val="24"/>
              </w:rPr>
              <w:t>Delayed and scheduled feedback from session records</w:t>
            </w:r>
          </w:p>
        </w:tc>
        <w:tc>
          <w:tcPr>
            <w:tcW w:w="3528" w:type="dxa"/>
          </w:tcPr>
          <w:p>
            <w:pPr>
              <w:pStyle w:val="Normal"/>
            </w:pPr>
            <w:r>
              <w:rPr>
                <w:szCs w:val="22"/>
                <w:lang w:val="en-US" w:eastAsia="en-US" w:bidi="ar-SA"/>
                <w:rFonts w:ascii="Times New Roman" w:hAnsi="Times New Roman" w:eastAsia="Times New Roman" w:cs="Times New Roman"/>
                <w:sz w:val="24"/>
              </w:rPr>
              <w:t>Closed-loop behavioural and experiential outcomes with safety constraints</w:t>
            </w:r>
          </w:p>
        </w:tc>
      </w:tr>
      <w:tr w:rsidR="0062437E" w14:paraId="4731B52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Visibility of the failure moment</w:t>
            </w:r>
          </w:p>
        </w:tc>
        <w:tc>
          <w:tcPr>
            <w:tcW w:w="3229" w:type="dxa"/>
          </w:tcPr>
          <w:p>
            <w:pPr>
              <w:pStyle w:val="Normal"/>
            </w:pPr>
            <w:r>
              <w:rPr>
                <w:szCs w:val="22"/>
                <w:lang w:val="en-US" w:eastAsia="en-US" w:bidi="ar-SA"/>
                <w:rFonts w:ascii="Times New Roman" w:hAnsi="Times New Roman" w:eastAsia="Times New Roman" w:cs="Times New Roman"/>
                <w:sz w:val="24"/>
              </w:rPr>
              <w:t>Does not directly measure participant appraisal or affect at the event</w:t>
            </w:r>
          </w:p>
        </w:tc>
        <w:tc>
          <w:tcPr>
            <w:tcW w:w="3528" w:type="dxa"/>
          </w:tcPr>
          <w:p>
            <w:pPr>
              <w:pStyle w:val="Normal"/>
            </w:pPr>
            <w:r>
              <w:rPr>
                <w:szCs w:val="22"/>
                <w:lang w:val="en-US" w:eastAsia="en-US" w:bidi="ar-SA"/>
                <w:rFonts w:ascii="Times New Roman" w:hAnsi="Times New Roman" w:eastAsia="Times New Roman" w:cs="Times New Roman"/>
                <w:sz w:val="24"/>
              </w:rPr>
              <w:t>Tests whether additional signals improve prediction and safe intervention</w:t>
            </w:r>
          </w:p>
        </w:tc>
      </w:tr>
      <w:tr w:rsidR="0062437E" w14:paraId="55F201D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Theoretical anchors</w:t>
            </w:r>
          </w:p>
        </w:tc>
        <w:tc>
          <w:tcPr>
            <w:tcW w:w="3229" w:type="dxa"/>
          </w:tcPr>
          <w:p>
            <w:pPr>
              <w:pStyle w:val="Normal"/>
            </w:pPr>
            <w:r>
              <w:rPr>
                <w:szCs w:val="22"/>
                <w:lang w:val="en-US" w:eastAsia="en-US" w:bidi="ar-SA"/>
                <w:rFonts w:ascii="Times New Roman" w:hAnsi="Times New Roman" w:eastAsia="Times New Roman" w:cs="Times New Roman"/>
                <w:sz w:val="24"/>
              </w:rPr>
              <w:t>Human-computer interaction, intelligent tutoring and model-assisted control</w:t>
            </w:r>
          </w:p>
        </w:tc>
        <w:tc>
          <w:tcPr>
            <w:tcW w:w="3528" w:type="dxa"/>
          </w:tcPr>
          <w:p>
            <w:pPr>
              <w:pStyle w:val="Normal"/>
            </w:pPr>
            <w:r>
              <w:rPr>
                <w:szCs w:val="22"/>
                <w:lang w:val="en-US" w:eastAsia="en-US" w:bidi="ar-SA"/>
                <w:rFonts w:ascii="Times New Roman" w:hAnsi="Times New Roman" w:eastAsia="Times New Roman" w:cs="Times New Roman"/>
                <w:sz w:val="24"/>
              </w:rPr>
              <w:t>Multimodal interaction, affective computing, adaptive control and person-centred design</w:t>
            </w:r>
          </w:p>
        </w:tc>
      </w:tr>
      <w:tr w:rsidR="0062437E" w14:paraId="3AFCAE5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Evaluation criterion</w:t>
            </w:r>
          </w:p>
        </w:tc>
        <w:tc>
          <w:tcPr>
            <w:tcW w:w="3229" w:type="dxa"/>
          </w:tcPr>
          <w:p>
            <w:pPr>
              <w:pStyle w:val="Normal"/>
            </w:pPr>
            <w:r>
              <w:rPr>
                <w:szCs w:val="22"/>
                <w:lang w:val="en-US" w:eastAsia="en-US" w:bidi="ar-SA"/>
                <w:rFonts w:ascii="Times New Roman" w:hAnsi="Times New Roman" w:eastAsia="Times New Roman" w:cs="Times New Roman"/>
                <w:sz w:val="24"/>
              </w:rPr>
              <w:t>Accuracy of recommendations, game telemetry and session outcomes</w:t>
            </w:r>
          </w:p>
        </w:tc>
        <w:tc>
          <w:tcPr>
            <w:tcW w:w="3528" w:type="dxa"/>
          </w:tcPr>
          <w:p>
            <w:pPr>
              <w:pStyle w:val="Normal"/>
            </w:pPr>
            <w:r>
              <w:rPr>
                <w:szCs w:val="22"/>
                <w:lang w:val="en-US" w:eastAsia="en-US" w:bidi="ar-SA"/>
                <w:rFonts w:ascii="Times New Roman" w:hAnsi="Times New Roman" w:eastAsia="Times New Roman" w:cs="Times New Roman"/>
                <w:sz w:val="24"/>
              </w:rPr>
              <w:t>Incremental prediction, retry, return, comprehension, autonomy, burden and safety; learning assessed with suitable comparable checks</w:t>
            </w:r>
          </w:p>
        </w:tc>
      </w:tr>
    </w:tbl>
    <w:p>
      <w:pPr>
        <w:pStyle w:val="Normal"/>
        <w:spacing w:after="40"/>
      </w:pPr>
    </w:p>
    <w:p>
      <w:pPr>
        <w:pStyle w:val="Normal"/>
        <w:keepNext/>
        <w:spacing w:before="160" w:after="40"/>
        <w:jc w:val="center"/>
      </w:pPr>
      <w:r>
        <w:drawing>
          <wp:inline>
            <wp:extent cx="5303520" cy="3010557"/>
            <wp:docPr id="25" name="Picture 25" descr="Figure 9.1. Proposed person-conditioned adaptive loop."/>
            <wp:cNvGraphicFramePr>
              <a:graphicFrameLocks noChangeAspect="1"/>
            </wp:cNvGraphicFramePr>
            <a:graphic>
              <a:graphicData uri="http://schemas.openxmlformats.org/drawingml/2006/picture">
                <pic:pic>
                  <pic:nvPicPr>
                    <pic:cNvPr id="0" name="fig_9_2.png"/>
                    <pic:cNvPicPr/>
                  </pic:nvPicPr>
                  <pic:blipFill>
                    <a:blip r:embed="rId34"/>
                    <a:stretch>
                      <a:fillRect/>
                    </a:stretch>
                  </pic:blipFill>
                  <pic:spPr>
                    <a:xfrm>
                      <a:off x="0" y="0"/>
                      <a:ext cx="5303520" cy="301055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rPr>
        <w:t>Figure 9.1. Proposed person-conditioned adaptive loop. Game and pressure-panel events are synchronised with ethically justified behavioural or experiential inputs; the system updates a person-specific state estimate and selects the next game state within pre-specified safety limits. Outcomes such as retry, return, comprehension and burden feed the next cycle. The figure is a future architecture, not an empirical representation of Stage 2.</w:t>
      </w:r>
    </w:p>
    <w:p>
      <w:pPr>
        <w:pStyle w:val="Heading2"/>
      </w:pPr>
      <w:bookmarkStart w:id="162" w:name="_Toc232024659"/>
      <w:r>
        <w:rPr>
          <w:lang w:val="en-US" w:eastAsia="en-US" w:bidi="ar-SA"/>
          <w:color w:val="000000"/>
          <w:szCs w:val="22"/>
        </w:rPr>
        <w:t>9.9 Limits of What Has Been Shown</w:t>
      </w:r>
      <w:bookmarkEnd w:id="162"/>
    </w:p>
    <w:p>
      <w:pPr>
        <w:pStyle w:val="Normal"/>
        <w:jc w:val="both"/>
      </w:pPr>
      <w:r>
        <w:rPr>
          <w:szCs w:val="22"/>
          <w:lang w:val="en-US" w:eastAsia="en-US" w:bidi="ar-SA"/>
          <w:rFonts w:ascii="Times New Roman" w:hAnsi="Times New Roman" w:eastAsia="Times New Roman" w:cs="Times New Roman"/>
          <w:sz w:val="24"/>
        </w:rPr>
        <w:t>The limits are substantial and define the next programme. The empirical claims are restricted to a Southern Chinese residential cohort and a Hong Kong network-recruited cohort playing remotely, on their own computers or, for some older participants, on a pre-installed iPad with a research assistant present (§6.4). The Stage-2-versus-Stage-3 comparison is not randomised and does not isolate framing from every concurrent difference. The proposed psychological mechanisms were not measured directly. FIAS requires a complete non-circular codebook, reliability testing and construct validation. The clinical significance of short-term FRA-index change is unknown. The complete adaptive-learning framework, dynamic-state architecture and person-conditioned AI extension have not been tested. The Stage 3B component study fielded adaptive support (difficulty adjustment with coaching) versus static presentation and zero-failure versus game-over presentation, but its learning measurement was not articulated to the adaptive-learning construct and no comparison is computed from its returns on record at the 30 September 2026 cut-off; it is reported as a descriptive record only (§8.8; Appendix I). Cross-cultural, cross-domain and long-term generalisation therefore remain open.</w:t>
      </w:r>
    </w:p>
    <w:p>
      <w:pPr>
        <w:pStyle w:val="Heading2"/>
      </w:pPr>
      <w:bookmarkStart w:id="163" w:name="_Toc232024660"/>
      <w:r>
        <w:rPr>
          <w:lang w:val="en-US" w:eastAsia="en-US" w:bidi="ar-SA"/>
          <w:color w:val="000000"/>
          <w:szCs w:val="22"/>
        </w:rPr>
        <w:t>9.10 Natural Extensions</w:t>
      </w:r>
      <w:bookmarkEnd w:id="163"/>
    </w:p>
    <w:p>
      <w:pPr>
        <w:pStyle w:val="Normal"/>
        <w:jc w:val="both"/>
      </w:pPr>
      <w:r>
        <w:rPr>
          <w:szCs w:val="22"/>
          <w:lang w:val="en-US" w:eastAsia="en-US" w:bidi="ar-SA"/>
          <w:rFonts w:ascii="Times New Roman" w:hAnsi="Times New Roman" w:eastAsia="Times New Roman" w:cs="Times New Roman"/>
          <w:sz w:val="24"/>
        </w:rPr>
        <w:t>The highest-priority extension is a within-cohort randomised comparison of coupled and participant-facing decoupled conditions with harmonised recruitment, measures, staff scripts, hardware and follow-up. A distinct component programme should test adaptive calibration and failure presentation against simpler alternatives, with a learning measure articulated to the adaptive-learning construct (rather than immediate task performance), equivalent course forms, and difficulty adjustment separated from coaching — the gaps that the Stage 3B record documents (§8.8; Appendix I). Both require the progress-comparability specification in Chapter 7: recorded task and controller versions, separation of rewards from performance, suitable anchor checks, and explicit discontinuities when redesign prevents direct comparison. Longitudinal work should then evaluate repeated voluntary use and retained or transferred learning, while direct appraisal measures test the proposed FIAS account. Cross-cultural replication, cross-domain application, community-narrative research and person-conditioned sensing should follow from a stronger causal, measurement and construct foundation.</w:t>
      </w:r>
    </w:p>
    <w:p>
      <w:pPr>
        <w:pStyle w:val="Heading2"/>
      </w:pPr>
      <w:bookmarkStart w:id="164" w:name="_Toc232024661"/>
      <w:r>
        <w:rPr>
          <w:lang w:val="en-US" w:eastAsia="en-US" w:bidi="ar-SA"/>
          <w:color w:val="000000"/>
          <w:szCs w:val="22"/>
        </w:rPr>
        <w:t>9.11 Returning to the Three F4 Residents</w:t>
      </w:r>
      <w:bookmarkEnd w:id="164"/>
    </w:p>
    <w:p>
      <w:pPr>
        <w:pStyle w:val="Normal"/>
        <w:jc w:val="both"/>
      </w:pPr>
      <w:r>
        <w:rPr>
          <w:szCs w:val="22"/>
          <w:lang w:val="en-US" w:eastAsia="en-US" w:bidi="ar-SA"/>
          <w:rFonts w:ascii="Times New Roman" w:hAnsi="Times New Roman" w:eastAsia="Times New Roman" w:cs="Times New Roman"/>
          <w:sz w:val="24"/>
        </w:rPr>
        <w:t>Chapter 1 posed the score-improvement/non-return question (§1.7), and Section 5.6 recorded three F4 residents (S2-P006, S2-P007 and S2-P015, the last being the record that failed verification; §5.5) whose recorded FRA index improved during a single session and who did not return. The observation should be preserved because it reveals that the direction of a measured score and the decision to return are not the same outcome. The present data do not reveal why each individual left. Identity protection and mental accounting are plausible interpretations, but fatigue, discomfort, misunderstanding, scepticism, embarrassment, burden or other factors may also have contributed.</w:t>
      </w:r>
    </w:p>
    <w:p>
      <w:pPr>
        <w:pStyle w:val="Normal"/>
        <w:jc w:val="both"/>
      </w:pPr>
      <w:r>
        <w:rPr>
          <w:szCs w:val="22"/>
          <w:lang w:val="en-US" w:eastAsia="en-US" w:bidi="ar-SA"/>
          <w:rFonts w:ascii="Times New Roman" w:hAnsi="Times New Roman" w:eastAsia="Times New Roman" w:cs="Times New Roman"/>
          <w:sz w:val="24"/>
        </w:rPr>
        <w:t>Stage 3 showed that post-failure return was common in a separate decoupled cohort, including among adults aged 65–80. It would be inappropriate to estimate that particular F4 residents would have returned under decoupling, because the studies are not individual-level counterfactuals and the samples differ. The defensible conclusion is that return remains a plausible target for intervention, and that the contrast justifies a controlled test of the frame-sensitive account.</w:t>
      </w:r>
    </w:p>
    <w:p>
      <w:pPr>
        <w:pStyle w:val="Normal"/>
        <w:jc w:val="both"/>
      </w:pPr>
      <w:r>
        <w:rPr>
          <w:szCs w:val="22"/>
          <w:lang w:val="en-US" w:eastAsia="en-US" w:bidi="ar-SA"/>
          <w:rFonts w:ascii="Times New Roman" w:hAnsi="Times New Roman" w:eastAsia="Times New Roman" w:cs="Times New Roman"/>
          <w:sz w:val="24"/>
        </w:rPr>
        <w:t>The practical aspiration remains simple: design the first adverse experience so that it supports learning, preserves dignity and leaves a truthful, safe and voluntary path to the next session. Players may fail levels; the research question is whether the system helps them understand the event, choose what to do next and return when continued participation is useful to them.</w:t>
      </w:r>
    </w:p>
    <w:p>
      <w:pPr>
        <w:pStyle w:val="Heading2"/>
      </w:pPr>
      <w:bookmarkStart w:id="165" w:name="_Toc232024662"/>
      <w:r>
        <w:rPr>
          <w:lang w:val="en-US" w:eastAsia="en-US" w:bidi="ar-SA"/>
          <w:color w:val="000000"/>
          <w:szCs w:val="22"/>
        </w:rPr>
        <w:t>9.12 Closing Synthesis</w:t>
      </w:r>
      <w:bookmarkEnd w:id="165"/>
    </w:p>
    <w:p>
      <w:pPr>
        <w:pStyle w:val="Normal"/>
        <w:jc w:val="both"/>
      </w:pPr>
      <w:r>
        <w:rPr>
          <w:szCs w:val="22"/>
          <w:lang w:val="en-US" w:eastAsia="en-US" w:bidi="ar-SA"/>
          <w:rFonts w:ascii="Times New Roman" w:hAnsi="Times New Roman" w:eastAsia="Times New Roman" w:cs="Times New Roman"/>
          <w:sz w:val="24"/>
        </w:rPr>
        <w:t>The thesis began with an underused fall-risk-assessment station and ends with a testable engineering response to an innovation that did not achieve its intended engagement. The initial design expectation was not realised in Stage 2; the recorded performance and return outcomes showed why better task scores alone were insufficient evidence of success. Stage 3 documented a different engagement pattern in a separate deployment with altered clinical cues and context. These observations motivate, but do not isolate, a frame-sensitive explanation. The proposed adaptive-learning framework translates that problem into support around difficulty, actionable feedback and calibrated challenge. Its contribution to Gamification as Proactive Approach for Continuous Improvement and Innovation Enhancement is therefore a specified route from an observed deployment problem to an accountable redesign and evaluation process, rather than proof that gamification theory fails or that adaptive learning guarantees a solution.</w:t>
      </w:r>
    </w:p>
    <w:p>
      <w:pPr>
        <w:pStyle w:val="Normal"/>
        <w:jc w:val="both"/>
      </w:pPr>
      <w:r>
        <w:rPr>
          <w:szCs w:val="22"/>
          <w:lang w:val="en-US" w:eastAsia="en-US" w:bidi="ar-SA"/>
          <w:rFonts w:ascii="Times New Roman" w:hAnsi="Times New Roman" w:eastAsia="Times New Roman" w:cs="Times New Roman"/>
          <w:sz w:val="24"/>
        </w:rPr>
        <w:t>This exploratory study developed a coordination-game approach decoupled from clinical fall risk assessment to investigate engagement and the proposed role of self-appraisal in failure-induced abandonment. Stage 3A described age differences in compiled engagement classifications, providing observations that motivate further investigation of FIAS. These findings do not establish a distinct psychological mechanism or a causal effect of decoupling.</w:t>
      </w:r>
    </w:p>
    <w:p>
      <w:pPr>
        <w:pStyle w:val="Normal"/>
        <w:jc w:val="both"/>
      </w:pPr>
      <w:r>
        <w:rPr>
          <w:szCs w:val="22"/>
          <w:lang w:val="en-US" w:eastAsia="en-US" w:bidi="ar-SA"/>
          <w:rFonts w:ascii="Times New Roman" w:hAnsi="Times New Roman" w:eastAsia="Times New Roman" w:cs="Times New Roman"/>
          <w:sz w:val="24"/>
        </w:rPr>
        <w:t>Stage 3B extended this work through a design incorporating practice, fixed-course performance checks, players' own post-game feedback and subsequent adaptation of game settings. The Pro v4.1 researcher self-test records (Appendix I.5) show links between performance, feedback and applied settings through local rules, documenting the implementation of the adaptive process; immediate performance changes in that self-test were mixed, and durable learning was not evaluated. The programme therefore contributes an exploratory account of engagement and an implemented design for investigating learning from gameplay experience. Future research should test the self-appraisal hypothesis and the effects of adaptation using verified participant linkage, comparable assessments, appropriate comparison conditions and delayed retention or transfer measures.</w:t>
      </w:r>
    </w:p>
    <w:p>
      <w:pPr>
        <w:pStyle w:val="Normal"/>
        <w:jc w:val="both"/>
      </w:pPr>
      <w:r>
        <w:rPr>
          <w:szCs w:val="22"/>
          <w:lang w:val="en-US" w:eastAsia="en-US" w:bidi="ar-SA"/>
          <w:rFonts w:ascii="Times New Roman" w:hAnsi="Times New Roman" w:eastAsia="Times New Roman" w:cs="Times New Roman"/>
          <w:sz w:val="24"/>
        </w:rPr>
        <w:t>Continuous improvement requires two related but separate loops. In the participant loop, the system offers appropriate challenge and support, records the conditions of performance and provides a truthful next step. In the system-innovation loop, the team investigates difficulties, revises a component or its underlying design assumption, and tests the consequences against stated criteria. A change is progress only with respect to an identified outcome and a defensible comparison; adaptation, activity accumulation and software novelty do not suffice. The proposed trajectory display consequently preserves prior observations, marks changes in task and assistance, and uses comparable checks where justified. When a redesign changes the construct or task too far for comparison, it reports the discontinuity and begins a clearly labelled new series without erasing the earlier result. This specification allows setbacks to inform improvement rather than disappear from the record.</w:t>
      </w:r>
    </w:p>
    <w:p>
      <w:pPr>
        <w:pStyle w:val="Normal"/>
        <w:spacing w:after="200" w:line="276" w:lineRule="auto"/>
        <w:rPr>
          <w:rFonts w:asciiTheme="majorHAnsi" w:eastAsiaTheme="majorEastAsia" w:hAnsiTheme="majorHAnsi" w:cstheme="majorBidi"/>
          <w:b/>
          <w:bCs/>
          <w:color w:val="000000"/>
          <w:sz w:val="32"/>
          <w:szCs w:val="28"/>
        </w:rPr>
      </w:pPr>
      <w:bookmarkStart w:id="166" w:name="_Toc232024663"/>
      <w:r>
        <w:rPr>
          <w:rFonts w:asciiTheme="majorHAnsi" w:eastAsiaTheme="majorEastAsia" w:hAnsiTheme="majorHAnsi" w:cstheme="majorBidi"/>
          <w:b/>
          <w:color w:val="000000"/>
          <w:sz w:val="32"/>
          <w:szCs w:val="28"/>
        </w:rPr>
        <w:br w:type="page"/>
      </w:r>
    </w:p>
    <w:p>
      <w:pPr>
        <w:jc w:val="both"/>
      </w:pPr>
      <w:r>
        <w:t>The completed contribution is an original integration of a bounded field problem, candidate behavioural explanations and a domain-specific engineering specification. The programme observed failure-associated non-return and a divergence between recorded performance and continuation, then documented a contrasting engagement pattern under a different package and context. It proposes that proactive support and truthful trajectory feedback could help users respond to difficulty, while structured evaluation could help the engineering team improve the innovation. FIAS remains provisional; clinical framing is a candidate explanation; Stage 3B stands as a descriptive component-study record, closed at 30 September 2026, rather than a test of the framework; and the complete adaptive-learning framework, credible-progress specification and longer-term outcomes remain to be evaluated. AI may enable particular forms of adaptation, but neither AI use nor a continuously rising display is the criterion of success. The criterion is whether documented changes produce worthwhile, credible and sustained outcomes for the intended users under stated conditions.</w:t>
      </w:r>
    </w:p>
    <w:p>
      <w:pPr>
        <w:pStyle w:val="Heading1"/>
        <w:pageBreakBefore/>
      </w:pPr>
      <w:r>
        <w:rPr>
          <w:lang w:val="en-US" w:eastAsia="en-US" w:bidi="ar-SA"/>
          <w:color w:val="000000"/>
          <w:szCs w:val="28"/>
        </w:rPr>
        <w:t>References</w:t>
      </w:r>
      <w:bookmarkEnd w:id="166"/>
    </w:p>
    <w:p>
      <w:pPr>
        <w:spacing w:after="120" w:line="276" w:lineRule="auto"/>
        <w:ind w:left="360" w:hanging="360"/>
      </w:pPr>
      <w:r>
        <w:t>Akao, Y. (1990). Quality function deployment: Integrating customer requirements into product design. Productivity Press.</w:t>
      </w:r>
    </w:p>
    <w:p>
      <w:pPr>
        <w:spacing w:after="120" w:line="276" w:lineRule="auto"/>
        <w:ind w:left="360" w:hanging="360"/>
      </w:pPr>
      <w:r>
        <w:t>Altmeyer, M., Lessel, P., &amp; Krüger, A. (2018). Investigating gamification for seniors aged 75+. In Proceedings of the 2018 Designing Interactive Systems Conference (pp. 453–458). ACM. https://doi.org/10.1145/3196709.3196799</w:t>
      </w:r>
    </w:p>
    <w:p>
      <w:pPr>
        <w:spacing w:after="120" w:line="276" w:lineRule="auto"/>
        <w:ind w:left="360" w:hanging="360"/>
      </w:pPr>
      <w:r>
        <w:t>An, S., Cheung, C. F., &amp; Lo, Y. T. (2025). Improving older adults' technology adoption on mobile map: A gamification approach. International Journal of Human–Computer Interaction, 41(15), 9633–9651. https://doi.org/10.1080/10447318.2024.2426914</w:t>
      </w:r>
    </w:p>
    <w:p>
      <w:pPr>
        <w:spacing w:after="120" w:line="276" w:lineRule="auto"/>
        <w:ind w:left="360" w:hanging="360"/>
      </w:pPr>
      <w:r>
        <w:t>An, S., Cheung, C. F., &amp; Willoughby, K. W. (2024). A gamification approach for enhancing older adults' technology adoption and knowledge transfer: A case study in mobile payments technology. Technological Forecasting and Social Change, 205, Article 123456. https://doi.org/10.1016/j.techfore.2024.123456</w:t>
      </w:r>
    </w:p>
    <w:p>
      <w:pPr>
        <w:spacing w:after="120" w:line="276" w:lineRule="auto"/>
        <w:ind w:left="360" w:hanging="360"/>
      </w:pPr>
      <w:r>
        <w:t>Antonides, G., de Groot, I. M., &amp; van Raaij, W. F. (2011). Mental budgeting and the management of household finance. Journal of Economic Psychology, 32(4), 546–555.</w:t>
      </w:r>
    </w:p>
    <w:p>
      <w:pPr>
        <w:spacing w:after="120" w:line="276" w:lineRule="auto"/>
        <w:ind w:left="360" w:hanging="360"/>
      </w:pPr>
      <w:r>
        <w:t>Baddeley, A., &amp; Wilson, B. A. (1994). When implicit learning fails: Amnesia and the problem of error elimination. Neuropsychologia, 32(1), 53–68.</w:t>
      </w:r>
    </w:p>
    <w:p>
      <w:pPr>
        <w:spacing w:after="120" w:line="276" w:lineRule="auto"/>
        <w:ind w:left="360" w:hanging="360"/>
      </w:pPr>
      <w:r>
        <w:t>Baltes, P. B., &amp; Baltes, M. M. (1990). Psychological perspectives on successful aging: The model of selective optimization with compensation. In P. B. Baltes &amp; M. M. Baltes (Eds.), Successful aging: Perspectives from the behavioral sciences (pp. 1–34). Cambridge University Press.</w:t>
      </w:r>
    </w:p>
    <w:p>
      <w:pPr>
        <w:spacing w:after="120" w:line="276" w:lineRule="auto"/>
        <w:ind w:left="360" w:hanging="360"/>
      </w:pPr>
      <w:r>
        <w:t>Bandura, A. (1977). Self-efficacy: Toward a unifying theory of behavioral change. Psychological Review, 84(2), 191–215.</w:t>
      </w:r>
    </w:p>
    <w:p>
      <w:pPr>
        <w:spacing w:after="120" w:line="276" w:lineRule="auto"/>
        <w:ind w:left="360" w:hanging="360"/>
      </w:pPr>
      <w:r>
        <w:t>Bandura, A. (1997). Self-efficacy: The exercise of control. W. H. Freeman.</w:t>
      </w:r>
    </w:p>
    <w:p>
      <w:pPr>
        <w:spacing w:after="120" w:line="276" w:lineRule="auto"/>
        <w:ind w:left="360" w:hanging="360"/>
      </w:pPr>
      <w:r>
        <w:t>Barber, S. J. (2017). An examination of age-based stereotype threat about cognitive decline. Perspectives on Psychological Science, 12(1), 62–90.</w:t>
      </w:r>
    </w:p>
    <w:p>
      <w:pPr>
        <w:spacing w:after="120" w:line="276" w:lineRule="auto"/>
        <w:ind w:left="360" w:hanging="360"/>
      </w:pPr>
      <w:r>
        <w:t>Beerda, J. (2015). Never fear gamification again. The Octalysis Group. https://octalysisgroup.com/2015/07/never-fear-gamification-again/</w:t>
      </w:r>
    </w:p>
    <w:p>
      <w:pPr>
        <w:spacing w:after="120" w:line="276" w:lineRule="auto"/>
        <w:ind w:left="360" w:hanging="360"/>
      </w:pPr>
      <w:r>
        <w:t>Bhattacherjee, A. (2001). Understanding information systems continuance: An expectation-confirmation model. MIS Quarterly, 25(3), 351–370. https://doi.org/10.2307/3250921</w:t>
      </w:r>
    </w:p>
    <w:p>
      <w:pPr>
        <w:spacing w:after="120" w:line="276" w:lineRule="auto"/>
        <w:ind w:left="360" w:hanging="360"/>
      </w:pPr>
      <w:r>
        <w:t>Bjork, E. L., &amp; Bjork, R. A. (2011). Making things hard on yourself, but in a good way: Creating desirable difficulties to enhance learning. In M. A. Gernsbacher, R. W. Pew, L. M. Hough, &amp; J. R. Pomerantz (Eds.), Psychology and the real world (pp. 56–64). Worth.</w:t>
      </w:r>
    </w:p>
    <w:p>
      <w:pPr>
        <w:spacing w:after="120" w:line="276" w:lineRule="auto"/>
        <w:ind w:left="360" w:hanging="360"/>
      </w:pPr>
      <w:r>
        <w:t>Broady, T., Chan, A., &amp; Caputi, P. (2010). Older and younger adults' attitudes towards computers. British Journal of Educational Technology, 41(3), 473–485.</w:t>
      </w:r>
    </w:p>
    <w:p>
      <w:pPr>
        <w:spacing w:after="120" w:line="276" w:lineRule="auto"/>
        <w:ind w:left="360" w:hanging="360"/>
      </w:pPr>
      <w:r>
        <w:t>Brooks, R. A. (1991). Intelligence without representation. Artificial Intelligence, 47(1–3), 139–159.</w:t>
      </w:r>
    </w:p>
    <w:p>
      <w:pPr>
        <w:spacing w:after="120" w:line="276" w:lineRule="auto"/>
        <w:ind w:left="360" w:hanging="360"/>
      </w:pPr>
      <w:r>
        <w:t>Centers for Disease Control and Prevention. (2023). Facts about falls. U.S. Department of Health and Human Services.</w:t>
      </w:r>
    </w:p>
    <w:p>
      <w:pPr>
        <w:spacing w:after="120" w:line="276" w:lineRule="auto"/>
        <w:ind w:left="360" w:hanging="360"/>
      </w:pPr>
      <w:r>
        <w:t>Census and Statistics Department. (2023). Hong Kong population projections 2022–2046. Hong Kong Special Administrative Region Government. https://www.censtatd.gov.hk/en/data/stat_report/product/B1120015/att/B1120015092023XXXXB01.pdf</w:t>
      </w:r>
    </w:p>
    <w:p>
      <w:pPr>
        <w:spacing w:after="120" w:line="276" w:lineRule="auto"/>
        <w:ind w:left="360" w:hanging="360"/>
      </w:pPr>
      <w:r>
        <w:t>Chan, L.-K., &amp; Wu, M.-L. (2002). Quality function deployment: A literature review. European Journal of Operational Research, 143(3), 463–497.</w:t>
      </w:r>
    </w:p>
    <w:p>
      <w:pPr>
        <w:spacing w:after="120" w:line="276" w:lineRule="auto"/>
        <w:ind w:left="360" w:hanging="360"/>
      </w:pPr>
      <w:r>
        <w:t>Chen, G., Gully, S. M., &amp; Eden, D. (2001). Validation of a new general self-efficacy scale. Organizational Research Methods, 4(1), 62–83.</w:t>
      </w:r>
    </w:p>
    <w:p>
      <w:pPr>
        <w:spacing w:after="120" w:line="276" w:lineRule="auto"/>
        <w:ind w:left="360" w:hanging="360"/>
      </w:pPr>
      <w:r>
        <w:t>Chen, K., &amp; Chan, A. H. S. (2014). Gerontechnology acceptance by elderly Hong Kong Chinese: A senior technology acceptance model (STAM). Ergonomics, 57(5), 635–652.</w:t>
      </w:r>
    </w:p>
    <w:p>
      <w:pPr>
        <w:spacing w:after="120" w:line="276" w:lineRule="auto"/>
        <w:ind w:left="360" w:hanging="360"/>
      </w:pPr>
      <w:r>
        <w:t>Chou, Y. (2015). Actionable gamification: Beyond points, badges, and leaderboards. Octalysis Media.</w:t>
      </w:r>
    </w:p>
    <w:p>
      <w:pPr>
        <w:spacing w:after="120" w:line="276" w:lineRule="auto"/>
        <w:ind w:left="360" w:hanging="360"/>
      </w:pPr>
      <w:r>
        <w:t>Compeau, D. R., &amp; Higgins, C. A. (1995). Computer self-efficacy: Development of a measure and initial test. MIS Quarterly, 19(2), 189–211.</w:t>
      </w:r>
    </w:p>
    <w:p>
      <w:pPr>
        <w:spacing w:after="120" w:line="276" w:lineRule="auto"/>
        <w:ind w:left="360" w:hanging="360"/>
      </w:pPr>
      <w:r>
        <w:t>Cruz Rivera, S., Liu, X., Chan, A.-W., Denniston, A. K., Calvert, M. J., &amp; SPIRIT-AI and CONSORT-AI Working Group. (2020). Guidelines for clinical trial protocols for interventions involving artificial intelligence: The SPIRIT-AI extension. Nature Medicine, 26(9), 1351–1363. https://doi.org/10.1038/s41591-020-1037-7</w:t>
      </w:r>
    </w:p>
    <w:p>
      <w:pPr>
        <w:spacing w:after="120" w:line="276" w:lineRule="auto"/>
        <w:ind w:left="360" w:hanging="360"/>
      </w:pPr>
      <w:r>
        <w:t>Csikszentmihalyi, M. (1990). Flow: The psychology of optimal experience. Harper &amp; Row.</w:t>
      </w:r>
    </w:p>
    <w:p>
      <w:pPr>
        <w:spacing w:after="120" w:line="276" w:lineRule="auto"/>
        <w:ind w:left="360" w:hanging="360"/>
      </w:pPr>
      <w:r>
        <w:t>Czaja, S. J., Boot, W. R., Charness, N., Rogers, W. A., &amp; Sharit, J. (2018). Improving social support for older adults through technology: Findings from the PRISM randomized controlled trial. The Gerontologist, 58(3), 467–477. https://doi.org/10.1093/geront/gnw249</w:t>
      </w:r>
    </w:p>
    <w:p>
      <w:pPr>
        <w:spacing w:after="120" w:line="276" w:lineRule="auto"/>
        <w:ind w:left="360" w:hanging="360"/>
      </w:pPr>
      <w:r>
        <w:t>D'Mello, S., &amp; Graesser, A. (2012). Dynamics of affective states during complex learning. Learning and Instruction, 22(2), 145–157.</w:t>
      </w:r>
    </w:p>
    <w:p>
      <w:pPr>
        <w:spacing w:after="120" w:line="276" w:lineRule="auto"/>
        <w:ind w:left="360" w:hanging="360"/>
      </w:pPr>
      <w:r>
        <w:t>Davis, F. D. (1989). Perceived usefulness, perceived ease of use, and user acceptance of information technology. MIS Quarterly, 13(3), 319–340.</w:t>
      </w:r>
    </w:p>
    <w:p>
      <w:pPr>
        <w:spacing w:after="120" w:line="276" w:lineRule="auto"/>
        <w:ind w:left="360" w:hanging="360"/>
      </w:pPr>
      <w:r>
        <w:t>Deci, E. L., &amp; Ryan, R. M. (1985). Intrinsic motivation and self-determination in human behavior. Plenum.</w:t>
      </w:r>
    </w:p>
    <w:p>
      <w:pPr>
        <w:spacing w:after="120" w:line="276" w:lineRule="auto"/>
        <w:ind w:left="360" w:hanging="360"/>
      </w:pPr>
      <w:r>
        <w:t>Deterding, S., Dixon, D., Khaled, R., &amp; Nacke, L. (2011). From game design elements to gamefulness: Defining gamification. In Proceedings of the 15th International Academic MindTrek Conference (pp. 9–15). ACM.</w:t>
      </w:r>
    </w:p>
    <w:p>
      <w:pPr>
        <w:spacing w:after="120" w:line="276" w:lineRule="auto"/>
        <w:ind w:left="360" w:hanging="360"/>
      </w:pPr>
      <w:r>
        <w:t>Elliot, A. J., &amp; Murayama, K. (2008). On the measurement of achievement goals: Critique, illustration, and application. Journal of Educational Psychology, 100(3), 613–628.</w:t>
      </w:r>
    </w:p>
    <w:p>
      <w:pPr>
        <w:spacing w:after="120" w:line="276" w:lineRule="auto"/>
        <w:ind w:left="360" w:hanging="360"/>
      </w:pPr>
      <w:r>
        <w:t>Eysenbach, G. (2005). The law of attrition. Journal of Medical Internet Research, 7(1), e11.</w:t>
      </w:r>
    </w:p>
    <w:p>
      <w:pPr>
        <w:spacing w:after="120" w:line="276" w:lineRule="auto"/>
        <w:ind w:left="360" w:hanging="360"/>
      </w:pPr>
      <w:r>
        <w:t>Festinger, L. (1954). A theory of social comparison processes. Human Relations, 7(2), 117–140.</w:t>
      </w:r>
    </w:p>
    <w:p>
      <w:pPr>
        <w:spacing w:after="120" w:line="276" w:lineRule="auto"/>
        <w:ind w:left="360" w:hanging="360"/>
      </w:pPr>
      <w:r>
        <w:t>Frey, B. S., &amp; Jegen, R. (2001). Motivation crowding theory. Journal of Economic Surveys, 15(5), 589–611.</w:t>
      </w:r>
    </w:p>
    <w:p>
      <w:pPr>
        <w:spacing w:after="120" w:line="276" w:lineRule="auto"/>
        <w:ind w:left="360" w:hanging="360"/>
      </w:pPr>
      <w:r>
        <w:t>Gadbois, E. A., Jimenez, F., Brazier, J. F., Davoodi, N. M., Nunn, A. S., Mills, W. L., Dosa, D., &amp; Thomas, K. S. (2022). Findings from Talking Tech: A technology training pilot intervention to reduce loneliness and social isolation among homebound older adults. Innovation in Aging, 6(5), igac040. https://doi.org/10.1093/geroni/igac040</w:t>
      </w:r>
    </w:p>
    <w:p>
      <w:pPr>
        <w:spacing w:after="120" w:line="276" w:lineRule="auto"/>
        <w:ind w:left="360" w:hanging="360"/>
      </w:pPr>
      <w:r>
        <w:t>GrandPad. (n.d.). GrandPad: The tablet for seniors [Product and subscription information]. GrandPad, Inc. https://www.grandpad.net</w:t>
      </w:r>
    </w:p>
    <w:p>
      <w:pPr>
        <w:spacing w:after="120" w:line="276" w:lineRule="auto"/>
        <w:ind w:left="360" w:hanging="360"/>
      </w:pPr>
      <w:r>
        <w:t>GrandPad. (2020, June 3). GrandPad introduces connected device capabilities to support telehealth and virtual care for healthcare providers [Press release]. GrandPad, Inc.</w:t>
      </w:r>
    </w:p>
    <w:p>
      <w:pPr>
        <w:spacing w:after="120" w:line="276" w:lineRule="auto"/>
        <w:ind w:left="360" w:hanging="360"/>
      </w:pPr>
      <w:r>
        <w:t>GrandPad. (2021, October 13). GrandPad sees expanded adoption of telehealth platform by PACE programs [Vendor press release including the Element Care case: remote patient monitoring within a supervised care (PACE) programme; used to identify functions, not to establish effectiveness]. GrandPad, Inc.</w:t>
      </w:r>
    </w:p>
    <w:p>
      <w:pPr>
        <w:spacing w:after="120" w:line="276" w:lineRule="auto"/>
        <w:ind w:left="360" w:hanging="360"/>
      </w:pPr>
      <w:r>
        <w:t>Greenhalgh, T., Wherton, J., Papoutsi, C., Lynch, J., Hughes, G., A'Court, C., Hinder, S., Fahy, N., Procter, R., &amp; Shaw, S. (2017). Beyond adoption: A new framework for theorizing and evaluating nonadoption, abandonment, and challenges to the scale-up, spread, and sustainability of health and care technologies. Journal of Medical Internet Research, 19(11), e367.</w:t>
      </w:r>
    </w:p>
    <w:p>
      <w:pPr>
        <w:spacing w:after="120" w:line="276" w:lineRule="auto"/>
        <w:ind w:left="360" w:hanging="360"/>
      </w:pPr>
      <w:r>
        <w:t>Harnad, S. (1990). The symbol grounding problem. Physica D: Nonlinear Phenomena, 42(1–3), 335–346.</w:t>
      </w:r>
    </w:p>
    <w:p>
      <w:pPr>
        <w:spacing w:after="120" w:line="276" w:lineRule="auto"/>
        <w:ind w:left="360" w:hanging="360"/>
      </w:pPr>
      <w:r>
        <w:t>Hawthorn, D. (2007). Interface design and engagement with older people. Behaviour &amp; Information Technology, 26(4), 333–341.</w:t>
      </w:r>
    </w:p>
    <w:p>
      <w:pPr>
        <w:spacing w:after="120" w:line="276" w:lineRule="auto"/>
        <w:ind w:left="360" w:hanging="360"/>
      </w:pPr>
      <w:r>
        <w:t>Holt, C. A., &amp; Laury, S. K. (2002). Risk aversion and incentive effects. American Economic Review, 92(5), 1644–1655.</w:t>
      </w:r>
    </w:p>
    <w:p>
      <w:pPr>
        <w:spacing w:after="120" w:line="276" w:lineRule="auto"/>
        <w:ind w:left="360" w:hanging="360"/>
      </w:pPr>
      <w:r>
        <w:t>Howell, J. L., &amp; Shepperd, J. A. (2012). Reducing information avoidance through affirmation. Psychological Science, 23(2), 141–145. https://doi.org/10.1177/0956797611424164</w:t>
      </w:r>
    </w:p>
    <w:p>
      <w:pPr>
        <w:spacing w:after="120" w:line="276" w:lineRule="auto"/>
        <w:ind w:left="360" w:hanging="360"/>
      </w:pPr>
      <w:r>
        <w:t>InBody Co., Ltd. (2022). InBody FRA510S: Fall risk assessment system — user manual and product catalogue. InBody Co., Ltd.</w:t>
      </w:r>
    </w:p>
    <w:p>
      <w:pPr>
        <w:spacing w:after="120" w:line="276" w:lineRule="auto"/>
        <w:ind w:left="360" w:hanging="360"/>
      </w:pPr>
      <w:r>
        <w:t>Institute for Healthcare Improvement. (n.d.). Model for Improvement: Testing changes. https://www.ihi.org/library/model-for-improvement/testing-changes</w:t>
      </w:r>
    </w:p>
    <w:p>
      <w:pPr>
        <w:spacing w:after="120" w:line="276" w:lineRule="auto"/>
        <w:ind w:left="360" w:hanging="360"/>
      </w:pPr>
      <w:r>
        <w:t>Juul, J. (2013). The art of failure: An essay on the pain of playing video games. MIT Press.</w:t>
      </w:r>
    </w:p>
    <w:p>
      <w:pPr>
        <w:spacing w:after="120" w:line="276" w:lineRule="auto"/>
        <w:ind w:left="360" w:hanging="360"/>
      </w:pPr>
      <w:r>
        <w:t>Kahneman, D., Knetsch, J. L., &amp; Thaler, R. H. (1990). Experimental tests of the endowment effect and the Coase theorem. Journal of Political Economy, 98(6), 1325–1348.</w:t>
      </w:r>
    </w:p>
    <w:p>
      <w:pPr>
        <w:spacing w:after="120" w:line="276" w:lineRule="auto"/>
        <w:ind w:left="360" w:hanging="360"/>
      </w:pPr>
      <w:r>
        <w:t>Kahneman, D., &amp; Tversky, A. (1979). Prospect theory: An analysis of decision under risk. Econometrica, 47(2), 263–292.</w:t>
      </w:r>
    </w:p>
    <w:p>
      <w:pPr>
        <w:spacing w:after="120" w:line="276" w:lineRule="auto"/>
        <w:ind w:left="360" w:hanging="360"/>
      </w:pPr>
      <w:r>
        <w:t>Kapur, M. (2008). Productive failure. Cognition and Instruction, 26(3), 379–424.</w:t>
      </w:r>
    </w:p>
    <w:p>
      <w:pPr>
        <w:spacing w:after="120" w:line="276" w:lineRule="auto"/>
        <w:ind w:left="360" w:hanging="360"/>
      </w:pPr>
      <w:r>
        <w:t>Kim, M., Kim, S., &amp; Won, C. W. (2018). Test–retest reliability and sensitivity to change of a new fall risk assessment system: A pilot study. Annals of Geriatric Medicine and Research, 22(2), 80–87. https://doi.org/10.4235/agmr.2018.22.2.80</w:t>
      </w:r>
    </w:p>
    <w:p>
      <w:pPr>
        <w:spacing w:after="120" w:line="276" w:lineRule="auto"/>
        <w:ind w:left="360" w:hanging="360"/>
      </w:pPr>
      <w:r>
        <w:t>King, W. R., &amp; He, J. (2006). A meta-analysis of the technology acceptance model. Information &amp; Management, 43(6), 740–755.</w:t>
      </w:r>
    </w:p>
    <w:p>
      <w:pPr>
        <w:spacing w:after="120" w:line="276" w:lineRule="auto"/>
        <w:ind w:left="360" w:hanging="360"/>
      </w:pPr>
      <w:r>
        <w:t>Koivisto, J., &amp; Malik, A. (2021). Gamification for older adults: A systematic literature review. The Gerontologist, 61(7), e360–e372.</w:t>
      </w:r>
    </w:p>
    <w:p>
      <w:pPr>
        <w:spacing w:after="120" w:line="276" w:lineRule="auto"/>
        <w:ind w:left="360" w:hanging="360"/>
      </w:pPr>
      <w:r>
        <w:t>Kroenke, K., Spitzer, R. L., Williams, J. B. W., &amp; Löwe, B. (2009). An ultra-brief screening scale for anxiety and depression: The PHQ-4. Psychosomatics, 50(6), 613–621.</w:t>
      </w:r>
    </w:p>
    <w:p>
      <w:pPr>
        <w:spacing w:after="120" w:line="276" w:lineRule="auto"/>
        <w:ind w:left="360" w:hanging="360"/>
      </w:pPr>
      <w:r>
        <w:t>Lazar, A., Koehler, C., Tanenbaum, J., &amp; Nguyen, D. H. (2015). Why we use and abandon smart devices. In Proceedings of the 2015 ACM International Joint Conference on Pervasive and Ubiquitous Computing (UbiComp '15) (pp. 635–646). ACM. https://doi.org/10.1145/2750858.2804288</w:t>
      </w:r>
    </w:p>
    <w:p>
      <w:pPr>
        <w:spacing w:after="120" w:line="276" w:lineRule="auto"/>
        <w:ind w:left="360" w:hanging="360"/>
      </w:pPr>
      <w:r>
        <w:t>Lee, C., &amp; Coughlin, J. F. (2015). Older adults' adoption of technology: An integrated approach to identifying determinants and barriers. Journal of Product Innovation Management, 32(5), 747–759.</w:t>
      </w:r>
    </w:p>
    <w:p>
      <w:pPr>
        <w:spacing w:after="120" w:line="276" w:lineRule="auto"/>
        <w:ind w:left="360" w:hanging="360"/>
      </w:pPr>
      <w:r>
        <w:t>Levy, B. R., Slade, M. D., Kunkel, S. R., &amp; Kasl, S. V. (2002). Longevity increased by positive self-perceptions of aging. Journal of Personality and Social Psychology, 83(2), 261–270.</w:t>
      </w:r>
    </w:p>
    <w:p>
      <w:pPr>
        <w:spacing w:after="120" w:line="276" w:lineRule="auto"/>
        <w:ind w:left="360" w:hanging="360"/>
      </w:pPr>
      <w:r>
        <w:t>Lewin, K. (1946). Action research and minority problems. Journal of Social Issues, 2(4), 34–46.</w:t>
      </w:r>
    </w:p>
    <w:p>
      <w:pPr>
        <w:spacing w:after="120" w:line="276" w:lineRule="auto"/>
        <w:ind w:left="360" w:hanging="360"/>
      </w:pPr>
      <w:r>
        <w:t>Liu, X., Cruz Rivera, S., Moher, D., Calvert, M. J., Denniston, A. K., &amp; SPIRIT-AI and CONSORT-AI Working Group. (2020). Reporting guidelines for clinical trial reports for interventions involving artificial intelligence: The CONSORT-AI extension. Nature Medicine, 26(9), 1364–1374. https://doi.org/10.1038/s41591-020-1034-x</w:t>
      </w:r>
    </w:p>
    <w:p>
      <w:pPr>
        <w:spacing w:after="120" w:line="276" w:lineRule="auto"/>
        <w:ind w:left="360" w:hanging="360"/>
      </w:pPr>
      <w:r>
        <w:t>Locke, E. A., &amp; Latham, G. P. (2002). Building a practically useful theory of goal setting and task motivation: A 35-year odyssey. American Psychologist, 57(9), 705–717.</w:t>
      </w:r>
    </w:p>
    <w:p>
      <w:pPr>
        <w:spacing w:after="120" w:line="276" w:lineRule="auto"/>
        <w:ind w:left="360" w:hanging="360"/>
      </w:pPr>
      <w:r>
        <w:t>McGlone, M. S., &amp; Aronson, J. (2006). Stereotype threat, identity salience, and spatial reasoning. Journal of Applied Developmental Psychology, 27(5), 486–493.</w:t>
      </w:r>
    </w:p>
    <w:p>
      <w:pPr>
        <w:spacing w:after="120" w:line="276" w:lineRule="auto"/>
        <w:ind w:left="360" w:hanging="360"/>
      </w:pPr>
      <w:r>
        <w:t>Michie, S., van Stralen, M. M., &amp; West, R. (2011). The behaviour change wheel: A new method for characterising and designing behaviour change interventions. Implementation Science, 6, 42.</w:t>
      </w:r>
    </w:p>
    <w:p>
      <w:pPr>
        <w:spacing w:after="120" w:line="276" w:lineRule="auto"/>
        <w:ind w:left="360" w:hanging="360"/>
      </w:pPr>
      <w:r>
        <w:t>Nasreddine, Z. S., Phillips, N. A., Bédirian, V., Charbonneau, S., Whitehead, V., Collin, I., Cummings, J. L., &amp; Chertkow, H. (2005). The Montreal Cognitive Assessment, MoCA: A brief screening tool for mild cognitive impairment. Journal of the American Geriatrics Society, 53(4), 695–699.</w:t>
      </w:r>
    </w:p>
    <w:p>
      <w:pPr>
        <w:spacing w:after="120" w:line="276" w:lineRule="auto"/>
        <w:ind w:left="360" w:hanging="360"/>
      </w:pPr>
      <w:r>
        <w:t>National Bureau of Statistics of China. (2025, January 17). National economy witnessed steady progress amidst stability with major development targets achieved successfully in 2024 [Press release]. https://www.stats.gov.cn/english/PressRelease/202501/t20250117_1958330.html</w:t>
      </w:r>
    </w:p>
    <w:p>
      <w:pPr>
        <w:spacing w:after="120" w:line="276" w:lineRule="auto"/>
        <w:ind w:left="360" w:hanging="360"/>
      </w:pPr>
      <w:r>
        <w:t>OECD/Eurostat. (2018). Oslo manual 2018: Guidelines for collecting, reporting and using data on innovation (4th ed.). OECD Publishing. https://doi.org/10.1787/9789264304604-en</w:t>
      </w:r>
    </w:p>
    <w:p>
      <w:pPr>
        <w:spacing w:after="120" w:line="276" w:lineRule="auto"/>
        <w:ind w:left="360" w:hanging="360"/>
      </w:pPr>
      <w:r>
        <w:t>Park, D. C., Lodi-Smith, J., Drew, L., Haber, S., Hebrank, A., Bischof, G. N., &amp; Aamodt, W. (2014). The impact of sustained engagement on cognitive function in older adults: The Synapse Project. Psychological Science, 25(1), 103–112. https://doi.org/10.1177/0956797613499592</w:t>
      </w:r>
    </w:p>
    <w:p>
      <w:pPr>
        <w:spacing w:after="120" w:line="276" w:lineRule="auto"/>
        <w:ind w:left="360" w:hanging="360"/>
      </w:pPr>
      <w:r>
        <w:t>Park, W.-C., Kim, M., Kim, S., Yoo, J., Kim, B. S., Chon, J., Jeong, S. J., &amp; Won, C. W. (2019). Introduction of fall risk assessment (FRA) system and cross-sectional validation among community-dwelling older adults. Annals of Rehabilitation Medicine, 43(1), 87–95. https://doi.org/10.5535/arm.2019.43.1.87</w:t>
      </w:r>
    </w:p>
    <w:p>
      <w:pPr>
        <w:spacing w:after="120" w:line="276" w:lineRule="auto"/>
        <w:ind w:left="360" w:hanging="360"/>
      </w:pPr>
      <w:r>
        <w:t>Peek, S. T. M., Wouters, E. J. M., van Hoof, J., Luijkx, K. G., Boeije, H. R., &amp; Vrijhoef, H. J. M. (2014). Factors influencing acceptance of technology for aging in place: A systematic review. International Journal of Medical Informatics, 83(4), 235–248. https://doi.org/10.1016/j.ijmedinf.2014.01.004</w:t>
      </w:r>
    </w:p>
    <w:p>
      <w:pPr>
        <w:spacing w:after="120" w:line="276" w:lineRule="auto"/>
        <w:ind w:left="360" w:hanging="360"/>
      </w:pPr>
      <w:r>
        <w:t>Perissinotto, C., Zhang, C., Oseau, T., Balik, D., Sou, C., Burnight, C., &amp; Burnight, K. (2019). Feasibility of a tablet designed for older adults to facilitate telemedicine visits [Conference abstract]. Innovation in Aging, 3(Suppl. 1), S975. https://doi.org/10.1093/geroni/igz038.3534</w:t>
      </w:r>
    </w:p>
    <w:p>
      <w:pPr>
        <w:spacing w:after="120" w:line="276" w:lineRule="auto"/>
        <w:ind w:left="360" w:hanging="360"/>
      </w:pPr>
      <w:r>
        <w:t>Phillips, B., &amp; Zhao, H. (1993). Predictors of assistive technology abandonment. Assistive Technology, 5(1), 36–45. https://doi.org/10.1080/10400435.1993.10132205</w:t>
      </w:r>
    </w:p>
    <w:p>
      <w:pPr>
        <w:spacing w:after="120" w:line="276" w:lineRule="auto"/>
        <w:ind w:left="360" w:hanging="360"/>
      </w:pPr>
      <w:r>
        <w:t>Picard, R. W. (1997). Affective computing. MIT Press.</w:t>
      </w:r>
    </w:p>
    <w:p>
      <w:pPr>
        <w:spacing w:after="120" w:line="276" w:lineRule="auto"/>
        <w:ind w:left="360" w:hanging="360"/>
      </w:pPr>
      <w:r>
        <w:t>Plass, J. L., Homer, B. D., &amp; Kinzer, C. K. (2015). Foundations of game-based learning. Educational Psychologist, 50(4), 258–283.</w:t>
      </w:r>
    </w:p>
    <w:p>
      <w:pPr>
        <w:spacing w:after="120" w:line="276" w:lineRule="auto"/>
        <w:ind w:left="360" w:hanging="360"/>
      </w:pPr>
      <w:r>
        <w:t>Plott, C. R., &amp; Zeiler, K. (2005). The willingness to pay–willingness to accept gap, the ‘endowment effect,’ subject misconceptions, and experimental procedures for eliciting valuations. American Economic Review, 95(3), 530–545. https://doi.org/10.1257/0002828054201387</w:t>
      </w:r>
    </w:p>
    <w:p>
      <w:pPr>
        <w:spacing w:after="120" w:line="276" w:lineRule="auto"/>
        <w:ind w:left="360" w:hanging="360"/>
      </w:pPr>
      <w:r>
        <w:t>Reason, P., &amp; Bradbury, H. (Eds.). (2008). The SAGE handbook of action research: Participative inquiry and practice (2nd ed.). SAGE.</w:t>
      </w:r>
    </w:p>
    <w:p>
      <w:pPr>
        <w:spacing w:after="120" w:line="276" w:lineRule="auto"/>
        <w:ind w:left="360" w:hanging="360"/>
      </w:pPr>
      <w:r>
        <w:t>Ryan, R. M., &amp; Deci, E. L. (2000). Self-determination theory and the facilitation of intrinsic motivation, social development, and well-being. American Psychologist, 55(1), 68–78.</w:t>
      </w:r>
    </w:p>
    <w:p>
      <w:pPr>
        <w:spacing w:after="120" w:line="276" w:lineRule="auto"/>
        <w:ind w:left="360" w:hanging="360"/>
      </w:pPr>
      <w:r>
        <w:t>Satchell, C., &amp; Dourish, P. (2009). Beyond the user: Use and non-use in HCI. In Proceedings of OzCHI 2009 (pp. 9–16). ACM.</w:t>
      </w:r>
    </w:p>
    <w:p>
      <w:pPr>
        <w:spacing w:after="120" w:line="276" w:lineRule="auto"/>
        <w:ind w:left="360" w:hanging="360"/>
      </w:pPr>
      <w:r>
        <w:t>Schroeder, T., Dodds, L., Georgiou, A., Gewald, H., &amp; Siette, J. (2023). Older adults and new technology: Mapping review of the factors associated with older adults' intention to adopt digital technologies. JMIR Aging, 6, e44564.</w:t>
      </w:r>
    </w:p>
    <w:p>
      <w:pPr>
        <w:spacing w:after="120" w:line="276" w:lineRule="auto"/>
        <w:ind w:left="360" w:hanging="360"/>
      </w:pPr>
      <w:r>
        <w:t>Shannon, C. E. (1948). A mathematical theory of communication. Bell System Technical Journal, 27(3), 379–423; 27(4), 623–656.</w:t>
      </w:r>
    </w:p>
    <w:p>
      <w:pPr>
        <w:spacing w:after="120" w:line="276" w:lineRule="auto"/>
        <w:ind w:left="360" w:hanging="360"/>
      </w:pPr>
      <w:r>
        <w:t>Soderstrom, N. C., &amp; Bjork, R. A. (2015). Learning versus performance: An integrative review. Perspectives on Psychological Science, 10(2), 176–199. https://doi.org/10.1177/1745691615569000</w:t>
      </w:r>
    </w:p>
    <w:p>
      <w:pPr>
        <w:spacing w:after="120" w:line="276" w:lineRule="auto"/>
        <w:ind w:left="360" w:hanging="360"/>
      </w:pPr>
      <w:r>
        <w:t>Standing Committee of the National People's Congress. (2021). Personal information protection law of the People's Republic of China.</w:t>
      </w:r>
    </w:p>
    <w:p>
      <w:pPr>
        <w:spacing w:after="120" w:line="276" w:lineRule="auto"/>
        <w:ind w:left="360" w:hanging="360"/>
      </w:pPr>
      <w:r>
        <w:t>State Council of the People's Republic of China. (2025, January 10). China accelerates elderly care reforms as population ages [News release]. https://english.www.gov.cn/news/202501/10/content_WS67805ca4c6d0868f4e8eea64.html</w:t>
      </w:r>
    </w:p>
    <w:p>
      <w:pPr>
        <w:spacing w:after="120" w:line="276" w:lineRule="auto"/>
        <w:ind w:left="360" w:hanging="360"/>
      </w:pPr>
      <w:r>
        <w:t>Steele, C. M., &amp; Aronson, J. (1995). Stereotype threat and the intellectual test performance of African Americans. Journal of Personality and Social Psychology, 69(5), 797–811.</w:t>
      </w:r>
    </w:p>
    <w:p>
      <w:pPr>
        <w:spacing w:after="120" w:line="276" w:lineRule="auto"/>
        <w:ind w:left="360" w:hanging="360"/>
      </w:pPr>
      <w:r>
        <w:t>Stringer, E. T. (2014). Action research (4th ed.). SAGE.</w:t>
      </w:r>
    </w:p>
    <w:p>
      <w:pPr>
        <w:spacing w:after="120" w:line="276" w:lineRule="auto"/>
        <w:ind w:left="360" w:hanging="360"/>
      </w:pPr>
      <w:r>
        <w:t>Tam, S. K. T., &amp; Cheung, C. F. (under review). Gamification as a proactive approach: A study of elderly failure-induced abandonment in gamified fall risk assessment [Manuscript JIKMS2602466, submitted 9 September 2026]. Journal of Information and Knowledge Management.</w:t>
      </w:r>
    </w:p>
    <w:p>
      <w:pPr>
        <w:spacing w:after="120" w:line="276" w:lineRule="auto"/>
        <w:ind w:left="360" w:hanging="360"/>
      </w:pPr>
      <w:r>
        <w:t>Tam, S. K. T., &amp; Cheung, C. F. (2026). Investigating low utilisation of Fall Risk Assessment among elderly users: A critical review through TAM and Octalysis frameworks with gamification approach [Paper SS-293]. Proceedings of the 10th International Conference on Management Engineering, Software Engineering and Service Sciences (ICMSS 2026), Wuhan, China, 20–22 March 2026. Conference Publishing Services.</w:t>
      </w:r>
    </w:p>
    <w:p>
      <w:pPr>
        <w:spacing w:after="120" w:line="276" w:lineRule="auto"/>
        <w:ind w:left="360" w:hanging="360"/>
      </w:pPr>
      <w:r>
        <w:t>Tha, S. H., Hough, K., Bui, N., Dulaney, S., &amp; Perissinotto, C. (2025). The use of age-friendly technology in the care of older adults: Two implementation case studies. Journal of Applied Gerontology. Advance online publication. https://doi.org/10.1177/07334648251343513</w:t>
      </w:r>
    </w:p>
    <w:p>
      <w:pPr>
        <w:spacing w:after="120" w:line="276" w:lineRule="auto"/>
        <w:ind w:left="360" w:hanging="360"/>
      </w:pPr>
      <w:r>
        <w:t>Thaler, R. H. (1980). Toward a positive theory of consumer choice. Journal of Economic Behavior &amp; Organization, 1(1), 39–60.</w:t>
      </w:r>
    </w:p>
    <w:p>
      <w:pPr>
        <w:spacing w:after="120" w:line="276" w:lineRule="auto"/>
        <w:ind w:left="360" w:hanging="360"/>
      </w:pPr>
      <w:r>
        <w:t>Thaler, R. H. (1985). Mental accounting and consumer choice. Marketing Science, 4(3), 199–214.</w:t>
      </w:r>
    </w:p>
    <w:p>
      <w:pPr>
        <w:spacing w:after="120" w:line="276" w:lineRule="auto"/>
        <w:ind w:left="360" w:hanging="360"/>
      </w:pPr>
      <w:r>
        <w:t>Tsai, T. H., Lin, W. Y., Chang, Y. S., Chang, P. C., &amp; Lee, M. Y. (2020). Technology anxiety and resistance to change: Behavioural study of a wearable cardiac warming system using an extended TAM for older adults. PLOS ONE, 15(1), e0227270. https://doi.org/10.1371/journal.pone.0227270</w:t>
      </w:r>
    </w:p>
    <w:p>
      <w:pPr>
        <w:spacing w:after="120" w:line="276" w:lineRule="auto"/>
        <w:ind w:left="360" w:hanging="360"/>
      </w:pPr>
      <w:r>
        <w:t>Tversky, A., &amp; Kahneman, D. (1991). Loss aversion in riskless choice: A reference-dependent model. Quarterly Journal of Economics, 106(4), 1039–1061.</w:t>
      </w:r>
    </w:p>
    <w:p>
      <w:pPr>
        <w:spacing w:after="120" w:line="276" w:lineRule="auto"/>
        <w:ind w:left="360" w:hanging="360"/>
      </w:pPr>
      <w:r>
        <w:t>VanLehn, K. (2011). The relative effectiveness of human tutoring, intelligent tutoring systems, and other tutoring systems. Educational Psychologist, 46(4), 197–221.</w:t>
      </w:r>
    </w:p>
    <w:p>
      <w:pPr>
        <w:spacing w:after="120" w:line="276" w:lineRule="auto"/>
        <w:ind w:left="360" w:hanging="360"/>
      </w:pPr>
      <w:r>
        <w:t>Venkatesh, V., &amp; Bala, H. (2008). Technology acceptance model 3 and a research agenda on interventions. Decision Sciences, 39(2), 273–315.</w:t>
      </w:r>
    </w:p>
    <w:p>
      <w:pPr>
        <w:spacing w:after="120" w:line="276" w:lineRule="auto"/>
        <w:ind w:left="360" w:hanging="360"/>
      </w:pPr>
      <w:r>
        <w:t>Venkatesh, V., &amp; Davis, F. D. (2000). A theoretical extension of the technology acceptance model: Four longitudinal field studies. Management Science, 46(2), 186–204.</w:t>
      </w:r>
    </w:p>
    <w:p>
      <w:pPr>
        <w:spacing w:after="120" w:line="276" w:lineRule="auto"/>
        <w:ind w:left="360" w:hanging="360"/>
      </w:pPr>
      <w:r>
        <w:t>Venkatesh, V., Morris, M. G., Davis, G. B., &amp; Davis, F. D. (2003). User acceptance of information technology: Toward a unified view. MIS Quarterly, 27(3), 425–478.</w:t>
      </w:r>
    </w:p>
    <w:p>
      <w:pPr>
        <w:spacing w:after="120" w:line="276" w:lineRule="auto"/>
        <w:ind w:left="360" w:hanging="360"/>
      </w:pPr>
      <w:r>
        <w:t>Vickers, A. J., &amp; Elkin, E. B. (2006). Decision curve analysis: A novel method for evaluating prediction models. Medical Decision Making, 26(6), 565–574.</w:t>
      </w:r>
    </w:p>
    <w:p>
      <w:pPr>
        <w:spacing w:after="120" w:line="276" w:lineRule="auto"/>
        <w:ind w:left="360" w:hanging="360"/>
      </w:pPr>
      <w:r>
        <w:t>Vygotsky, L. S. (1978). Mind in society: The development of higher psychological processes. Harvard University Press.</w:t>
      </w:r>
    </w:p>
    <w:p>
      <w:pPr>
        <w:spacing w:after="120" w:line="276" w:lineRule="auto"/>
        <w:ind w:left="360" w:hanging="360"/>
      </w:pPr>
      <w:r>
        <w:t>Wittgenstein, L. (1922). Tractatus logico-philosophicus (C. K. Ogden, Trans.). Kegan Paul, Trench, Trubner. (Original work published 1921)</w:t>
      </w:r>
    </w:p>
    <w:p>
      <w:pPr>
        <w:spacing w:after="120" w:line="276" w:lineRule="auto"/>
        <w:ind w:left="360" w:hanging="360"/>
      </w:pPr>
      <w:r>
        <w:t>World Health Organization. (2007). WHO global report on falls prevention in older age. World Health Organization.</w:t>
      </w:r>
    </w:p>
    <w:p>
      <w:pPr>
        <w:spacing w:after="120" w:line="276" w:lineRule="auto"/>
        <w:ind w:left="360" w:hanging="360"/>
      </w:pPr>
      <w:r>
        <w:t>World Health Organization. (2023). Falls (Fact sheet). World Health Organization. https://www.who.int/news-room/fact-sheets/detail/falls</w:t>
      </w:r>
    </w:p>
    <w:p>
      <w:pPr>
        <w:spacing w:after="120" w:line="276" w:lineRule="auto"/>
        <w:ind w:left="360" w:hanging="360"/>
      </w:pPr>
      <w:r>
        <w:t>World Health Organization. (2024). Ageing and health (Fact sheet). World Health Organization. https://www.who.int/news-room/fact-sheets/detail/ageing-and-health</w:t>
      </w:r>
    </w:p>
    <w:p>
      <w:pPr>
        <w:spacing w:after="120" w:line="276" w:lineRule="auto"/>
        <w:ind w:left="360" w:hanging="360"/>
      </w:pPr>
      <w:r>
        <w:t>Yardley, L., Beyer, N., Hauer, K., Kempen, G., Piot-Ziegler, C., &amp; Todd, C. (2005). Development and initial validation of the Falls Efficacy Scale-International (FES-I). Age and Ageing, 34(6), 614–619.</w:t>
      </w:r>
    </w:p>
    <w:p>
      <w:pPr>
        <w:spacing w:after="120" w:line="276" w:lineRule="auto"/>
        <w:ind w:left="360" w:hanging="360"/>
      </w:pPr>
      <w:r>
        <w:t>Zohaib, M. (2018). Dynamic difficulty adjustment (DDA) in computer games: A review. Advances in Human-Computer Interaction, 2018, 5681652.</w:t>
      </w:r>
    </w:p>
    <w:p>
      <w:pPr>
        <w:pStyle w:val="Heading1"/>
        <w:pageBreakBefore/>
      </w:pPr>
      <w:bookmarkStart w:id="167" w:name="_Toc232024664"/>
      <w:r>
        <w:rPr>
          <w:lang w:val="en-US" w:eastAsia="en-US" w:bidi="ar-SA"/>
          <w:color w:val="000000"/>
          <w:szCs w:val="28"/>
        </w:rPr>
        <w:t>Appendices</w:t>
      </w:r>
      <w:bookmarkEnd w:id="167"/>
    </w:p>
    <w:p>
      <w:pPr>
        <w:pStyle w:val="Normal"/>
        <w:jc w:val="both"/>
      </w:pPr>
      <w:r>
        <w:rPr>
          <w:szCs w:val="22"/>
          <w:lang w:val="en-US" w:eastAsia="en-US" w:bidi="ar-SA"/>
          <w:rFonts w:ascii="Times New Roman" w:hAnsi="Times New Roman" w:eastAsia="Times New Roman" w:cs="Times New Roman"/>
          <w:sz w:val="24"/>
        </w:rPr>
        <w:t>This section contains the supporting instruments, coding rules, protocols and reference materials referenced in the main thesis. Each appendix identifies its bound materials and, where an item is held rather than printed, the record in which it is held.</w:t>
      </w:r>
    </w:p>
    <w:p>
      <w:pPr>
        <w:pStyle w:val="Normal"/>
        <w:spacing w:after="200" w:line="276" w:lineRule="auto"/>
        <w:rPr>
          <w:rFonts w:asciiTheme="majorHAnsi" w:eastAsiaTheme="majorEastAsia" w:hAnsiTheme="majorHAnsi" w:cstheme="majorBidi"/>
          <w:b/>
          <w:bCs/>
          <w:color w:val="000000"/>
          <w:sz w:val="28"/>
          <w:szCs w:val="26"/>
        </w:rPr>
      </w:pPr>
      <w:bookmarkStart w:id="168" w:name="_Toc232024665"/>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A · Stage-1 Survey Instrument</w:t>
      </w:r>
      <w:bookmarkEnd w:id="168"/>
    </w:p>
    <w:p>
      <w:pPr>
        <w:pStyle w:val="Normal"/>
        <w:jc w:val="both"/>
      </w:pPr>
      <w:r>
        <w:rPr>
          <w:szCs w:val="22"/>
          <w:lang w:val="en-US" w:eastAsia="en-US" w:bidi="ar-SA"/>
          <w:rFonts w:ascii="Times New Roman" w:hAnsi="Times New Roman" w:eastAsia="Times New Roman" w:cs="Times New Roman"/>
          <w:sz w:val="24"/>
        </w:rPr>
        <w:t>Six Yes/No items administered face-to-face by nursing staff at the Poly Group Guangzhou facility between July and August 2024 to 200 eligible residents of the facility's population of 280. Five qualifying criteria were verified by the management office prior to invitation: secondary education or above, no significant cognitive impairment, capable of unsupported standing, sufficient vision for screen reading, and no acute mental-health conditions.</w:t>
      </w:r>
    </w:p>
    <w:p>
      <w:pPr>
        <w:pStyle w:val="Heading3"/>
      </w:pPr>
      <w:bookmarkStart w:id="169" w:name="_Toc232024666"/>
      <w:r>
        <w:rPr>
          <w:color w:val="000000"/>
          <w:szCs w:val="26"/>
          <w:lang w:val="en-US" w:eastAsia="en-US" w:bidi="ar-SA"/>
        </w:rPr>
        <w:t>A.1 · Survey Items</w:t>
      </w:r>
      <w:bookmarkEnd w:id="169"/>
    </w:p>
    <w:p>
      <w:pPr>
        <w:pStyle w:val="Normal"/>
        <w:jc w:val="both"/>
      </w:pPr>
      <w:r>
        <w:rPr>
          <w:szCs w:val="22"/>
          <w:lang w:val="en-US" w:eastAsia="en-US" w:bidi="ar-SA"/>
          <w:rFonts w:ascii="Times New Roman" w:hAnsi="Times New Roman" w:eastAsia="Times New Roman" w:cs="Times New Roman"/>
          <w:sz w:val="24"/>
        </w:rPr>
        <w:t>The instrument consisted of six closed items with binary Yes/No response. The items moved from awareness through prior exposure to current use intention, in the order shown below.</w:t>
      </w:r>
    </w:p>
    <w:p>
      <w:pPr>
        <w:pStyle w:val="Normal"/>
        <w:jc w:val="both"/>
      </w:pPr>
      <w:r>
        <w:rPr>
          <w:szCs w:val="22"/>
          <w:lang w:val="en-US" w:eastAsia="en-US" w:bidi="ar-SA"/>
          <w:rFonts w:ascii="Times New Roman" w:hAnsi="Times New Roman" w:eastAsia="Times New Roman" w:cs="Times New Roman"/>
          <w:sz w:val="24"/>
        </w:rPr>
        <w:t>Item 1 · Awareness: Have you heard of the Fall Risk Assessment (FRA) system available at this facility?</w:t>
      </w:r>
    </w:p>
    <w:p>
      <w:pPr>
        <w:pStyle w:val="Normal"/>
        <w:jc w:val="both"/>
      </w:pPr>
      <w:r>
        <w:rPr>
          <w:szCs w:val="22"/>
          <w:lang w:val="en-US" w:eastAsia="en-US" w:bidi="ar-SA"/>
          <w:rFonts w:ascii="Times New Roman" w:hAnsi="Times New Roman" w:eastAsia="Times New Roman" w:cs="Times New Roman"/>
          <w:sz w:val="24"/>
        </w:rPr>
        <w:t>Item 2 · Prior exposure: Have you ever used the FRA system?</w:t>
      </w:r>
    </w:p>
    <w:p>
      <w:pPr>
        <w:pStyle w:val="Normal"/>
        <w:jc w:val="both"/>
      </w:pPr>
      <w:r>
        <w:rPr>
          <w:szCs w:val="22"/>
          <w:lang w:val="en-US" w:eastAsia="en-US" w:bidi="ar-SA"/>
          <w:rFonts w:ascii="Times New Roman" w:hAnsi="Times New Roman" w:eastAsia="Times New Roman" w:cs="Times New Roman"/>
          <w:sz w:val="24"/>
        </w:rPr>
        <w:t>Item 3 · First-time outcome: At your first attempt, did the system give you a result you understood and accepted?</w:t>
      </w:r>
    </w:p>
    <w:p>
      <w:pPr>
        <w:pStyle w:val="Normal"/>
        <w:jc w:val="both"/>
      </w:pPr>
      <w:r>
        <w:rPr>
          <w:szCs w:val="22"/>
          <w:lang w:val="en-US" w:eastAsia="en-US" w:bidi="ar-SA"/>
          <w:rFonts w:ascii="Times New Roman" w:hAnsi="Times New Roman" w:eastAsia="Times New Roman" w:cs="Times New Roman"/>
          <w:sz w:val="24"/>
        </w:rPr>
        <w:t>Item 4 · Continuation: After your first use, did you ever come back to the FRA system?</w:t>
      </w:r>
    </w:p>
    <w:p>
      <w:pPr>
        <w:pStyle w:val="Normal"/>
        <w:jc w:val="both"/>
      </w:pPr>
      <w:r>
        <w:rPr>
          <w:szCs w:val="22"/>
          <w:lang w:val="en-US" w:eastAsia="en-US" w:bidi="ar-SA"/>
          <w:rFonts w:ascii="Times New Roman" w:hAnsi="Times New Roman" w:eastAsia="Times New Roman" w:cs="Times New Roman"/>
          <w:sz w:val="24"/>
        </w:rPr>
        <w:t>Item 5 · Reason for non-return: If you did not come back, was the main reason that you found the experience uncomfortable, embarrassing, or discouraging?</w:t>
      </w:r>
    </w:p>
    <w:p>
      <w:pPr>
        <w:pStyle w:val="Normal"/>
        <w:jc w:val="both"/>
      </w:pPr>
      <w:r>
        <w:rPr>
          <w:szCs w:val="22"/>
          <w:lang w:val="en-US" w:eastAsia="en-US" w:bidi="ar-SA"/>
          <w:rFonts w:ascii="Times New Roman" w:hAnsi="Times New Roman" w:eastAsia="Times New Roman" w:cs="Times New Roman"/>
          <w:sz w:val="24"/>
        </w:rPr>
        <w:t>Item 6 · Future intention: If a friendlier version of the same system were offered, would you be willing to try it again?</w:t>
      </w:r>
    </w:p>
    <w:p>
      <w:pPr>
        <w:pStyle w:val="Normal"/>
        <w:spacing w:after="200" w:line="276" w:lineRule="auto"/>
        <w:rPr>
          <w:rFonts w:asciiTheme="majorHAnsi" w:eastAsiaTheme="majorEastAsia" w:hAnsiTheme="majorHAnsi" w:cstheme="majorBidi"/>
          <w:b/>
          <w:bCs/>
          <w:color w:val="000000"/>
          <w:sz w:val="28"/>
          <w:szCs w:val="26"/>
        </w:rPr>
      </w:pPr>
      <w:bookmarkStart w:id="170" w:name="_Toc232024667"/>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B · Stage-2 FIAS Coding Scheme</w:t>
      </w:r>
      <w:bookmarkEnd w:id="170"/>
    </w:p>
    <w:p>
      <w:pPr>
        <w:pStyle w:val="Normal"/>
        <w:jc w:val="both"/>
      </w:pPr>
      <w:r>
        <w:rPr>
          <w:szCs w:val="22"/>
          <w:lang w:val="en-US" w:eastAsia="en-US" w:bidi="ar-SA"/>
          <w:rFonts w:ascii="Times New Roman" w:hAnsi="Times New Roman" w:eastAsia="Times New Roman" w:cs="Times New Roman"/>
          <w:sz w:val="24"/>
        </w:rPr>
        <w:t>The Stage-2 coding scheme operationalises the provisional FIAS hypothesis through thirteen binary attributes drawn from STAM and selected Octalysis drives, collapsed onto a 0–10 composite. Five descriptive categories are used: F0 (no failure signal), F1 (mild discomfort), F2 (clear distress), F3 (active disengagement) and F4 (observed non-return under the study definition). Outcome-defining variables such as cycle count and return status must not be embedded in a predictor score that is then claimed to predict the same outcome; any validation analysis must be reported separately from the scoring rules, and none is reported in this thesis. The item-level specification of the scheme — every item, weight, threshold, source, missing-data rule and adjudication procedure — is a deliverable of the proposed confirmatory study (§8.8) and is not reproduced here; per §5.6 the composite is a descriptive case-identification device and carries no evidential weight in this thesis.</w:t>
      </w:r>
    </w:p>
    <w:p>
      <w:pPr>
        <w:pStyle w:val="Normal"/>
        <w:keepNext/>
        <w:spacing w:before="160" w:after="40"/>
        <w:jc w:val="center"/>
      </w:pPr>
      <w:r>
        <w:rPr>
          <w:noProof/>
        </w:rPr>
        <w:lastRenderedPageBreak/>
        <w:drawing>
          <wp:inline distT="0" distB="0" distL="0" distR="0" wp14:anchorId="4F4B6A17" wp14:editId="1B31D70A">
            <wp:extent cx="5120640" cy="3170692"/>
            <wp:effectExtent l="0" t="0" r="0" b="0"/>
            <wp:docPr id="9" name="Picture 9" descr="Figure B.1. Distribution of provisional FIAS composite scores across all 30 participants."/>
            <wp:cNvGraphicFramePr>
              <a:graphicFrameLocks noChangeAspect="1"/>
            </wp:cNvGraphicFramePr>
            <a:graphic>
              <a:graphicData uri="http://schemas.openxmlformats.org/drawingml/2006/picture">
                <pic:pic>
                  <pic:nvPicPr>
                    <pic:cNvPr id="0" name="fig_5_6.png"/>
                    <pic:cNvPicPr/>
                  </pic:nvPicPr>
                  <pic:blipFill>
                    <a:blip r:embed="rId16"/>
                    <a:stretch>
                      <a:fillRect/>
                    </a:stretch>
                  </pic:blipFill>
                  <pic:spPr>
                    <a:xfrm>
                      <a:off x="0" y="0"/>
                      <a:ext cx="5120640" cy="3170692"/>
                    </a:xfrm>
                    <a:prstGeom prst="rect">
                      <a:avLst/>
                    </a:prstGeom>
                  </pic:spPr>
                </pic:pic>
              </a:graphicData>
            </a:graphic>
          </wp:inline>
        </w:drawing>
      </w:r>
    </w:p>
    <w:p>
      <w:pPr>
        <w:pStyle w:val="FigureCaption"/>
        <w:keepLines/>
        <w:jc w:val="center"/>
      </w:pPr>
      <w:bookmarkStart w:id="89" w:name="_Toc232024687"/>
      <w:r>
        <w:rPr>
          <w:sz w:val="24"/>
          <w:szCs w:val="22"/>
          <w:lang w:val="en-US" w:eastAsia="en-US" w:bidi="ar-SA"/>
          <w:rFonts w:ascii="Times New Roman" w:hAnsi="Times New Roman" w:eastAsia="Times New Roman" w:cs="Times New Roman"/>
          <w:i/>
          <w:b/>
        </w:rPr>
        <w:t>Figure B.1. Distribution of provisional FIAS composite scores across all 30 participants. The composite includes engagement-outcome attributes, so the separation of the F4 cluster is expected by construction; the figure is descriptive case identification, not evidence (§5.6). One of the six F4 records (S2-P015) is the record that failed verification (§5.5).</w:t>
      </w:r>
      <w:bookmarkEnd w:id="89"/>
    </w:p>
    <w:p>
      <w:pPr>
        <w:pStyle w:val="Normal"/>
        <w:spacing w:after="200" w:line="276" w:lineRule="auto"/>
        <w:rPr>
          <w:rFonts w:asciiTheme="majorHAnsi" w:eastAsiaTheme="majorEastAsia" w:hAnsiTheme="majorHAnsi" w:cstheme="majorBidi"/>
          <w:b/>
          <w:bCs/>
          <w:color w:val="000000"/>
          <w:sz w:val="28"/>
          <w:szCs w:val="26"/>
        </w:rPr>
      </w:pPr>
      <w:bookmarkStart w:id="171" w:name="_Toc232024668"/>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C · Stage-2 Qualitative Record and the F4 Interview Protocol (Designed, Not Administered)</w:t>
      </w:r>
      <w:bookmarkEnd w:id="171"/>
    </w:p>
    <w:p>
      <w:pPr>
        <w:pStyle w:val="Normal"/>
        <w:jc w:val="both"/>
      </w:pPr>
      <w:r>
        <w:rPr>
          <w:szCs w:val="22"/>
          <w:lang w:val="en-US" w:eastAsia="en-US" w:bidi="ar-SA"/>
          <w:rFonts w:ascii="Times New Roman" w:hAnsi="Times New Roman" w:eastAsia="Times New Roman" w:cs="Times New Roman"/>
          <w:sz w:val="24"/>
        </w:rPr>
        <w:t>The Stage-2 qualitative record has two genuine components. First, an after-game paper questionnaire was completed by every participant at the end of play; it is the source of the satisfaction data reported in Chapter 5. Second, post-deployment interviews were conducted during August and September 2025, in the weeks following the eight-week cycle and the small rewards presentation at which the persistent players' written consent was recorded. Because the game was coupled to the FRA, the interviews were arranged through the facility therapists, who knew the players from the sessions. Each player was invited to an interview after the games; a very few were interviewed immediately, others deferred, and the therapists completed the remaining interviews as players could be reached over this period — all thirty were sought and twenty-nine could be reached. Nine accepted, and the nine who accepted were the nine persistent participants. The interviews were conducted with the therapists' assistance, some in person and some by telephone, in Mandarin or Cantonese at the participant's preference, using the paper interview questionnaire as the schedule. Responses were recorded by the therapists onto the questionnaire forms and into a logbook kept at the centre — in some cases after, rather than during, the interview — and the researcher received the therapists' summaries and collected the logbook, and the therapists reported when all interviews were done. The researcher did not directly observe the interviews, and their individual timing rests on the dated forms and the therapists' report. The therapist-completed record, not researcher notes, is therefore the primary record, and recorded free-text wording is the therapists' rendering rather than the participants' verbatim words. That twenty reachable players declined is itself part of the record: the interview subgroup is self-selected, and the interviews accordingly speak to persistence only. The interview instrument's structure is documented from the author's entry-and-results record (the entry-and-results sheet received 10 September 2026 and the entry workbook received 11 September 2026, both archived with the raw data): nine items - a free-text memorable-experience item; enjoyment, FRA usefulness and discouragement on five-point scales; steering confidence and recovery confidence on 0-10 scales; play-again and FRA-again willingness items; and a free-text reasons item. The entry record holds all nine participants' responses (entered complete, no corrections), and the entry workbook's question guide documents the full bilingual wording of the nine items with their scale anchors (1-5 agreement, strongly disagree to strongly agree; 0-10 confidence, none to complete, the two confidence items assuming the same staff support as at the session; Q7/Q8 offer Yes/Undecided/No and Willing/Undecided/Unwilling), drawn from the researcher's revised-draft pack. A photographic copy of one completed interview form (participant S2-P024, dated 25 August 2025) has been sighted and matches the entry record and the documented wording; archival copies of the completed interview forms (including that exemplar) and of the after-game questionnaire sheets are not filed with the thesis at 30 September 2026; the satisfaction figures in §5.5 are therefore reported from the analysis file (item G.2) as recorded, with the administered form and its response anchors not archived. Entered ratings: enjoyment mean 4.3 (range 4-5), usefulness 4.7 (4-5), discouragement 1.9 (1-3), steering confidence 7.4 (6-8), recovery confidence 7.7 (6-9); all nine would play again and all nine were willing to continue with the FRA. Three further interviews were conducted with centre managers, capturing the operator perspective on the deployment (author's account; no interview record is archived, and nothing in this thesis rests on them). These conversations informed the learn-to-earn design orientation of §1.8 and the requirements mapping of §5.5A (Table 5.3). In addition, a nine-question semi-structured interview protocol was designed for the F4 cluster, to be administered within days of an abandoned session; it was NOT administered in Stage 2 — the F4 residents' negative reaction to the experience made a research interview inappropriate at the time — and no F4 interview data exist. The protocol below is therefore a designed instrument retained for the proposed confirmatory programme (§8.8), not a record of interviews conducted.</w:t>
      </w:r>
    </w:p>
    <w:p>
      <w:pPr>
        <w:pStyle w:val="Heading3"/>
      </w:pPr>
      <w:bookmarkStart w:id="172" w:name="_Toc232024669"/>
      <w:r>
        <w:rPr>
          <w:color w:val="000000"/>
          <w:szCs w:val="26"/>
          <w:lang w:val="en-US" w:eastAsia="en-US" w:bidi="ar-SA"/>
        </w:rPr>
        <w:t>C.1 · Question Set</w:t>
      </w:r>
      <w:bookmarkEnd w:id="172"/>
    </w:p>
    <w:p>
      <w:pPr>
        <w:pStyle w:val="Normal"/>
        <w:jc w:val="both"/>
      </w:pPr>
      <w:r>
        <w:rPr>
          <w:szCs w:val="22"/>
          <w:lang w:val="en-US" w:eastAsia="en-US" w:bidi="ar-SA"/>
          <w:rFonts w:ascii="Times New Roman" w:hAnsi="Times New Roman" w:eastAsia="Times New Roman" w:cs="Times New Roman"/>
          <w:sz w:val="24"/>
        </w:rPr>
        <w:t>Q1 · Recall: Can you tell me, in your own words, what happened during your first session with the system?</w:t>
      </w:r>
    </w:p>
    <w:p>
      <w:pPr>
        <w:pStyle w:val="Normal"/>
        <w:jc w:val="both"/>
      </w:pPr>
      <w:r>
        <w:rPr>
          <w:szCs w:val="22"/>
          <w:lang w:val="en-US" w:eastAsia="en-US" w:bidi="ar-SA"/>
          <w:rFonts w:ascii="Times New Roman" w:hAnsi="Times New Roman" w:eastAsia="Times New Roman" w:cs="Times New Roman"/>
          <w:sz w:val="24"/>
        </w:rPr>
        <w:t>Q2 · Affect: How did you feel at the moment the system gave you the result?</w:t>
      </w:r>
    </w:p>
    <w:p>
      <w:pPr>
        <w:pStyle w:val="Normal"/>
        <w:jc w:val="both"/>
      </w:pPr>
      <w:r>
        <w:rPr>
          <w:szCs w:val="22"/>
          <w:lang w:val="en-US" w:eastAsia="en-US" w:bidi="ar-SA"/>
          <w:rFonts w:ascii="Times New Roman" w:hAnsi="Times New Roman" w:eastAsia="Times New Roman" w:cs="Times New Roman"/>
          <w:sz w:val="24"/>
        </w:rPr>
        <w:t>Q3 · Self-attribution: Looking back, who or what do you feel was responsible for the result?</w:t>
      </w:r>
    </w:p>
    <w:p>
      <w:pPr>
        <w:pStyle w:val="Normal"/>
        <w:jc w:val="both"/>
      </w:pPr>
      <w:r>
        <w:rPr>
          <w:szCs w:val="22"/>
          <w:lang w:val="en-US" w:eastAsia="en-US" w:bidi="ar-SA"/>
          <w:rFonts w:ascii="Times New Roman" w:hAnsi="Times New Roman" w:eastAsia="Times New Roman" w:cs="Times New Roman"/>
          <w:sz w:val="24"/>
        </w:rPr>
        <w:t>Q4 · Identity: When the result came up, what kind of person did you feel the system was telling you that you are?</w:t>
      </w:r>
    </w:p>
    <w:p>
      <w:pPr>
        <w:pStyle w:val="Normal"/>
        <w:jc w:val="both"/>
      </w:pPr>
      <w:r>
        <w:rPr>
          <w:szCs w:val="22"/>
          <w:lang w:val="en-US" w:eastAsia="en-US" w:bidi="ar-SA"/>
          <w:rFonts w:ascii="Times New Roman" w:hAnsi="Times New Roman" w:eastAsia="Times New Roman" w:cs="Times New Roman"/>
          <w:sz w:val="24"/>
        </w:rPr>
        <w:t>Q5 · Comparison: Did you feel the result was about your body, or about you as a person?</w:t>
      </w:r>
    </w:p>
    <w:p>
      <w:pPr>
        <w:pStyle w:val="Normal"/>
        <w:jc w:val="both"/>
      </w:pPr>
      <w:r>
        <w:rPr>
          <w:szCs w:val="22"/>
          <w:lang w:val="en-US" w:eastAsia="en-US" w:bidi="ar-SA"/>
          <w:rFonts w:ascii="Times New Roman" w:hAnsi="Times New Roman" w:eastAsia="Times New Roman" w:cs="Times New Roman"/>
          <w:sz w:val="24"/>
        </w:rPr>
        <w:t>Q6 · Decision: When did you decide you would not come back?</w:t>
      </w:r>
    </w:p>
    <w:p>
      <w:pPr>
        <w:pStyle w:val="Normal"/>
        <w:jc w:val="both"/>
      </w:pPr>
      <w:r>
        <w:rPr>
          <w:szCs w:val="22"/>
          <w:lang w:val="en-US" w:eastAsia="en-US" w:bidi="ar-SA"/>
          <w:rFonts w:ascii="Times New Roman" w:hAnsi="Times New Roman" w:eastAsia="Times New Roman" w:cs="Times New Roman"/>
          <w:sz w:val="24"/>
        </w:rPr>
        <w:t>Q7 · Counter-factual: Is there anything that could have changed your mind that day?</w:t>
      </w:r>
    </w:p>
    <w:p>
      <w:pPr>
        <w:pStyle w:val="Normal"/>
        <w:jc w:val="both"/>
      </w:pPr>
      <w:r>
        <w:rPr>
          <w:szCs w:val="22"/>
          <w:lang w:val="en-US" w:eastAsia="en-US" w:bidi="ar-SA"/>
          <w:rFonts w:ascii="Times New Roman" w:hAnsi="Times New Roman" w:eastAsia="Times New Roman" w:cs="Times New Roman"/>
          <w:sz w:val="24"/>
        </w:rPr>
        <w:t>Q8 · Future framing: If the same activity had been described differently to you, would you have stayed?</w:t>
      </w:r>
    </w:p>
    <w:p>
      <w:pPr>
        <w:pStyle w:val="Normal"/>
        <w:jc w:val="both"/>
      </w:pPr>
      <w:r>
        <w:rPr>
          <w:szCs w:val="22"/>
          <w:lang w:val="en-US" w:eastAsia="en-US" w:bidi="ar-SA"/>
          <w:rFonts w:ascii="Times New Roman" w:hAnsi="Times New Roman" w:eastAsia="Times New Roman" w:cs="Times New Roman"/>
          <w:sz w:val="24"/>
        </w:rPr>
        <w:t>Q9 · Open: Is there anything else you would like the research team to understand?</w:t>
      </w:r>
    </w:p>
    <w:p>
      <w:pPr>
        <w:pStyle w:val="Normal"/>
        <w:spacing w:after="200" w:line="276" w:lineRule="auto"/>
        <w:rPr>
          <w:rFonts w:asciiTheme="majorHAnsi" w:eastAsiaTheme="majorEastAsia" w:hAnsiTheme="majorHAnsi" w:cstheme="majorBidi"/>
          <w:b/>
          <w:bCs/>
          <w:color w:val="000000"/>
          <w:sz w:val="28"/>
          <w:szCs w:val="26"/>
        </w:rPr>
      </w:pPr>
      <w:bookmarkStart w:id="173" w:name="_Toc232024670"/>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D · Stage-3 Decoupling Questionnaire</w:t>
      </w:r>
      <w:bookmarkEnd w:id="173"/>
    </w:p>
    <w:p>
      <w:pPr>
        <w:pStyle w:val="Normal"/>
        <w:jc w:val="both"/>
      </w:pPr>
      <w:r>
        <w:rPr>
          <w:szCs w:val="22"/>
          <w:lang w:val="en-US" w:eastAsia="en-US" w:bidi="ar-SA"/>
          <w:rFonts w:ascii="Times New Roman" w:hAnsi="Times New Roman" w:eastAsia="Times New Roman" w:cs="Times New Roman"/>
          <w:sz w:val="24"/>
        </w:rPr>
        <w:t>The Stage-3 decoupling design used a short two-item post-session instrument to measure coordination-challenge endorsement and long-term commitment intention. Demographic items (age band, gender, education) were collected at enrolment only. The author confirmed on 30 September 2026 that the instrument held only these two items and the demographic items, on the five-point response format reproduced here, with the wording shown, and that a response of 4 or 5 was counted as endorsement. Players answered the two items themselves immediately after playing, at the point they chose to stop. The aggregate summary names the items by shorter labels ('Liked the game as a reflection of eye-leg coordination'; 'Would use for regular health training if accessible'), and the questionnaire as sent has not been linked to the study record. The participant invitation on file (a 4 August 2026 reconstruction; §3.4, §6.4; item G.5) paraphrases the two statements as whether the player 'found it a good coordination challenge' and 'would be willing to play it regularly'; the wording shown in D.1 is the author's confirmation of 30 September 2026, and neither the invitation paraphrase nor the summary labels is the instrument as sent. The author states that the coordination item was included to check whether players recognised the game as exercising the eye-leg coordination that the FRA measures; it records players' perception, not evidence that the game and the FRA measure the same capacity. In the Stage-3 remote deployment the instrument was distributed with the e-mailed game build, and participants returned their responses by e-mail together with their game results, as an exported CSV file or as copied or typed text; with the first build, results and stopping were recorded by hand by assistants (§6.4), and the returned materials were compiled into the July 2026 summary and not retained as separate records (item G.3). The Stage-3B component study used a four-item in-build questionnaire whose D1 and D2 items ('The game was a good coordination challenge.'; 'I would be willing to play this game regularly.') differ in wording from the Stage-3 items; its one pre-specified contrast, defined on its D2 (top-two-box), was not run (Appendix I).</w:t>
      </w:r>
    </w:p>
    <w:p>
      <w:pPr>
        <w:pStyle w:val="Heading3"/>
      </w:pPr>
      <w:bookmarkStart w:id="174" w:name="_Toc232024671"/>
      <w:r>
        <w:rPr>
          <w:color w:val="000000"/>
          <w:szCs w:val="26"/>
          <w:lang w:val="en-US" w:eastAsia="en-US" w:bidi="ar-SA"/>
        </w:rPr>
        <w:t>D.1 · Post-Session Items</w:t>
      </w:r>
      <w:bookmarkEnd w:id="174"/>
    </w:p>
    <w:p>
      <w:pPr>
        <w:pStyle w:val="Normal"/>
        <w:jc w:val="both"/>
      </w:pPr>
      <w:r>
        <w:rPr>
          <w:szCs w:val="22"/>
          <w:lang w:val="en-US" w:eastAsia="en-US" w:bidi="ar-SA"/>
          <w:rFonts w:ascii="Times New Roman" w:hAnsi="Times New Roman" w:eastAsia="Times New Roman" w:cs="Times New Roman"/>
          <w:sz w:val="24"/>
        </w:rPr>
        <w:t>Item D1 · Coordination endorsement: I would describe the activity I just completed as a coordination and balance challenge.</w:t>
      </w:r>
    </w:p>
    <w:p>
      <w:pPr>
        <w:pStyle w:val="Normal"/>
        <w:jc w:val="both"/>
      </w:pPr>
      <w:r>
        <w:rPr>
          <w:szCs w:val="22"/>
          <w:lang w:val="en-US" w:eastAsia="en-US" w:bidi="ar-SA"/>
          <w:rFonts w:ascii="Times New Roman" w:hAnsi="Times New Roman" w:eastAsia="Times New Roman" w:cs="Times New Roman"/>
          <w:sz w:val="24"/>
        </w:rPr>
        <w:t>Item D2 · Commitment intention: I would be willing to come back and do this activity on a regular basis (one or more times per week) over the next three months.</w:t>
      </w:r>
    </w:p>
    <w:p>
      <w:pPr>
        <w:pStyle w:val="Heading3"/>
      </w:pPr>
      <w:bookmarkStart w:id="175" w:name="_Toc232024672"/>
      <w:r>
        <w:rPr>
          <w:color w:val="000000"/>
          <w:szCs w:val="26"/>
          <w:lang w:val="en-US" w:eastAsia="en-US" w:bidi="ar-SA"/>
        </w:rPr>
        <w:t>D.2 · Demographic Block (At Enrolment)</w:t>
      </w:r>
      <w:bookmarkEnd w:id="175"/>
    </w:p>
    <w:p>
      <w:pPr>
        <w:pStyle w:val="Normal"/>
        <w:jc w:val="both"/>
      </w:pPr>
      <w:r>
        <w:rPr>
          <w:szCs w:val="22"/>
          <w:lang w:val="en-US" w:eastAsia="en-US" w:bidi="ar-SA"/>
          <w:rFonts w:ascii="Times New Roman" w:hAnsi="Times New Roman" w:eastAsia="Times New Roman" w:cs="Times New Roman"/>
          <w:sz w:val="24"/>
        </w:rPr>
        <w:t>Age band: 25–44, 45–64, 65–80.</w:t>
      </w:r>
    </w:p>
    <w:p>
      <w:pPr>
        <w:pStyle w:val="Normal"/>
        <w:jc w:val="both"/>
      </w:pPr>
      <w:r>
        <w:rPr>
          <w:szCs w:val="22"/>
          <w:lang w:val="en-US" w:eastAsia="en-US" w:bidi="ar-SA"/>
          <w:rFonts w:ascii="Times New Roman" w:hAnsi="Times New Roman" w:eastAsia="Times New Roman" w:cs="Times New Roman"/>
          <w:sz w:val="24"/>
        </w:rPr>
        <w:t>Gender: Male, Female, Prefer not to say.</w:t>
      </w:r>
    </w:p>
    <w:p>
      <w:pPr>
        <w:pStyle w:val="Normal"/>
        <w:jc w:val="both"/>
      </w:pPr>
      <w:r>
        <w:rPr>
          <w:szCs w:val="22"/>
          <w:lang w:val="en-US" w:eastAsia="en-US" w:bidi="ar-SA"/>
          <w:rFonts w:ascii="Times New Roman" w:hAnsi="Times New Roman" w:eastAsia="Times New Roman" w:cs="Times New Roman"/>
          <w:sz w:val="24"/>
        </w:rPr>
        <w:t>Highest completed education: Primary, Secondary, Tertiary.</w:t>
      </w:r>
    </w:p>
    <w:p>
      <w:pPr>
        <w:pStyle w:val="Normal"/>
        <w:spacing w:after="200" w:line="276" w:lineRule="auto"/>
        <w:rPr>
          <w:rFonts w:asciiTheme="majorHAnsi" w:eastAsiaTheme="majorEastAsia" w:hAnsiTheme="majorHAnsi" w:cstheme="majorBidi"/>
          <w:b/>
          <w:bCs/>
          <w:color w:val="000000"/>
          <w:sz w:val="28"/>
          <w:szCs w:val="26"/>
        </w:rPr>
      </w:pPr>
      <w:bookmarkStart w:id="176" w:name="_Toc232024673"/>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E · Five-Layer Architecture and Adaptive-Learning Reference Stack</w:t>
      </w:r>
      <w:bookmarkEnd w:id="176"/>
    </w:p>
    <w:p>
      <w:pPr>
        <w:pStyle w:val="Normal"/>
        <w:jc w:val="both"/>
      </w:pPr>
      <w:r>
        <w:rPr>
          <w:szCs w:val="22"/>
          <w:lang w:val="en-US" w:eastAsia="en-US" w:bidi="ar-SA"/>
          <w:rFonts w:ascii="Times New Roman" w:hAnsi="Times New Roman" w:eastAsia="Times New Roman" w:cs="Times New Roman"/>
          <w:sz w:val="24"/>
        </w:rPr>
        <w:t>The Stage-2 deployment was built on the five-layer architecture specified here; which functions ran live in the deployed build, which were exercised only against synthetic profiles and which remained specified is recorded per build generation in the build-lineage matrix (Appendix G, item G.0A), and no operational claim is made beyond that record (§5.3.5, §8.9). The decoupled Stage-3 condition ran a separately built, distributable HTML game on participants' own computers: L0 was replaced by keyboard arrow-key input (or a foot-pad sensor where available; some older participants used an iPad with an external keyboard, §6.4), and the L3/L4 clinical pipeline was absent rather than merely suppressed. In-run difficulty adjustment operated in the Stage-3 build as its built-in rule agent only: a distributed HTML file carries no API credentials and browser cross-origin policy blocks direct model calls, so every Stage-3 session ran under rule-based difficulty adaptation — the same fail-safe heuristic that backs L2 in the Stage-2 architecture. No large-language-model call operated in any Stage-3 session. The full adaptive-learning reference stack, specified here as a design direction for future study (Chapter 7; §8.8), adds three further layers (L5 User-Facing Trajectory, L6 Staff Coaching Protocol, L7 Adaptive-Learning Telemetry) without altering the underlying signal path.</w:t>
      </w:r>
    </w:p>
    <w:p>
      <w:pPr>
        <w:pStyle w:val="Heading3"/>
      </w:pPr>
      <w:bookmarkStart w:id="177" w:name="_Toc232024674"/>
      <w:r>
        <w:rPr>
          <w:color w:val="000000"/>
          <w:szCs w:val="26"/>
          <w:lang w:val="en-US" w:eastAsia="en-US" w:bidi="ar-SA"/>
        </w:rPr>
        <w:t>E.1 · Layers L0–L4 (Stage-2 architecture as specified; operational status per build in item G.0A)</w:t>
      </w:r>
      <w:bookmarkEnd w:id="177"/>
    </w:p>
    <w:p>
      <w:pPr>
        <w:pStyle w:val="Normal"/>
        <w:jc w:val="both"/>
      </w:pPr>
      <w:r>
        <w:rPr>
          <w:szCs w:val="22"/>
          <w:lang w:val="en-US" w:eastAsia="en-US" w:bidi="ar-SA"/>
          <w:rFonts w:ascii="Times New Roman" w:hAnsi="Times New Roman" w:eastAsia="Times New Roman" w:cs="Times New Roman"/>
          <w:sz w:val="24"/>
        </w:rPr>
        <w:t>L0 · Input: the control input. In Stage 2, a generic FSR plantar-pressure mat (64 × 64 points, about 3 mm; item G.15) placed on top of the FRA510S footplate and read by the game over a serial connection as a left/right controller, in the manner of a keyboard; its pressure values were not measured or recorded; the first version was tested by keyboard during development only, and no participant played by keyboard. The footplate itself drove the InBody FRA software in parallel, with no application programming interface between the two (§5.2A).</w:t>
      </w:r>
    </w:p>
    <w:p>
      <w:pPr>
        <w:pStyle w:val="Normal"/>
        <w:jc w:val="both"/>
      </w:pPr>
      <w:r>
        <w:rPr>
          <w:szCs w:val="22"/>
          <w:lang w:val="en-US" w:eastAsia="en-US" w:bidi="ar-SA"/>
          <w:rFonts w:ascii="Times New Roman" w:hAnsi="Times New Roman" w:eastAsia="Times New Roman" w:cs="Times New Roman"/>
          <w:sz w:val="24"/>
        </w:rPr>
        <w:t>L1 · Game Engine: Three.js skiing scene with Cannon.js physics (Chinese interface); obstacles (trees, rocks) and coins; a run ends at the first obstacle collision; difficulty set once before play by three formulas from the ability form (§5.2A).</w:t>
      </w:r>
    </w:p>
    <w:p>
      <w:pPr>
        <w:pStyle w:val="Normal"/>
        <w:jc w:val="both"/>
      </w:pPr>
      <w:r>
        <w:rPr>
          <w:szCs w:val="22"/>
          <w:lang w:val="en-US" w:eastAsia="en-US" w:bidi="ar-SA"/>
          <w:rFonts w:ascii="Times New Roman" w:hAnsi="Times New Roman" w:eastAsia="Times New Roman" w:cs="Times New Roman"/>
          <w:sz w:val="24"/>
        </w:rPr>
        <w:t>L2 · AI component: in the deployed Stage-2 game, the post-game analysis-and-recommendation module — in v1 a rule-based report in the page, in v2 a server-side LangChain call over the OpenAI API whose prompt template is deposited (item G.7); v2 was deployed (author's account, 7 October 2026); whether the server-side call completed in each session, and the model version and settings, are not on record. No in-run adaptation operated in Stage 2; the in-run rule agent (80%/40%) belongs to the Stage-3 builds (Appendix I).</w:t>
      </w:r>
    </w:p>
    <w:p>
      <w:pPr>
        <w:pStyle w:val="Normal"/>
        <w:jc w:val="both"/>
      </w:pPr>
      <w:r>
        <w:rPr>
          <w:szCs w:val="22"/>
          <w:lang w:val="en-US" w:eastAsia="en-US" w:bidi="ar-SA"/>
          <w:rFonts w:ascii="Times New Roman" w:hAnsi="Times New Roman" w:eastAsia="Times New Roman" w:cs="Times New Roman"/>
          <w:sz w:val="24"/>
        </w:rPr>
        <w:t>L3 · Logging: in-memory per-run statistics (duration, score, coins, obstacles avoided) feeding the analysis report; nothing written to disk; play recorded by hand (§5.2A).</w:t>
      </w:r>
    </w:p>
    <w:p>
      <w:pPr>
        <w:pStyle w:val="Normal"/>
        <w:jc w:val="both"/>
      </w:pPr>
      <w:r>
        <w:rPr>
          <w:szCs w:val="22"/>
          <w:lang w:val="en-US" w:eastAsia="en-US" w:bidi="ar-SA"/>
          <w:rFonts w:ascii="Times New Roman" w:hAnsi="Times New Roman" w:eastAsia="Times New Roman" w:cs="Times New Roman"/>
          <w:sz w:val="24"/>
        </w:rPr>
        <w:t>L4 · Clinical Output: the InBody FRA measurement running in parallel on the footplate beneath the game's mat, read and logged by the therapist (§5.2A); not part of the game software and receiving no data from it; absent in the Stage-3 decoupled condition (the HTML build had no clinical pipeline).</w:t>
      </w:r>
    </w:p>
    <w:p>
      <w:pPr>
        <w:pStyle w:val="Heading3"/>
      </w:pPr>
      <w:bookmarkStart w:id="178" w:name="_Toc232024675"/>
      <w:r>
        <w:rPr>
          <w:color w:val="000000"/>
          <w:szCs w:val="26"/>
          <w:lang w:val="en-US" w:eastAsia="en-US" w:bidi="ar-SA"/>
        </w:rPr>
        <w:t>E.2 · Layers L5–L7 (Adaptive-Learning Reference Stack)</w:t>
      </w:r>
      <w:bookmarkEnd w:id="178"/>
    </w:p>
    <w:p>
      <w:pPr>
        <w:pStyle w:val="Normal"/>
        <w:jc w:val="both"/>
      </w:pPr>
      <w:r>
        <w:rPr>
          <w:szCs w:val="22"/>
          <w:lang w:val="en-US" w:eastAsia="en-US" w:bidi="ar-SA"/>
          <w:rFonts w:ascii="Times New Roman" w:hAnsi="Times New Roman" w:eastAsia="Times New Roman" w:cs="Times New Roman"/>
          <w:sz w:val="24"/>
        </w:rPr>
        <w:t>L5 · User-Facing Trajectory: Plain-language, learning-anchored progress display that frames the next session against the previous session's calibrated band, never against a clinical norm.</w:t>
      </w:r>
    </w:p>
    <w:p>
      <w:pPr>
        <w:pStyle w:val="Normal"/>
        <w:jc w:val="both"/>
      </w:pPr>
      <w:r>
        <w:rPr>
          <w:szCs w:val="22"/>
          <w:lang w:val="en-US" w:eastAsia="en-US" w:bidi="ar-SA"/>
          <w:rFonts w:ascii="Times New Roman" w:hAnsi="Times New Roman" w:eastAsia="Times New Roman" w:cs="Times New Roman"/>
          <w:sz w:val="24"/>
        </w:rPr>
        <w:t>L6 · Staff Coaching Protocol: Standardised post-failure interaction script, triggered by L7 telemetry, designed to absorb the failure event into a learning-oriented reframe before the participant leaves the room.</w:t>
      </w:r>
    </w:p>
    <w:p>
      <w:pPr>
        <w:pStyle w:val="Normal"/>
        <w:jc w:val="both"/>
      </w:pPr>
      <w:r>
        <w:rPr>
          <w:szCs w:val="22"/>
          <w:lang w:val="en-US" w:eastAsia="en-US" w:bidi="ar-SA"/>
          <w:rFonts w:ascii="Times New Roman" w:hAnsi="Times New Roman" w:eastAsia="Times New Roman" w:cs="Times New Roman"/>
          <w:sz w:val="24"/>
        </w:rPr>
        <w:t>L7 · Adaptive-Learning Telemetry: Real-time monitoring of risk indicators (consecutive failures, abrupt session abandonment, post-failure latency to next attempt); fires coaching triggers and updates trajectory parameters.</w:t>
      </w:r>
    </w:p>
    <w:p>
      <w:pPr>
        <w:pStyle w:val="Heading3"/>
      </w:pPr>
      <w:bookmarkStart w:id="179" w:name="_Toc232024676"/>
      <w:r>
        <w:rPr>
          <w:color w:val="000000"/>
          <w:szCs w:val="26"/>
          <w:lang w:val="en-US" w:eastAsia="en-US" w:bidi="ar-SA"/>
        </w:rPr>
        <w:t>E.3 · AI Safety Provisions</w:t>
      </w:r>
      <w:bookmarkEnd w:id="179"/>
    </w:p>
    <w:p>
      <w:pPr>
        <w:pStyle w:val="Normal"/>
        <w:jc w:val="both"/>
      </w:pPr>
      <w:r>
        <w:rPr>
          <w:szCs w:val="22"/>
          <w:lang w:val="en-US" w:eastAsia="en-US" w:bidi="ar-SA"/>
          <w:rFonts w:ascii="Times New Roman" w:hAnsi="Times New Roman" w:eastAsia="Times New Roman" w:cs="Times New Roman"/>
          <w:sz w:val="24"/>
        </w:rPr>
        <w:t>Graceful degradation is specified at all layers: if the model endpoint is unavailable, L2 falls back to a rule-based difficulty heuristic without interrupting gameplay. No participant identifiers are transmitted off-device. The architecture logs all AI calls at Layer 3; this states logging capability, not retained evidence — the retention status of the Stage-2 AI-call logs is recorded against items G.2 and G.7 (§8.9), and no evidential claim rests on a log that was not retained. A manual override is specified at the staff console.</w:t>
      </w:r>
    </w:p>
    <w:p>
      <w:pPr>
        <w:pStyle w:val="Normal"/>
        <w:spacing w:after="200" w:line="276" w:lineRule="auto"/>
        <w:rPr>
          <w:rFonts w:asciiTheme="majorHAnsi" w:eastAsiaTheme="majorEastAsia" w:hAnsiTheme="majorHAnsi" w:cstheme="majorBidi"/>
          <w:b/>
          <w:bCs/>
          <w:color w:val="000000"/>
          <w:sz w:val="28"/>
          <w:szCs w:val="26"/>
        </w:rPr>
      </w:pPr>
      <w:bookmarkStart w:id="180" w:name="_Toc232024677"/>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F · Glossary of Key Constructs</w:t>
      </w:r>
      <w:bookmarkEnd w:id="180"/>
    </w:p>
    <w:p>
      <w:pPr>
        <w:pStyle w:val="Normal"/>
        <w:jc w:val="both"/>
      </w:pPr>
      <w:r>
        <w:rPr>
          <w:szCs w:val="22"/>
          <w:lang w:val="en-US" w:eastAsia="en-US" w:bidi="ar-SA"/>
          <w:rFonts w:ascii="Times New Roman" w:hAnsi="Times New Roman" w:eastAsia="Times New Roman" w:cs="Times New Roman"/>
          <w:sz w:val="24"/>
        </w:rPr>
        <w:t>This glossary defines the twelve constructs that carry the theoretical load of the thesis. Each construct is given a one-paragraph operational definition; the corresponding section of the main text is referenced where the construct is introduced.</w:t>
      </w:r>
    </w:p>
    <w:tbl>
      <w:tblPr>
        <w:tblStyle w:val="TableGrid"/>
        <w:tblW w:w="8505" w:type="dxa"/>
        <w:jc w:val="center"/>
        <w:tblLayout w:type="fixed"/>
        <w:tblLook w:val="04A0" w:firstRow="1" w:lastRow="0" w:firstColumn="1" w:lastColumn="0" w:noHBand="0" w:noVBand="1"/>
      </w:tblPr>
      <w:tblGrid>
        <w:gridCol w:w="1989"/>
        <w:gridCol w:w="6516"/>
      </w:tblGrid>
      <w:tr w:rsidR="0062437E" w14:paraId="051C2B91" w14:textId="77777777" w:rsidTr="00FD5D21">
        <w:trPr>
          <w:jc w:val="center"/>
          <w:tblHeader/>
          <w:cantSplit/>
        </w:trPr>
        <w:tc>
          <w:tcPr>
            <w:tcW w:w="1989" w:type="dxa"/>
          </w:tcPr>
          <w:p>
            <w:pPr>
              <w:pStyle w:val="Normal"/>
              <w:keepNext w:val="0"/>
              <w:keepLines/>
            </w:pPr>
            <w:r>
              <w:rPr>
                <w:b/>
                <w:sz w:val="18"/>
                <w:szCs w:val="22"/>
                <w:lang w:val="en-US" w:eastAsia="en-US" w:bidi="ar-SA"/>
                <w:rFonts w:ascii="Times New Roman" w:hAnsi="Times New Roman" w:eastAsia="Times New Roman" w:cs="Times New Roman"/>
              </w:rPr>
              <w:t>Construct</w:t>
            </w:r>
          </w:p>
        </w:tc>
        <w:tc>
          <w:tcPr>
            <w:tcW w:w="6516" w:type="dxa"/>
          </w:tcPr>
          <w:p>
            <w:pPr>
              <w:pStyle w:val="Normal"/>
              <w:keepNext w:val="0"/>
              <w:keepLines/>
            </w:pPr>
            <w:r>
              <w:rPr>
                <w:b/>
                <w:sz w:val="18"/>
                <w:szCs w:val="22"/>
                <w:lang w:val="en-US" w:eastAsia="en-US" w:bidi="ar-SA"/>
                <w:rFonts w:ascii="Times New Roman" w:hAnsi="Times New Roman" w:eastAsia="Times New Roman" w:cs="Times New Roman"/>
              </w:rPr>
              <w:t>Definition</w:t>
            </w:r>
          </w:p>
        </w:tc>
      </w:tr>
      <w:tr w:rsidR="0062437E" w14:paraId="662CB726"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FIDS</w:t>
            </w:r>
          </w:p>
        </w:tc>
        <w:tc>
          <w:tcPr>
            <w:tcW w:w="6516" w:type="dxa"/>
          </w:tcPr>
          <w:p>
            <w:pPr>
              <w:pStyle w:val="Normal"/>
            </w:pPr>
            <w:r>
              <w:rPr>
                <w:szCs w:val="22"/>
                <w:lang w:val="en-US" w:eastAsia="en-US" w:bidi="ar-SA"/>
                <w:rFonts w:ascii="Times New Roman" w:hAnsi="Times New Roman" w:eastAsia="Times New Roman" w:cs="Times New Roman"/>
                <w:sz w:val="24"/>
              </w:rPr>
              <w:t>Failure-Induced Dropout Syndrome - the initial working label for failure-associated disengagement. It was a hypothesis, not a validated syndrome.</w:t>
            </w:r>
          </w:p>
        </w:tc>
      </w:tr>
      <w:tr w:rsidR="0062437E" w14:paraId="66A2E48C"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FIAS</w:t>
            </w:r>
          </w:p>
        </w:tc>
        <w:tc>
          <w:tcPr>
            <w:tcW w:w="6516" w:type="dxa"/>
          </w:tcPr>
          <w:p>
            <w:pPr>
              <w:pStyle w:val="Normal"/>
            </w:pPr>
            <w:r>
              <w:rPr>
                <w:szCs w:val="22"/>
                <w:lang w:val="en-US" w:eastAsia="en-US" w:bidi="ar-SA"/>
                <w:rFonts w:ascii="Times New Roman" w:hAnsi="Times New Roman" w:eastAsia="Times New Roman" w:cs="Times New Roman"/>
                <w:sz w:val="24"/>
              </w:rPr>
              <w:t>Failure-Induced Abandonment Syndrome: a provisional, non-diagnostic construct describing failure-associated non-return in the studied setting. Active avoidance, identity-related mechanisms, reliability and incremental prediction remain to be established.</w:t>
            </w:r>
          </w:p>
        </w:tc>
      </w:tr>
      <w:tr w:rsidR="0062437E" w14:paraId="6EC0C8E6"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Recorded-Score–Engagement Discrepancy</w:t>
            </w:r>
            <w:r>
              <w:t xml:space="preserve"> (formerly: Objective-Score-Improvement/Non-Return Paradox)</w:t>
            </w:r>
          </w:p>
        </w:tc>
        <w:tc>
          <w:tcPr>
            <w:tcW w:w="6516" w:type="dxa"/>
          </w:tcPr>
          <w:p>
            <w:pPr>
              <w:pStyle w:val="Normal"/>
            </w:pPr>
            <w:r>
              <w:rPr>
                <w:szCs w:val="22"/>
                <w:lang w:val="en-US" w:eastAsia="en-US" w:bidi="ar-SA"/>
                <w:rFonts w:ascii="Times New Roman" w:hAnsi="Times New Roman" w:eastAsia="Times New Roman" w:cs="Times New Roman"/>
                <w:sz w:val="24"/>
              </w:rPr>
              <w:t>The Stage-2 observation that some participants showed positive change in the recorded FRA index during a single session and did not return during the study window. The pattern does not by itself establish clinical benefit or a specific psychological mechanism.</w:t>
            </w:r>
          </w:p>
        </w:tc>
      </w:tr>
      <w:tr w:rsidR="0062437E" w14:paraId="28F8E552"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Decoupling</w:t>
            </w:r>
          </w:p>
        </w:tc>
        <w:tc>
          <w:tcPr>
            <w:tcW w:w="6516" w:type="dxa"/>
          </w:tcPr>
          <w:p>
            <w:pPr>
              <w:pStyle w:val="Normal"/>
            </w:pPr>
            <w:r>
              <w:rPr>
                <w:szCs w:val="22"/>
                <w:lang w:val="en-US" w:eastAsia="en-US" w:bidi="ar-SA"/>
                <w:rFonts w:ascii="Times New Roman" w:hAnsi="Times New Roman" w:eastAsia="Times New Roman" w:cs="Times New Roman"/>
                <w:sz w:val="24"/>
              </w:rPr>
              <w:t>A multi-component participant-facing intervention that reduces clinical-verdict cues at lexical, procedural and interface levels. Stage 3 evaluated the package in a separate cohort; it was not a single-variable experiment.</w:t>
            </w:r>
          </w:p>
        </w:tc>
      </w:tr>
      <w:tr w:rsidR="0062437E" w14:paraId="7CAD9316"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Mental Accounting of Health Outcomes</w:t>
            </w:r>
          </w:p>
        </w:tc>
        <w:tc>
          <w:tcPr>
            <w:tcW w:w="6516" w:type="dxa"/>
          </w:tcPr>
          <w:p>
            <w:pPr>
              <w:pStyle w:val="Normal"/>
            </w:pPr>
            <w:r>
              <w:rPr>
                <w:szCs w:val="22"/>
                <w:lang w:val="en-US" w:eastAsia="en-US" w:bidi="ar-SA"/>
                <w:rFonts w:ascii="Times New Roman" w:hAnsi="Times New Roman" w:eastAsia="Times New Roman" w:cs="Times New Roman"/>
                <w:sz w:val="24"/>
              </w:rPr>
              <w:t>A candidate mechanism by which a clinical frame may increase the personal meaning of an adverse event. Adapted from mental-accounting theory and not directly measured in the present studies.</w:t>
            </w:r>
          </w:p>
        </w:tc>
      </w:tr>
      <w:tr w:rsidR="0062437E" w14:paraId="62102755"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Frame-Suppression</w:t>
            </w:r>
          </w:p>
        </w:tc>
        <w:tc>
          <w:tcPr>
            <w:tcW w:w="6516" w:type="dxa"/>
          </w:tcPr>
          <w:p>
            <w:pPr>
              <w:pStyle w:val="Normal"/>
            </w:pPr>
            <w:r>
              <w:rPr>
                <w:szCs w:val="22"/>
                <w:lang w:val="en-US" w:eastAsia="en-US" w:bidi="ar-SA"/>
                <w:rFonts w:ascii="Times New Roman" w:hAnsi="Times New Roman" w:eastAsia="Times New Roman" w:cs="Times New Roman"/>
                <w:sz w:val="24"/>
              </w:rPr>
              <w:t>A frame-sensitive hypothesis supported by the direction of Stage-3 behaviour but not proven because the comparison is between cohorts and includes multiple contextual changes.</w:t>
            </w:r>
          </w:p>
        </w:tc>
      </w:tr>
      <w:tr w:rsidR="0062437E" w14:paraId="2BF9590B"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Commitment Gap</w:t>
            </w:r>
          </w:p>
        </w:tc>
        <w:tc>
          <w:tcPr>
            <w:tcW w:w="6516" w:type="dxa"/>
          </w:tcPr>
          <w:p>
            <w:pPr>
              <w:pStyle w:val="Normal"/>
            </w:pPr>
            <w:r>
              <w:rPr>
                <w:szCs w:val="22"/>
                <w:lang w:val="en-US" w:eastAsia="en-US" w:bidi="ar-SA"/>
                <w:rFonts w:ascii="Times New Roman" w:hAnsi="Times New Roman" w:eastAsia="Times New Roman" w:cs="Times New Roman"/>
                <w:sz w:val="24"/>
              </w:rPr>
              <w:t>The 29.3-percentage-point difference in the 65–80 band between continued or resumed play (85.4%) and stated regular-use intention (56.1%). It is descriptive and does not identify a single cause.</w:t>
            </w:r>
          </w:p>
        </w:tc>
      </w:tr>
      <w:tr w:rsidR="0062437E" w14:paraId="291D7747"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Adaptive-Learning Framework</w:t>
            </w:r>
          </w:p>
        </w:tc>
        <w:tc>
          <w:tcPr>
            <w:tcW w:w="6516" w:type="dxa"/>
          </w:tcPr>
          <w:p>
            <w:pPr>
              <w:pStyle w:val="Normal"/>
            </w:pPr>
            <w:r>
              <w:rPr>
                <w:szCs w:val="22"/>
                <w:lang w:val="en-US" w:eastAsia="en-US" w:bidi="ar-SA"/>
                <w:rFonts w:ascii="Times New Roman" w:hAnsi="Times New Roman" w:eastAsia="Times New Roman" w:cs="Times New Roman"/>
                <w:sz w:val="24"/>
              </w:rPr>
              <w:t>The thesis's proposed three-principle engineering framework: identity disentanglement, trajectory installation and adaptive calibration. The complete framework has not yet been evaluated.</w:t>
            </w:r>
          </w:p>
        </w:tc>
      </w:tr>
      <w:tr w:rsidR="0062437E" w14:paraId="25916AF7"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Entropy Constraint</w:t>
            </w:r>
          </w:p>
        </w:tc>
        <w:tc>
          <w:tcPr>
            <w:tcW w:w="6516" w:type="dxa"/>
          </w:tcPr>
          <w:p>
            <w:pPr>
              <w:pStyle w:val="Normal"/>
            </w:pPr>
            <w:r>
              <w:rPr>
                <w:szCs w:val="22"/>
                <w:lang w:val="en-US" w:eastAsia="en-US" w:bidi="ar-SA"/>
                <w:rFonts w:ascii="Times New Roman" w:hAnsi="Times New Roman" w:eastAsia="Times New Roman" w:cs="Times New Roman"/>
                <w:sz w:val="24"/>
              </w:rPr>
              <w:t>A future information-theoretic hypothesis that a salient event may reduce uncertainty in the user's interpretation. No entropy distribution was measured in the present studies.</w:t>
            </w:r>
          </w:p>
        </w:tc>
      </w:tr>
      <w:tr w:rsidR="0062437E" w14:paraId="3AA51BF9"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M0 / M1 / M2</w:t>
            </w:r>
          </w:p>
        </w:tc>
        <w:tc>
          <w:tcPr>
            <w:tcW w:w="6516" w:type="dxa"/>
          </w:tcPr>
          <w:p>
            <w:pPr>
              <w:pStyle w:val="Normal"/>
            </w:pPr>
            <w:r>
              <w:rPr>
                <w:sz w:val="24"/>
                <w:szCs w:val="22"/>
                <w:lang w:val="en-US" w:eastAsia="en-US" w:bidi="ar-SA"/>
                <w:rFonts w:ascii="Times New Roman" w:hAnsi="Times New Roman" w:eastAsia="Times New Roman" w:cs="Times New Roman"/>
              </w:rPr>
              <w:t>The three nested models specified in §6.10 for quantitative comparison: demographic baseline (M0), STAM-only (M1), STAM augmented with FIAS operators (M2). Proposed for comparison using LRT, ΔAIC, ΔBIC, McFadden's pseudo-R², Harrell's C-index and decision-curve analysis.</w:t>
            </w:r>
          </w:p>
        </w:tc>
      </w:tr>
      <w:tr w:rsidR="0062437E" w14:paraId="6C76D9EB"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Decision-Curve Analysis</w:t>
            </w:r>
          </w:p>
        </w:tc>
        <w:tc>
          <w:tcPr>
            <w:tcW w:w="6516" w:type="dxa"/>
          </w:tcPr>
          <w:p>
            <w:pPr>
              <w:pStyle w:val="Normal"/>
            </w:pPr>
            <w:r>
              <w:rPr>
                <w:sz w:val="24"/>
                <w:szCs w:val="22"/>
                <w:lang w:val="en-US" w:eastAsia="en-US" w:bidi="ar-SA"/>
                <w:rFonts w:ascii="Times New Roman" w:hAnsi="Times New Roman" w:eastAsia="Times New Roman" w:cs="Times New Roman"/>
              </w:rPr>
              <w:t>A method for evaluating the net benefit of a prediction-guided decision across specified thresholds and relative consequences of true and false positives (Vickers &amp; Elkin, 2006). Proposed here for future decision evaluation, not performed in the present programme.</w:t>
            </w:r>
          </w:p>
        </w:tc>
      </w:tr>
      <w:tr w:rsidR="0062437E" w14:paraId="049A1C1C"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Adaptive Learning</w:t>
            </w:r>
          </w:p>
        </w:tc>
        <w:tc>
          <w:tcPr>
            <w:tcW w:w="6516" w:type="dxa"/>
          </w:tcPr>
          <w:p>
            <w:pPr>
              <w:pStyle w:val="Normal"/>
            </w:pPr>
            <w:r>
              <w:rPr>
                <w:szCs w:val="22"/>
                <w:lang w:val="en-US" w:eastAsia="en-US" w:bidi="ar-SA"/>
                <w:rFonts w:ascii="Times New Roman" w:hAnsi="Times New Roman" w:eastAsia="Times New Roman" w:cs="Times New Roman"/>
                <w:sz w:val="24"/>
              </w:rPr>
              <w:t>A proposed design regime that combines trajectory-oriented feedback with calibrated challenge, pacing and support. It is hypothesised to reduce the dominance of fixed-verdict appraisal; structural incompatibility with endowment was not empirically tested.</w:t>
            </w:r>
          </w:p>
        </w:tc>
      </w:tr>
    </w:tbl>
    <w:p>
      <w:pPr>
        <w:pStyle w:val="Normal"/>
        <w:spacing w:after="40"/>
      </w:pPr>
    </w:p>
    <w:p>
      <w:pPr>
        <w:pStyle w:val="Normal"/>
        <w:spacing w:after="200" w:line="276" w:lineRule="auto"/>
        <w:rPr>
          <w:rFonts w:asciiTheme="majorHAnsi" w:eastAsiaTheme="majorEastAsia" w:hAnsiTheme="majorHAnsi" w:cstheme="majorBidi"/>
          <w:b/>
          <w:bCs/>
          <w:color w:val="000000"/>
          <w:sz w:val="28"/>
          <w:szCs w:val="26"/>
        </w:rPr>
      </w:pPr>
      <w:bookmarkStart w:id="181" w:name="_Toc232024678"/>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G · Raw Data, Photographs and Supplementary Materials</w:t>
      </w:r>
      <w:bookmarkEnd w:id="181"/>
    </w:p>
    <w:p>
      <w:pPr>
        <w:jc w:val="both"/>
      </w:pPr>
      <w:r>
        <w:t>G.0 Source-to-result manifest. One row per artifact on which a result exhibit or statement in this thesis depends, compiled on 2 October 2026 from the thesis repository (docs/thesis/) and the records described in items G.1–G.14. 'Not deposited' means the thesis holds no copy; 'not retained' means no copy exists; a path is a repository path. Synthetic and reconstructed files (item G.8; data_entry/SYNTHETIC_copies_received/) are listed only so that they are recognised, and feed no result.</w:t>
      </w:r>
    </w:p>
    <w:tbl>
      <w:tblPr>
        <w:tblStyle w:val="TableGrid"/>
        <w:tblLook w:firstColumn="1" w:firstRow="1" w:lastColumn="0" w:lastRow="0" w:noHBand="0" w:noVBand="1" w:val="04A0"/>
        <w:tblW w:w="9360" w:type="dxa"/>
        <w:tblLayout w:type="fixed"/>
      </w:tblPr>
      <w:tblGrid>
        <w:gridCol w:w="1591"/>
        <w:gridCol w:w="2340"/>
        <w:gridCol w:w="1029"/>
        <w:gridCol w:w="1029"/>
        <w:gridCol w:w="1123"/>
        <w:gridCol w:w="1123"/>
        <w:gridCol w:w="1123"/>
      </w:tblGrid>
      <w:tr>
        <w:tc>
          <w:tcPr>
            <w:tcW w:type="dxa" w:w="1591"/>
          </w:tcPr>
          <w:p>
            <w:r>
              <w:rPr>
                <w:sz w:val="15"/>
              </w:rPr>
              <w:t>Artifact</w:t>
            </w:r>
          </w:p>
        </w:tc>
        <w:tc>
          <w:tcPr>
            <w:tcW w:type="dxa" w:w="2340"/>
          </w:tcPr>
          <w:p>
            <w:r>
              <w:rPr>
                <w:sz w:val="15"/>
              </w:rPr>
              <w:t>Source / repository path</w:t>
            </w:r>
          </w:p>
        </w:tc>
        <w:tc>
          <w:tcPr>
            <w:tcW w:type="dxa" w:w="1029"/>
          </w:tcPr>
          <w:p>
            <w:r>
              <w:rPr>
                <w:sz w:val="15"/>
              </w:rPr>
              <w:t>Collection or receipt date</w:t>
            </w:r>
          </w:p>
        </w:tc>
        <w:tc>
          <w:tcPr>
            <w:tcW w:type="dxa" w:w="1029"/>
          </w:tcPr>
          <w:p>
            <w:r>
              <w:rPr>
                <w:sz w:val="15"/>
              </w:rPr>
              <w:t>Participants covered</w:t>
            </w:r>
          </w:p>
        </w:tc>
        <w:tc>
          <w:tcPr>
            <w:tcW w:type="dxa" w:w="1123"/>
          </w:tcPr>
          <w:p>
            <w:r>
              <w:rPr>
                <w:sz w:val="15"/>
              </w:rPr>
              <w:t>Derivation</w:t>
            </w:r>
          </w:p>
        </w:tc>
        <w:tc>
          <w:tcPr>
            <w:tcW w:type="dxa" w:w="1123"/>
          </w:tcPr>
          <w:p>
            <w:r>
              <w:rPr>
                <w:sz w:val="15"/>
              </w:rPr>
              <w:t>Feeds</w:t>
            </w:r>
          </w:p>
        </w:tc>
        <w:tc>
          <w:tcPr>
            <w:tcW w:type="dxa" w:w="1123"/>
          </w:tcPr>
          <w:p>
            <w:r>
              <w:rPr>
                <w:sz w:val="15"/>
              </w:rPr>
              <w:t>Status at 30 Sep 2026</w:t>
            </w:r>
          </w:p>
        </w:tc>
      </w:tr>
      <w:tr>
        <w:tc>
          <w:tcPr>
            <w:tcW w:type="dxa" w:w="1591"/>
          </w:tcPr>
          <w:p>
            <w:r>
              <w:rPr>
                <w:sz w:val="15"/>
              </w:rPr>
              <w:t>Stage-1 survey instrument (six items)</w:t>
            </w:r>
          </w:p>
        </w:tc>
        <w:tc>
          <w:tcPr>
            <w:tcW w:type="dxa" w:w="2340"/>
          </w:tcPr>
          <w:p>
            <w:r>
              <w:rPr>
                <w:sz w:val="15"/>
              </w:rPr>
              <w:t>Appendix A</w:t>
            </w:r>
          </w:p>
        </w:tc>
        <w:tc>
          <w:tcPr>
            <w:tcW w:type="dxa" w:w="1029"/>
          </w:tcPr>
          <w:p>
            <w:r>
              <w:rPr>
                <w:sz w:val="15"/>
              </w:rPr>
              <w:t>July–August 2024</w:t>
            </w:r>
          </w:p>
        </w:tc>
        <w:tc>
          <w:tcPr>
            <w:tcW w:type="dxa" w:w="1029"/>
          </w:tcPr>
          <w:p>
            <w:r>
              <w:rPr>
                <w:sz w:val="15"/>
              </w:rPr>
              <w:t>200 of 280 residents</w:t>
            </w:r>
          </w:p>
        </w:tc>
        <w:tc>
          <w:tcPr>
            <w:tcW w:type="dxa" w:w="1123"/>
          </w:tcPr>
          <w:p>
            <w:r>
              <w:rPr>
                <w:sz w:val="15"/>
              </w:rPr>
              <w:t>—</w:t>
            </w:r>
          </w:p>
        </w:tc>
        <w:tc>
          <w:tcPr>
            <w:tcW w:type="dxa" w:w="1123"/>
          </w:tcPr>
          <w:p>
            <w:r>
              <w:rPr>
                <w:sz w:val="15"/>
              </w:rPr>
              <w:t>Table 4.1 labels</w:t>
            </w:r>
          </w:p>
        </w:tc>
        <w:tc>
          <w:tcPr>
            <w:tcW w:type="dxa" w:w="1123"/>
          </w:tcPr>
          <w:p>
            <w:r>
              <w:rPr>
                <w:sz w:val="15"/>
              </w:rPr>
              <w:t>Bound (instrument only)</w:t>
            </w:r>
          </w:p>
        </w:tc>
      </w:tr>
      <w:tr>
        <w:tc>
          <w:tcPr>
            <w:tcW w:type="dxa" w:w="1591"/>
          </w:tcPr>
          <w:p>
            <w:r>
              <w:rPr>
                <w:sz w:val="15"/>
              </w:rPr>
              <w:t>Stage-1 per-respondent response file (G.1)</w:t>
            </w:r>
          </w:p>
        </w:tc>
        <w:tc>
          <w:tcPr>
            <w:tcW w:type="dxa" w:w="2340"/>
          </w:tcPr>
          <w:p>
            <w:r>
              <w:rPr>
                <w:sz w:val="15"/>
              </w:rPr>
              <w:t>Not in repository</w:t>
            </w:r>
          </w:p>
        </w:tc>
        <w:tc>
          <w:tcPr>
            <w:tcW w:type="dxa" w:w="1029"/>
          </w:tcPr>
          <w:p>
            <w:r>
              <w:rPr>
                <w:sz w:val="15"/>
              </w:rPr>
              <w:t>July–August 2024</w:t>
            </w:r>
          </w:p>
        </w:tc>
        <w:tc>
          <w:tcPr>
            <w:tcW w:type="dxa" w:w="1029"/>
          </w:tcPr>
          <w:p>
            <w:r>
              <w:rPr>
                <w:sz w:val="15"/>
              </w:rPr>
              <w:t>200 residents</w:t>
            </w:r>
          </w:p>
        </w:tc>
        <w:tc>
          <w:tcPr>
            <w:tcW w:type="dxa" w:w="1123"/>
          </w:tcPr>
          <w:p>
            <w:r>
              <w:rPr>
                <w:sz w:val="15"/>
              </w:rPr>
              <w:t>—</w:t>
            </w:r>
          </w:p>
        </w:tc>
        <w:tc>
          <w:tcPr>
            <w:tcW w:type="dxa" w:w="1123"/>
          </w:tcPr>
          <w:p>
            <w:r>
              <w:rPr>
                <w:sz w:val="15"/>
              </w:rPr>
              <w:t>Table 4.1 (aggregate percentages reported as recorded)</w:t>
            </w:r>
          </w:p>
        </w:tc>
        <w:tc>
          <w:tcPr>
            <w:tcW w:type="dxa" w:w="1123"/>
          </w:tcPr>
          <w:p>
            <w:r>
              <w:rPr>
                <w:sz w:val="15"/>
              </w:rPr>
              <w:t>Not archived; conditional figures not reproducible as counts</w:t>
            </w:r>
          </w:p>
        </w:tc>
      </w:tr>
      <w:tr>
        <w:tc>
          <w:tcPr>
            <w:tcW w:type="dxa" w:w="1591"/>
          </w:tcPr>
          <w:p>
            <w:r>
              <w:rPr>
                <w:sz w:val="15"/>
              </w:rPr>
              <w:t>Stage-2 analysis file (G.2)</w:t>
            </w:r>
          </w:p>
        </w:tc>
        <w:tc>
          <w:tcPr>
            <w:tcW w:type="dxa" w:w="2340"/>
          </w:tcPr>
          <w:p>
            <w:r>
              <w:rPr>
                <w:sz w:val="15"/>
              </w:rPr>
              <w:t>docs/thesis/stage2_clean.csv</w:t>
            </w:r>
          </w:p>
        </w:tc>
        <w:tc>
          <w:tcPr>
            <w:tcW w:type="dxa" w:w="1029"/>
          </w:tcPr>
          <w:p>
            <w:r>
              <w:rPr>
                <w:sz w:val="15"/>
              </w:rPr>
              <w:t>Archived 12 Jul 2026</w:t>
            </w:r>
          </w:p>
        </w:tc>
        <w:tc>
          <w:tcPr>
            <w:tcW w:type="dxa" w:w="1029"/>
          </w:tcPr>
          <w:p>
            <w:r>
              <w:rPr>
                <w:sz w:val="15"/>
              </w:rPr>
              <w:t>S2-P001–S2-P030 (30 analysed)</w:t>
            </w:r>
          </w:p>
        </w:tc>
        <w:tc>
          <w:tcPr>
            <w:tcW w:type="dxa" w:w="1123"/>
          </w:tcPr>
          <w:p>
            <w:r>
              <w:rPr>
                <w:sz w:val="15"/>
              </w:rPr>
              <w:t>Direct counts, paired differences, Wilson intervals, Fisher exact (no script deposited)</w:t>
            </w:r>
          </w:p>
        </w:tc>
        <w:tc>
          <w:tcPr>
            <w:tcW w:type="dxa" w:w="1123"/>
          </w:tcPr>
          <w:p>
            <w:r>
              <w:rPr>
                <w:sz w:val="15"/>
              </w:rPr>
              <w:t>§5.5; Tables 5.2, 6.5 (Stage-2 rows); Figures 5.4, 5.5</w:t>
            </w:r>
          </w:p>
        </w:tc>
        <w:tc>
          <w:tcPr>
            <w:tcW w:type="dxa" w:w="1123"/>
          </w:tcPr>
          <w:p>
            <w:r>
              <w:rPr>
                <w:sz w:val="15"/>
              </w:rPr>
              <w:t>Bound; S2-P015 failed verification, retained with sensitivity note</w:t>
            </w:r>
          </w:p>
        </w:tc>
      </w:tr>
      <w:tr>
        <w:tc>
          <w:tcPr>
            <w:tcW w:type="dxa" w:w="1591"/>
          </w:tcPr>
          <w:p>
            <w:r>
              <w:rPr>
                <w:sz w:val="15"/>
              </w:rPr>
              <w:t>FRA_32 data set as received (G.2)</w:t>
            </w:r>
          </w:p>
        </w:tc>
        <w:tc>
          <w:tcPr>
            <w:tcW w:type="dxa" w:w="2340"/>
          </w:tcPr>
          <w:p>
            <w:r>
              <w:rPr>
                <w:sz w:val="15"/>
              </w:rPr>
              <w:t>data_entry/incoming/stage2/FRA_32_Data_set_updated_as_received_2026-09-05.docx</w:t>
            </w:r>
          </w:p>
        </w:tc>
        <w:tc>
          <w:tcPr>
            <w:tcW w:type="dxa" w:w="1029"/>
          </w:tcPr>
          <w:p>
            <w:r>
              <w:rPr>
                <w:sz w:val="15"/>
              </w:rPr>
              <w:t>Received 5 Sep 2026; reconciled 6 Sep 2026</w:t>
            </w:r>
          </w:p>
        </w:tc>
        <w:tc>
          <w:tcPr>
            <w:tcW w:type="dxa" w:w="1029"/>
          </w:tcPr>
          <w:p>
            <w:r>
              <w:rPr>
                <w:sz w:val="15"/>
              </w:rPr>
              <w:t>32 records (30 + S2-C001, S2-C002)</w:t>
            </w:r>
          </w:p>
        </w:tc>
        <w:tc>
          <w:tcPr>
            <w:tcW w:type="dxa" w:w="1123"/>
          </w:tcPr>
          <w:p>
            <w:r>
              <w:rPr>
                <w:sz w:val="15"/>
              </w:rPr>
              <w:t>Reconciled against the analysis file</w:t>
            </w:r>
          </w:p>
        </w:tc>
        <w:tc>
          <w:tcPr>
            <w:tcW w:type="dxa" w:w="1123"/>
          </w:tcPr>
          <w:p>
            <w:r>
              <w:rPr>
                <w:sz w:val="15"/>
              </w:rPr>
              <w:t>§5.5 provenance</w:t>
            </w:r>
          </w:p>
        </w:tc>
        <w:tc>
          <w:tcPr>
            <w:tcW w:type="dxa" w:w="1123"/>
          </w:tcPr>
          <w:p>
            <w:r>
              <w:rPr>
                <w:sz w:val="15"/>
              </w:rPr>
              <w:t>Held in repository</w:t>
            </w:r>
          </w:p>
        </w:tc>
      </w:tr>
      <w:tr>
        <w:tc>
          <w:tcPr>
            <w:tcW w:type="dxa" w:w="1591"/>
          </w:tcPr>
          <w:p>
            <w:r>
              <w:rPr>
                <w:sz w:val="15"/>
              </w:rPr>
              <w:t>Stage-2 logbook with player IDs (ID register) (G.2)</w:t>
            </w:r>
          </w:p>
        </w:tc>
        <w:tc>
          <w:tcPr>
            <w:tcW w:type="dxa" w:w="2340"/>
          </w:tcPr>
          <w:p>
            <w:r>
              <w:rPr>
                <w:sz w:val="15"/>
              </w:rPr>
              <w:t>data_entry/incoming/stage2/Stage2_FRA_Logbook_with_Player_IDs_as_received_2026-09-11.pdf</w:t>
            </w:r>
          </w:p>
        </w:tc>
        <w:tc>
          <w:tcPr>
            <w:tcW w:type="dxa" w:w="1029"/>
          </w:tcPr>
          <w:p>
            <w:r>
              <w:rPr>
                <w:sz w:val="15"/>
              </w:rPr>
              <w:t>Received 11 Sep 2026</w:t>
            </w:r>
          </w:p>
        </w:tc>
        <w:tc>
          <w:tcPr>
            <w:tcW w:type="dxa" w:w="1029"/>
          </w:tcPr>
          <w:p>
            <w:r>
              <w:rPr>
                <w:sz w:val="15"/>
              </w:rPr>
              <w:t>32 records</w:t>
            </w:r>
          </w:p>
        </w:tc>
        <w:tc>
          <w:tcPr>
            <w:tcW w:type="dxa" w:w="1123"/>
          </w:tcPr>
          <w:p>
            <w:r>
              <w:rPr>
                <w:sz w:val="15"/>
              </w:rPr>
              <w:t>Column-provenance source for satisfaction and symptom variables</w:t>
            </w:r>
          </w:p>
        </w:tc>
        <w:tc>
          <w:tcPr>
            <w:tcW w:type="dxa" w:w="1123"/>
          </w:tcPr>
          <w:p>
            <w:r>
              <w:rPr>
                <w:sz w:val="15"/>
              </w:rPr>
              <w:t>§3.4, §5.5, §5.6 (F4 identifiers)</w:t>
            </w:r>
          </w:p>
        </w:tc>
        <w:tc>
          <w:tcPr>
            <w:tcW w:type="dxa" w:w="1123"/>
          </w:tcPr>
          <w:p>
            <w:r>
              <w:rPr>
                <w:sz w:val="15"/>
              </w:rPr>
              <w:t>Held in repository</w:t>
            </w:r>
          </w:p>
        </w:tc>
      </w:tr>
      <w:tr>
        <w:tc>
          <w:tcPr>
            <w:tcW w:type="dxa" w:w="1591"/>
          </w:tcPr>
          <w:p>
            <w:r>
              <w:rPr>
                <w:sz w:val="15"/>
              </w:rPr>
              <w:t>Stage-2 after-game questionnaire sheets (Appendix C)</w:t>
            </w:r>
          </w:p>
        </w:tc>
        <w:tc>
          <w:tcPr>
            <w:tcW w:type="dxa" w:w="2340"/>
          </w:tcPr>
          <w:p>
            <w:r>
              <w:rPr>
                <w:sz w:val="15"/>
              </w:rPr>
              <w:t>Not in repository</w:t>
            </w:r>
          </w:p>
        </w:tc>
        <w:tc>
          <w:tcPr>
            <w:tcW w:type="dxa" w:w="1029"/>
          </w:tcPr>
          <w:p>
            <w:r>
              <w:rPr>
                <w:sz w:val="15"/>
              </w:rPr>
              <w:t>June–August 2025</w:t>
            </w:r>
          </w:p>
        </w:tc>
        <w:tc>
          <w:tcPr>
            <w:tcW w:type="dxa" w:w="1029"/>
          </w:tcPr>
          <w:p>
            <w:r>
              <w:rPr>
                <w:sz w:val="15"/>
              </w:rPr>
              <w:t>30 participants</w:t>
            </w:r>
          </w:p>
        </w:tc>
        <w:tc>
          <w:tcPr>
            <w:tcW w:type="dxa" w:w="1123"/>
          </w:tcPr>
          <w:p>
            <w:r>
              <w:rPr>
                <w:sz w:val="15"/>
              </w:rPr>
              <w:t>Satisfaction category per participant carried into G.2</w:t>
            </w:r>
          </w:p>
        </w:tc>
        <w:tc>
          <w:tcPr>
            <w:tcW w:type="dxa" w:w="1123"/>
          </w:tcPr>
          <w:p>
            <w:r>
              <w:rPr>
                <w:sz w:val="15"/>
              </w:rPr>
              <w:t>§5.5 satisfaction association (p = 0.013)</w:t>
            </w:r>
          </w:p>
        </w:tc>
        <w:tc>
          <w:tcPr>
            <w:tcW w:type="dxa" w:w="1123"/>
          </w:tcPr>
          <w:p>
            <w:r>
              <w:rPr>
                <w:sz w:val="15"/>
              </w:rPr>
              <w:t>Not filed; form and anchors not on file</w:t>
            </w:r>
          </w:p>
        </w:tc>
      </w:tr>
      <w:tr>
        <w:tc>
          <w:tcPr>
            <w:tcW w:type="dxa" w:w="1591"/>
          </w:tcPr>
          <w:p>
            <w:r>
              <w:rPr>
                <w:sz w:val="15"/>
              </w:rPr>
              <w:t>Stage-2 nine post-deployment interviews (Appendix C)</w:t>
            </w:r>
          </w:p>
        </w:tc>
        <w:tc>
          <w:tcPr>
            <w:tcW w:type="dxa" w:w="2340"/>
          </w:tcPr>
          <w:p>
            <w:r>
              <w:rPr>
                <w:sz w:val="15"/>
              </w:rPr>
              <w:t>data_entry/incoming/stage2/Stage2_Questionnaire_9Interviews_as_received_2026-09-10.pdf; Stage2_Questionnaire_Entry_Workbook_as_received_2026-09-11.xlsx</w:t>
            </w:r>
          </w:p>
        </w:tc>
        <w:tc>
          <w:tcPr>
            <w:tcW w:type="dxa" w:w="1029"/>
          </w:tcPr>
          <w:p>
            <w:r>
              <w:rPr>
                <w:sz w:val="15"/>
              </w:rPr>
              <w:t>Interviews Aug–Sep 2025; entry record received 10–11 Sep 2026</w:t>
            </w:r>
          </w:p>
        </w:tc>
        <w:tc>
          <w:tcPr>
            <w:tcW w:type="dxa" w:w="1029"/>
          </w:tcPr>
          <w:p>
            <w:r>
              <w:rPr>
                <w:sz w:val="15"/>
              </w:rPr>
              <w:t>9 sustained participants</w:t>
            </w:r>
          </w:p>
        </w:tc>
        <w:tc>
          <w:tcPr>
            <w:tcW w:type="dxa" w:w="1123"/>
          </w:tcPr>
          <w:p>
            <w:r>
              <w:rPr>
                <w:sz w:val="15"/>
              </w:rPr>
              <w:t>Entered ratings and free text</w:t>
            </w:r>
          </w:p>
        </w:tc>
        <w:tc>
          <w:tcPr>
            <w:tcW w:type="dxa" w:w="1123"/>
          </w:tcPr>
          <w:p>
            <w:r>
              <w:rPr>
                <w:sz w:val="15"/>
              </w:rPr>
              <w:t>Appendix C ratings; §5.6</w:t>
            </w:r>
          </w:p>
        </w:tc>
        <w:tc>
          <w:tcPr>
            <w:tcW w:type="dxa" w:w="1123"/>
          </w:tcPr>
          <w:p>
            <w:r>
              <w:rPr>
                <w:sz w:val="15"/>
              </w:rPr>
              <w:t>Held in repository (entry record); completed forms not filed</w:t>
            </w:r>
          </w:p>
        </w:tc>
      </w:tr>
      <w:tr>
        <w:tc>
          <w:tcPr>
            <w:tcW w:type="dxa" w:w="1591"/>
          </w:tcPr>
          <w:p>
            <w:r>
              <w:rPr>
                <w:sz w:val="15"/>
              </w:rPr>
              <w:t>Stage-2 FIAS composite scores (Appendix B)</w:t>
            </w:r>
          </w:p>
        </w:tc>
        <w:tc>
          <w:tcPr>
            <w:tcW w:type="dxa" w:w="2340"/>
          </w:tcPr>
          <w:p>
            <w:r>
              <w:rPr>
                <w:sz w:val="15"/>
              </w:rPr>
              <w:t>Author's working record</w:t>
            </w:r>
          </w:p>
        </w:tc>
        <w:tc>
          <w:tcPr>
            <w:tcW w:type="dxa" w:w="1029"/>
          </w:tcPr>
          <w:p>
            <w:r>
              <w:rPr>
                <w:sz w:val="15"/>
              </w:rPr>
              <w:t>2025</w:t>
            </w:r>
          </w:p>
        </w:tc>
        <w:tc>
          <w:tcPr>
            <w:tcW w:type="dxa" w:w="1029"/>
          </w:tcPr>
          <w:p>
            <w:r>
              <w:rPr>
                <w:sz w:val="15"/>
              </w:rPr>
              <w:t>30 participants</w:t>
            </w:r>
          </w:p>
        </w:tc>
        <w:tc>
          <w:tcPr>
            <w:tcW w:type="dxa" w:w="1123"/>
          </w:tcPr>
          <w:p>
            <w:r>
              <w:rPr>
                <w:sz w:val="15"/>
              </w:rPr>
              <w:t>Thirteen-attribute rule (not reproduced)</w:t>
            </w:r>
          </w:p>
        </w:tc>
        <w:tc>
          <w:tcPr>
            <w:tcW w:type="dxa" w:w="1123"/>
          </w:tcPr>
          <w:p>
            <w:r>
              <w:rPr>
                <w:sz w:val="15"/>
              </w:rPr>
              <w:t>Figure B.1 (descriptive only)</w:t>
            </w:r>
          </w:p>
        </w:tc>
        <w:tc>
          <w:tcPr>
            <w:tcW w:type="dxa" w:w="1123"/>
          </w:tcPr>
          <w:p>
            <w:r>
              <w:rPr>
                <w:sz w:val="15"/>
              </w:rPr>
              <w:t>Rule not deposited; composite carries no evidential weight</w:t>
            </w:r>
          </w:p>
        </w:tc>
      </w:tr>
      <w:tr>
        <w:tc>
          <w:tcPr>
            <w:tcW w:type="dxa" w:w="1591"/>
          </w:tcPr>
          <w:p>
            <w:r>
              <w:rPr>
                <w:sz w:val="15"/>
              </w:rPr>
              <w:t>Stage-3 data logbook with aggregate summary (G.3)</w:t>
            </w:r>
          </w:p>
        </w:tc>
        <w:tc>
          <w:tcPr>
            <w:tcW w:type="dxa" w:w="2340"/>
          </w:tcPr>
          <w:p>
            <w:r>
              <w:rPr>
                <w:sz w:val="15"/>
              </w:rPr>
              <w:t>docs/thesis/Stage3_Data_Logbook_120cases_with_Reconciliation.xlsx (Preliminary_Summary sheet)</w:t>
            </w:r>
          </w:p>
        </w:tc>
        <w:tc>
          <w:tcPr>
            <w:tcW w:type="dxa" w:w="1029"/>
          </w:tcPr>
          <w:p>
            <w:r>
              <w:rPr>
                <w:sz w:val="15"/>
              </w:rPr>
              <w:t>Summary compiled July 2026</w:t>
            </w:r>
          </w:p>
        </w:tc>
        <w:tc>
          <w:tcPr>
            <w:tcW w:type="dxa" w:w="1029"/>
          </w:tcPr>
          <w:p>
            <w:r>
              <w:rPr>
                <w:sz w:val="15"/>
              </w:rPr>
              <w:t>120 compiled participants (38/41/41)</w:t>
            </w:r>
          </w:p>
        </w:tc>
        <w:tc>
          <w:tcPr>
            <w:tcW w:type="dxa" w:w="1123"/>
          </w:tcPr>
          <w:p>
            <w:r>
              <w:rPr>
                <w:sz w:val="15"/>
              </w:rPr>
              <w:t>Author's compilation; internal arithmetic only</w:t>
            </w:r>
          </w:p>
        </w:tc>
        <w:tc>
          <w:tcPr>
            <w:tcW w:type="dxa" w:w="1123"/>
          </w:tcPr>
          <w:p>
            <w:r>
              <w:rPr>
                <w:sz w:val="15"/>
              </w:rPr>
              <w:t>Tables 6.1–6.3, 6.5 (Stage-3 rows); Figures 6.1–6.3; abstract</w:t>
            </w:r>
          </w:p>
        </w:tc>
        <w:tc>
          <w:tcPr>
            <w:tcW w:type="dxa" w:w="1123"/>
          </w:tcPr>
          <w:p>
            <w:r>
              <w:rPr>
                <w:sz w:val="15"/>
              </w:rPr>
              <w:t>Bound; participant-level sheets empty; returns not retained</w:t>
            </w:r>
          </w:p>
        </w:tc>
      </w:tr>
      <w:tr>
        <w:tc>
          <w:tcPr>
            <w:tcW w:type="dxa" w:w="1591"/>
          </w:tcPr>
          <w:p>
            <w:r>
              <w:rPr>
                <w:sz w:val="15"/>
              </w:rPr>
              <w:t>Stage-3 returned results and questionnaire responses</w:t>
            </w:r>
          </w:p>
        </w:tc>
        <w:tc>
          <w:tcPr>
            <w:tcW w:type="dxa" w:w="2340"/>
          </w:tcPr>
          <w:p>
            <w:r>
              <w:rPr>
                <w:sz w:val="15"/>
              </w:rPr>
              <w:t>Not retained</w:t>
            </w:r>
          </w:p>
        </w:tc>
        <w:tc>
          <w:tcPr>
            <w:tcW w:type="dxa" w:w="1029"/>
          </w:tcPr>
          <w:p>
            <w:r>
              <w:rPr>
                <w:sz w:val="15"/>
              </w:rPr>
              <w:t>April–July 2026</w:t>
            </w:r>
          </w:p>
        </w:tc>
        <w:tc>
          <w:tcPr>
            <w:tcW w:type="dxa" w:w="1029"/>
          </w:tcPr>
          <w:p>
            <w:r>
              <w:rPr>
                <w:sz w:val="15"/>
              </w:rPr>
              <w:t>120 participants</w:t>
            </w:r>
          </w:p>
        </w:tc>
        <w:tc>
          <w:tcPr>
            <w:tcW w:type="dxa" w:w="1123"/>
          </w:tcPr>
          <w:p>
            <w:r>
              <w:rPr>
                <w:sz w:val="15"/>
              </w:rPr>
              <w:t>Compiled into the summary</w:t>
            </w:r>
          </w:p>
        </w:tc>
        <w:tc>
          <w:tcPr>
            <w:tcW w:type="dxa" w:w="1123"/>
          </w:tcPr>
          <w:p>
            <w:r>
              <w:rPr>
                <w:sz w:val="15"/>
              </w:rPr>
              <w:t>—</w:t>
            </w:r>
          </w:p>
        </w:tc>
        <w:tc>
          <w:tcPr>
            <w:tcW w:type="dxa" w:w="1123"/>
          </w:tcPr>
          <w:p>
            <w:r>
              <w:rPr>
                <w:sz w:val="15"/>
              </w:rPr>
              <w:t>Not retained as separate records</w:t>
            </w:r>
          </w:p>
        </w:tc>
      </w:tr>
      <w:tr>
        <w:tc>
          <w:tcPr>
            <w:tcW w:type="dxa" w:w="1591"/>
          </w:tcPr>
          <w:p>
            <w:r>
              <w:rPr>
                <w:sz w:val="15"/>
              </w:rPr>
              <w:t>Stage-3A game builds (G.0A)</w:t>
            </w:r>
          </w:p>
        </w:tc>
        <w:tc>
          <w:tcPr>
            <w:tcW w:type="dxa" w:w="2340"/>
          </w:tcPr>
          <w:p>
            <w:r>
              <w:rPr>
                <w:sz w:val="15"/>
              </w:rPr>
              <w:t>docs/thesis/game/Alpine_Coordination_Game_Stage31_v1.0_as_received_2026-09-30.html; Alpine_Coordination_Game_Stage3_v2.2.html</w:t>
            </w:r>
          </w:p>
        </w:tc>
        <w:tc>
          <w:tcPr>
            <w:tcW w:type="dxa" w:w="1029"/>
          </w:tcPr>
          <w:p>
            <w:r>
              <w:rPr>
                <w:sz w:val="15"/>
              </w:rPr>
              <w:t>v1.0 received 30 Sep 2026; v2.2 created 13 Jul 2026</w:t>
            </w:r>
          </w:p>
        </w:tc>
        <w:tc>
          <w:tcPr>
            <w:tcW w:type="dxa" w:w="1029"/>
          </w:tcPr>
          <w:p>
            <w:r>
              <w:rPr>
                <w:sz w:val="15"/>
              </w:rPr>
              <w:t>Build per participant not recorded</w:t>
            </w:r>
          </w:p>
        </w:tc>
        <w:tc>
          <w:tcPr>
            <w:tcW w:type="dxa" w:w="1123"/>
          </w:tcPr>
          <w:p>
            <w:r>
              <w:rPr>
                <w:sz w:val="15"/>
              </w:rPr>
              <w:t>—</w:t>
            </w:r>
          </w:p>
        </w:tc>
        <w:tc>
          <w:tcPr>
            <w:tcW w:type="dxa" w:w="1123"/>
          </w:tcPr>
          <w:p>
            <w:r>
              <w:rPr>
                <w:sz w:val="15"/>
              </w:rPr>
              <w:t>§6.4; Paper 3 Figure 1</w:t>
            </w:r>
          </w:p>
        </w:tc>
        <w:tc>
          <w:tcPr>
            <w:tcW w:type="dxa" w:w="1123"/>
          </w:tcPr>
          <w:p>
            <w:r>
              <w:rPr>
                <w:sz w:val="15"/>
              </w:rPr>
              <w:t>Held in repository</w:t>
            </w:r>
          </w:p>
        </w:tc>
      </w:tr>
      <w:tr>
        <w:tc>
          <w:tcPr>
            <w:tcW w:type="dxa" w:w="1591"/>
          </w:tcPr>
          <w:p>
            <w:r>
              <w:rPr>
                <w:sz w:val="15"/>
              </w:rPr>
              <w:t>Stage-3 distributor invitations and participant invitation (G.5)</w:t>
            </w:r>
          </w:p>
        </w:tc>
        <w:tc>
          <w:tcPr>
            <w:tcW w:type="dxa" w:w="2340"/>
          </w:tcPr>
          <w:p>
            <w:r>
              <w:rPr>
                <w:sz w:val="15"/>
              </w:rPr>
              <w:t>docs/thesis/evidence/Stage3_distributor_invitation_*.jpeg; Research_Participant_Invitation_Decoupled_Skiing_Game_as_received_2026-08-04.docx</w:t>
            </w:r>
          </w:p>
        </w:tc>
        <w:tc>
          <w:tcPr>
            <w:tcW w:type="dxa" w:w="1029"/>
          </w:tcPr>
          <w:p>
            <w:r>
              <w:rPr>
                <w:sz w:val="15"/>
              </w:rPr>
              <w:t>Received 4 Aug 2026 (reconstruction) and Sep 2026</w:t>
            </w:r>
          </w:p>
        </w:tc>
        <w:tc>
          <w:tcPr>
            <w:tcW w:type="dxa" w:w="1029"/>
          </w:tcPr>
          <w:p>
            <w:r>
              <w:rPr>
                <w:sz w:val="15"/>
              </w:rPr>
              <w:t>—</w:t>
            </w:r>
          </w:p>
        </w:tc>
        <w:tc>
          <w:tcPr>
            <w:tcW w:type="dxa" w:w="1123"/>
          </w:tcPr>
          <w:p>
            <w:r>
              <w:rPr>
                <w:sz w:val="15"/>
              </w:rPr>
              <w:t>—</w:t>
            </w:r>
          </w:p>
        </w:tc>
        <w:tc>
          <w:tcPr>
            <w:tcW w:type="dxa" w:w="1123"/>
          </w:tcPr>
          <w:p>
            <w:r>
              <w:rPr>
                <w:sz w:val="15"/>
              </w:rPr>
              <w:t>§3.4, §6.4</w:t>
            </w:r>
          </w:p>
        </w:tc>
        <w:tc>
          <w:tcPr>
            <w:tcW w:type="dxa" w:w="1123"/>
          </w:tcPr>
          <w:p>
            <w:r>
              <w:rPr>
                <w:sz w:val="15"/>
              </w:rPr>
              <w:t>Held in repository; no return index</w:t>
            </w:r>
          </w:p>
        </w:tc>
      </w:tr>
      <w:tr>
        <w:tc>
          <w:tcPr>
            <w:tcW w:type="dxa" w:w="1591"/>
          </w:tcPr>
          <w:p>
            <w:r>
              <w:rPr>
                <w:sz w:val="15"/>
              </w:rPr>
              <w:t>Synthetic and reconstructed Stage-3 files (G.8)</w:t>
            </w:r>
          </w:p>
        </w:tc>
        <w:tc>
          <w:tcPr>
            <w:tcW w:type="dxa" w:w="2340"/>
          </w:tcPr>
          <w:p>
            <w:r>
              <w:rPr>
                <w:sz w:val="15"/>
              </w:rPr>
              <w:t>data_entry/Stage3_Data_Entry_DEMO_SYNTHETIC.xlsx; data_entry/SYNTHETIC_copies_received/</w:t>
            </w:r>
          </w:p>
        </w:tc>
        <w:tc>
          <w:tcPr>
            <w:tcW w:type="dxa" w:w="1029"/>
          </w:tcPr>
          <w:p>
            <w:r>
              <w:rPr>
                <w:sz w:val="15"/>
              </w:rPr>
              <w:t>Jul–Oct 2026</w:t>
            </w:r>
          </w:p>
        </w:tc>
        <w:tc>
          <w:tcPr>
            <w:tcW w:type="dxa" w:w="1029"/>
          </w:tcPr>
          <w:p>
            <w:r>
              <w:rPr>
                <w:sz w:val="15"/>
              </w:rPr>
              <w:t>None (fictitious)</w:t>
            </w:r>
          </w:p>
        </w:tc>
        <w:tc>
          <w:tcPr>
            <w:tcW w:type="dxa" w:w="1123"/>
          </w:tcPr>
          <w:p>
            <w:r>
              <w:rPr>
                <w:sz w:val="15"/>
              </w:rPr>
              <w:t>—</w:t>
            </w:r>
          </w:p>
        </w:tc>
        <w:tc>
          <w:tcPr>
            <w:tcW w:type="dxa" w:w="1123"/>
          </w:tcPr>
          <w:p>
            <w:r>
              <w:rPr>
                <w:sz w:val="15"/>
              </w:rPr>
              <w:t>None</w:t>
            </w:r>
          </w:p>
        </w:tc>
        <w:tc>
          <w:tcPr>
            <w:tcW w:type="dxa" w:w="1123"/>
          </w:tcPr>
          <w:p>
            <w:r>
              <w:rPr>
                <w:sz w:val="15"/>
              </w:rPr>
              <w:t>Labelled; never evidence</w:t>
            </w:r>
          </w:p>
        </w:tc>
      </w:tr>
      <w:tr>
        <w:tc>
          <w:tcPr>
            <w:tcW w:type="dxa" w:w="1591"/>
          </w:tcPr>
          <w:p>
            <w:r>
              <w:rPr>
                <w:sz w:val="15"/>
              </w:rPr>
              <w:t>Expert consultation consents and records (Appendix H)</w:t>
            </w:r>
          </w:p>
        </w:tc>
        <w:tc>
          <w:tcPr>
            <w:tcW w:type="dxa" w:w="2340"/>
          </w:tcPr>
          <w:p>
            <w:r>
              <w:rPr>
                <w:sz w:val="15"/>
              </w:rPr>
              <w:t>docs/thesis/evidence/Consent_Form_*.pdf; Expert_Interview_Guide_2026.docx</w:t>
            </w:r>
          </w:p>
        </w:tc>
        <w:tc>
          <w:tcPr>
            <w:tcW w:type="dxa" w:w="1029"/>
          </w:tcPr>
          <w:p>
            <w:r>
              <w:rPr>
                <w:sz w:val="15"/>
              </w:rPr>
              <w:t>Signed 22 Jul–11 Aug 2026</w:t>
            </w:r>
          </w:p>
        </w:tc>
        <w:tc>
          <w:tcPr>
            <w:tcW w:type="dxa" w:w="1029"/>
          </w:tcPr>
          <w:p>
            <w:r>
              <w:rPr>
                <w:sz w:val="15"/>
              </w:rPr>
              <w:t>4 experts</w:t>
            </w:r>
          </w:p>
        </w:tc>
        <w:tc>
          <w:tcPr>
            <w:tcW w:type="dxa" w:w="1123"/>
          </w:tcPr>
          <w:p>
            <w:r>
              <w:rPr>
                <w:sz w:val="15"/>
              </w:rPr>
              <w:t>Author's notes; one audio transcript (7 Sep 2026)</w:t>
            </w:r>
          </w:p>
        </w:tc>
        <w:tc>
          <w:tcPr>
            <w:tcW w:type="dxa" w:w="1123"/>
          </w:tcPr>
          <w:p>
            <w:r>
              <w:rPr>
                <w:sz w:val="15"/>
              </w:rPr>
              <w:t>§6.12; Appendix H</w:t>
            </w:r>
          </w:p>
        </w:tc>
        <w:tc>
          <w:tcPr>
            <w:tcW w:type="dxa" w:w="1123"/>
          </w:tcPr>
          <w:p>
            <w:r>
              <w:rPr>
                <w:sz w:val="15"/>
              </w:rPr>
              <w:t>Held in repository; two member-checks not returned</w:t>
            </w:r>
          </w:p>
        </w:tc>
      </w:tr>
      <w:tr>
        <w:tc>
          <w:tcPr>
            <w:tcW w:type="dxa" w:w="1591"/>
          </w:tcPr>
          <w:p>
            <w:r>
              <w:rPr>
                <w:sz w:val="15"/>
              </w:rPr>
              <w:t>Ethics approval memo and application drafts</w:t>
            </w:r>
          </w:p>
        </w:tc>
        <w:tc>
          <w:tcPr>
            <w:tcW w:type="dxa" w:w="2340"/>
          </w:tcPr>
          <w:p>
            <w:r>
              <w:rPr>
                <w:sz w:val="15"/>
              </w:rPr>
              <w:t>docs/thesis/ethics/HSEARS20260805008_Approval_Memo_as_received_2026-09-11.pdf; HSESC_*.docx (pre-submission drafts)</w:t>
            </w:r>
          </w:p>
        </w:tc>
        <w:tc>
          <w:tcPr>
            <w:tcW w:type="dxa" w:w="1029"/>
          </w:tcPr>
          <w:p>
            <w:r>
              <w:rPr>
                <w:sz w:val="15"/>
              </w:rPr>
              <w:t>Approved 6 Aug 2026</w:t>
            </w:r>
          </w:p>
        </w:tc>
        <w:tc>
          <w:tcPr>
            <w:tcW w:type="dxa" w:w="1029"/>
          </w:tcPr>
          <w:p>
            <w:r>
              <w:rPr>
                <w:sz w:val="15"/>
              </w:rPr>
              <w:t>—</w:t>
            </w:r>
          </w:p>
        </w:tc>
        <w:tc>
          <w:tcPr>
            <w:tcW w:type="dxa" w:w="1123"/>
          </w:tcPr>
          <w:p>
            <w:r>
              <w:rPr>
                <w:sz w:val="15"/>
              </w:rPr>
              <w:t>—</w:t>
            </w:r>
          </w:p>
        </w:tc>
        <w:tc>
          <w:tcPr>
            <w:tcW w:type="dxa" w:w="1123"/>
          </w:tcPr>
          <w:p>
            <w:r>
              <w:rPr>
                <w:sz w:val="15"/>
              </w:rPr>
              <w:t>§3.4; Appendix I.7</w:t>
            </w:r>
          </w:p>
        </w:tc>
        <w:tc>
          <w:tcPr>
            <w:tcW w:type="dxa" w:w="1123"/>
          </w:tcPr>
          <w:p>
            <w:r>
              <w:rPr>
                <w:sz w:val="15"/>
              </w:rPr>
              <w:t>Memo held; application as submitted held by the author</w:t>
            </w:r>
          </w:p>
        </w:tc>
      </w:tr>
      <w:tr>
        <w:tc>
          <w:tcPr>
            <w:tcW w:type="dxa" w:w="1591"/>
          </w:tcPr>
          <w:p>
            <w:r>
              <w:rPr>
                <w:sz w:val="15"/>
              </w:rPr>
              <w:t>Development-office videos and facility photograph (G.4, G.10)</w:t>
            </w:r>
          </w:p>
        </w:tc>
        <w:tc>
          <w:tcPr>
            <w:tcW w:type="dxa" w:w="2340"/>
          </w:tcPr>
          <w:p>
            <w:r>
              <w:rPr>
                <w:sz w:val="15"/>
              </w:rPr>
              <w:t>docs/thesis/evidence/platform_demo_2024-08-27_1082.mov; gameplay_screenrecording_2024-08-27_1074.mov; FRA_station_Guangzhou_IMG_0886_original.jpeg</w:t>
            </w:r>
          </w:p>
        </w:tc>
        <w:tc>
          <w:tcPr>
            <w:tcW w:type="dxa" w:w="1029"/>
          </w:tcPr>
          <w:p>
            <w:r>
              <w:rPr>
                <w:sz w:val="15"/>
              </w:rPr>
              <w:t>27 Aug 2024; 2025</w:t>
            </w:r>
          </w:p>
        </w:tc>
        <w:tc>
          <w:tcPr>
            <w:tcW w:type="dxa" w:w="1029"/>
          </w:tcPr>
          <w:p>
            <w:r>
              <w:rPr>
                <w:sz w:val="15"/>
              </w:rPr>
              <w:t>Two control persons; no participant</w:t>
            </w:r>
          </w:p>
        </w:tc>
        <w:tc>
          <w:tcPr>
            <w:tcW w:type="dxa" w:w="1123"/>
          </w:tcPr>
          <w:p>
            <w:r>
              <w:rPr>
                <w:sz w:val="15"/>
              </w:rPr>
              <w:t>—</w:t>
            </w:r>
          </w:p>
        </w:tc>
        <w:tc>
          <w:tcPr>
            <w:tcW w:type="dxa" w:w="1123"/>
          </w:tcPr>
          <w:p>
            <w:r>
              <w:rPr>
                <w:sz w:val="15"/>
              </w:rPr>
              <w:t>Figures 4.1B, 5.1A</w:t>
            </w:r>
          </w:p>
        </w:tc>
        <w:tc>
          <w:tcPr>
            <w:tcW w:type="dxa" w:w="1123"/>
          </w:tcPr>
          <w:p>
            <w:r>
              <w:rPr>
                <w:sz w:val="15"/>
              </w:rPr>
              <w:t>Held in repository; control person's consent not on file</w:t>
            </w:r>
          </w:p>
        </w:tc>
      </w:tr>
      <w:tr>
        <w:tc>
          <w:tcPr>
            <w:tcW w:type="dxa" w:w="1591"/>
          </w:tcPr>
          <w:p>
            <w:r>
              <w:rPr>
                <w:sz w:val="15"/>
              </w:rPr>
              <w:t>Deployed Stage-2 game records: specification (29 Aug 2024), code print, game.html v1, game_v2.html v2, July 2026 overview (G.7, G.0A)</w:t>
            </w:r>
          </w:p>
        </w:tc>
        <w:tc>
          <w:tcPr>
            <w:tcW w:type="dxa" w:w="2340"/>
          </w:tcPr>
          <w:p>
            <w:r>
              <w:rPr>
                <w:sz w:val="15"/>
              </w:rPr>
              <w:t>docs/thesis/game/2024_threejs_prototype/</w:t>
            </w:r>
          </w:p>
        </w:tc>
        <w:tc>
          <w:tcPr>
            <w:tcW w:type="dxa" w:w="1029"/>
          </w:tcPr>
          <w:p>
            <w:r>
              <w:rPr>
                <w:sz w:val="15"/>
              </w:rPr>
              <w:t>29–30 Aug 2024; 12 Jul 2026; received 3 Oct 2026</w:t>
            </w:r>
          </w:p>
        </w:tc>
        <w:tc>
          <w:tcPr>
            <w:tcW w:type="dxa" w:w="1029"/>
          </w:tcPr>
          <w:p>
            <w:r>
              <w:rPr>
                <w:sz w:val="15"/>
              </w:rPr>
              <w:t>None (artefact record)</w:t>
            </w:r>
          </w:p>
        </w:tc>
        <w:tc>
          <w:tcPr>
            <w:tcW w:type="dxa" w:w="1123"/>
          </w:tcPr>
          <w:p>
            <w:r>
              <w:rPr>
                <w:sz w:val="15"/>
              </w:rPr>
              <w:t>—</w:t>
            </w:r>
          </w:p>
        </w:tc>
        <w:tc>
          <w:tcPr>
            <w:tcW w:type="dxa" w:w="1123"/>
          </w:tcPr>
          <w:p>
            <w:r>
              <w:rPr>
                <w:sz w:val="15"/>
              </w:rPr>
              <w:t>§5.2A, §5.3–§5.3.7 and Appendix E.1 (artefact description); G.0A row 2</w:t>
            </w:r>
          </w:p>
        </w:tc>
        <w:tc>
          <w:tcPr>
            <w:tcW w:type="dxa" w:w="1123"/>
          </w:tcPr>
          <w:p>
            <w:r>
              <w:rPr>
                <w:sz w:val="15"/>
              </w:rPr>
              <w:t>Held in repository with SHA-256</w:t>
            </w:r>
          </w:p>
        </w:tc>
      </w:tr>
      <w:tr>
        <w:tc>
          <w:tcPr>
            <w:tcW w:type="dxa" w:w="1591"/>
          </w:tcPr>
          <w:p>
            <w:r>
              <w:rPr>
                <w:sz w:val="15"/>
              </w:rPr>
              <w:t>Stage-2 game screen recording, 15 Jan 2025 (G.17)</w:t>
            </w:r>
          </w:p>
        </w:tc>
        <w:tc>
          <w:tcPr>
            <w:tcW w:type="dxa" w:w="2340"/>
          </w:tcPr>
          <w:p>
            <w:r>
              <w:rPr>
                <w:sz w:val="15"/>
              </w:rPr>
              <w:t>docs/thesis/evidence/stage2_game_screen_recording_2025-01-15/</w:t>
            </w:r>
          </w:p>
        </w:tc>
        <w:tc>
          <w:tcPr>
            <w:tcW w:type="dxa" w:w="1029"/>
          </w:tcPr>
          <w:p>
            <w:r>
              <w:rPr>
                <w:sz w:val="15"/>
              </w:rPr>
              <w:t>15 Jan 2025 (re-exports 7 Sep 2025); received 4 Oct 2026</w:t>
            </w:r>
          </w:p>
        </w:tc>
        <w:tc>
          <w:tcPr>
            <w:tcW w:type="dxa" w:w="1029"/>
          </w:tcPr>
          <w:p>
            <w:r>
              <w:rPr>
                <w:sz w:val="15"/>
              </w:rPr>
              <w:t>None (artefact record)</w:t>
            </w:r>
          </w:p>
        </w:tc>
        <w:tc>
          <w:tcPr>
            <w:tcW w:type="dxa" w:w="1123"/>
          </w:tcPr>
          <w:p>
            <w:r>
              <w:rPr>
                <w:sz w:val="15"/>
              </w:rPr>
              <w:t>—</w:t>
            </w:r>
          </w:p>
        </w:tc>
        <w:tc>
          <w:tcPr>
            <w:tcW w:type="dxa" w:w="1123"/>
          </w:tcPr>
          <w:p>
            <w:r>
              <w:rPr>
                <w:sz w:val="15"/>
              </w:rPr>
              <w:t>§5.2A, §5.3.9 (identifies the deployed game)</w:t>
            </w:r>
          </w:p>
        </w:tc>
        <w:tc>
          <w:tcPr>
            <w:tcW w:type="dxa" w:w="1123"/>
          </w:tcPr>
          <w:p>
            <w:r>
              <w:rPr>
                <w:sz w:val="15"/>
              </w:rPr>
              <w:t>Held in repository with SHA-256</w:t>
            </w:r>
          </w:p>
        </w:tc>
      </w:tr>
      <w:tr>
        <w:tc>
          <w:tcPr>
            <w:tcW w:type="dxa" w:w="1591"/>
          </w:tcPr>
          <w:p>
            <w:r>
              <w:rPr>
                <w:sz w:val="15"/>
              </w:rPr>
              <w:t>Early Stage-3 build index.html, demo script and synthetic demo animation (G.18)</w:t>
            </w:r>
          </w:p>
        </w:tc>
        <w:tc>
          <w:tcPr>
            <w:tcW w:type="dxa" w:w="2340"/>
          </w:tcPr>
          <w:p>
            <w:r>
              <w:rPr>
                <w:sz w:val="15"/>
              </w:rPr>
              <w:t>docs/thesis/game/intelligent_skiing_trainer_build_received_2026-10-04/</w:t>
            </w:r>
          </w:p>
        </w:tc>
        <w:tc>
          <w:tcPr>
            <w:tcW w:type="dxa" w:w="1029"/>
          </w:tcPr>
          <w:p>
            <w:r>
              <w:rPr>
                <w:sz w:val="15"/>
              </w:rPr>
              <w:t>2026, date not stated; received 4 Oct 2026</w:t>
            </w:r>
          </w:p>
        </w:tc>
        <w:tc>
          <w:tcPr>
            <w:tcW w:type="dxa" w:w="1029"/>
          </w:tcPr>
          <w:p>
            <w:r>
              <w:rPr>
                <w:sz w:val="15"/>
              </w:rPr>
              <w:t>None (not distributed)</w:t>
            </w:r>
          </w:p>
        </w:tc>
        <w:tc>
          <w:tcPr>
            <w:tcW w:type="dxa" w:w="1123"/>
          </w:tcPr>
          <w:p>
            <w:r>
              <w:rPr>
                <w:sz w:val="15"/>
              </w:rPr>
              <w:t>—</w:t>
            </w:r>
          </w:p>
        </w:tc>
        <w:tc>
          <w:tcPr>
            <w:tcW w:type="dxa" w:w="1123"/>
          </w:tcPr>
          <w:p>
            <w:r>
              <w:rPr>
                <w:sz w:val="15"/>
              </w:rPr>
              <w:t>Table 5.0, §5.2A, G.14 (parameter source); the animation is a scripted render, not gameplay, and is not cited</w:t>
            </w:r>
          </w:p>
        </w:tc>
        <w:tc>
          <w:tcPr>
            <w:tcW w:type="dxa" w:w="1123"/>
          </w:tcPr>
          <w:p>
            <w:r>
              <w:rPr>
                <w:sz w:val="15"/>
              </w:rPr>
              <w:t>Held in repository with SHA-256</w:t>
            </w:r>
          </w:p>
        </w:tc>
      </w:tr>
      <w:tr>
        <w:tc>
          <w:tcPr>
            <w:tcW w:type="dxa" w:w="1591"/>
          </w:tcPr>
          <w:p>
            <w:r>
              <w:rPr>
                <w:sz w:val="15"/>
              </w:rPr>
              <w:t>Stage-2 input mat vendor listing (G.15)</w:t>
            </w:r>
          </w:p>
        </w:tc>
        <w:tc>
          <w:tcPr>
            <w:tcW w:type="dxa" w:w="2340"/>
          </w:tcPr>
          <w:p>
            <w:r>
              <w:rPr>
                <w:sz w:val="15"/>
              </w:rPr>
              <w:t>docs/thesis/evidence/stage2_input_mat/</w:t>
            </w:r>
          </w:p>
        </w:tc>
        <w:tc>
          <w:tcPr>
            <w:tcW w:type="dxa" w:w="1029"/>
          </w:tcPr>
          <w:p>
            <w:r>
              <w:rPr>
                <w:sz w:val="15"/>
              </w:rPr>
              <w:t>Supplied 3 Oct 2026</w:t>
            </w:r>
          </w:p>
        </w:tc>
        <w:tc>
          <w:tcPr>
            <w:tcW w:type="dxa" w:w="1029"/>
          </w:tcPr>
          <w:p>
            <w:r>
              <w:rPr>
                <w:sz w:val="15"/>
              </w:rPr>
              <w:t>None</w:t>
            </w:r>
          </w:p>
        </w:tc>
        <w:tc>
          <w:tcPr>
            <w:tcW w:type="dxa" w:w="1123"/>
          </w:tcPr>
          <w:p>
            <w:r>
              <w:rPr>
                <w:sz w:val="15"/>
              </w:rPr>
              <w:t>—</w:t>
            </w:r>
          </w:p>
        </w:tc>
        <w:tc>
          <w:tcPr>
            <w:tcW w:type="dxa" w:w="1123"/>
          </w:tcPr>
          <w:p>
            <w:r>
              <w:rPr>
                <w:sz w:val="15"/>
              </w:rPr>
              <w:t>§5.2A, §5.3.1, Appendix E.1, G.0A row 2 (device identification only)</w:t>
            </w:r>
          </w:p>
        </w:tc>
        <w:tc>
          <w:tcPr>
            <w:tcW w:type="dxa" w:w="1123"/>
          </w:tcPr>
          <w:p>
            <w:r>
              <w:rPr>
                <w:sz w:val="15"/>
              </w:rPr>
              <w:t>Held in repository</w:t>
            </w:r>
          </w:p>
        </w:tc>
      </w:tr>
      <w:tr>
        <w:tc>
          <w:tcPr>
            <w:tcW w:type="dxa" w:w="1591"/>
          </w:tcPr>
          <w:p>
            <w:r>
              <w:rPr>
                <w:sz w:val="15"/>
              </w:rPr>
              <w:t>Stage-2 data-structure illustrations, 2026 (G.16) — not records</w:t>
            </w:r>
          </w:p>
        </w:tc>
        <w:tc>
          <w:tcPr>
            <w:tcW w:type="dxa" w:w="2340"/>
          </w:tcPr>
          <w:p>
            <w:r>
              <w:rPr>
                <w:sz w:val="15"/>
              </w:rPr>
              <w:t>docs/thesis/data_entry/SYNTHETIC_copies_received/</w:t>
            </w:r>
          </w:p>
        </w:tc>
        <w:tc>
          <w:tcPr>
            <w:tcW w:type="dxa" w:w="1029"/>
          </w:tcPr>
          <w:p>
            <w:r>
              <w:rPr>
                <w:sz w:val="15"/>
              </w:rPr>
              <w:t>Received 3 Oct 2026; made in 2026</w:t>
            </w:r>
          </w:p>
        </w:tc>
        <w:tc>
          <w:tcPr>
            <w:tcW w:type="dxa" w:w="1029"/>
          </w:tcPr>
          <w:p>
            <w:r>
              <w:rPr>
                <w:sz w:val="15"/>
              </w:rPr>
              <w:t>None (values copied from G.2)</w:t>
            </w:r>
          </w:p>
        </w:tc>
        <w:tc>
          <w:tcPr>
            <w:tcW w:type="dxa" w:w="1123"/>
          </w:tcPr>
          <w:p>
            <w:r>
              <w:rPr>
                <w:sz w:val="15"/>
              </w:rPr>
              <w:t>—</w:t>
            </w:r>
          </w:p>
        </w:tc>
        <w:tc>
          <w:tcPr>
            <w:tcW w:type="dxa" w:w="1123"/>
          </w:tcPr>
          <w:p>
            <w:r>
              <w:rPr>
                <w:sz w:val="15"/>
              </w:rPr>
              <w:t>None</w:t>
            </w:r>
          </w:p>
        </w:tc>
        <w:tc>
          <w:tcPr>
            <w:tcW w:type="dxa" w:w="1123"/>
          </w:tcPr>
          <w:p>
            <w:r>
              <w:rPr>
                <w:sz w:val="15"/>
              </w:rPr>
              <w:t>Held in repository, not evidence</w:t>
            </w:r>
          </w:p>
        </w:tc>
      </w:tr>
      <w:tr>
        <w:tc>
          <w:tcPr>
            <w:tcW w:type="dxa" w:w="1591"/>
          </w:tcPr>
          <w:p>
            <w:r>
              <w:rPr>
                <w:sz w:val="15"/>
              </w:rPr>
              <w:t>Programme progress report, April 2024</w:t>
            </w:r>
          </w:p>
        </w:tc>
        <w:tc>
          <w:tcPr>
            <w:tcW w:type="dxa" w:w="2340"/>
          </w:tcPr>
          <w:p>
            <w:r>
              <w:rPr>
                <w:sz w:val="15"/>
              </w:rPr>
              <w:t>docs/thesis/evidence/programme_reports/</w:t>
            </w:r>
          </w:p>
        </w:tc>
        <w:tc>
          <w:tcPr>
            <w:tcW w:type="dxa" w:w="1029"/>
          </w:tcPr>
          <w:p>
            <w:r>
              <w:rPr>
                <w:sz w:val="15"/>
              </w:rPr>
              <w:t>28 Apr 2024 (PDF modified 18 Oct 2024); received 3 Oct 2026</w:t>
            </w:r>
          </w:p>
        </w:tc>
        <w:tc>
          <w:tcPr>
            <w:tcW w:type="dxa" w:w="1029"/>
          </w:tcPr>
          <w:p>
            <w:r>
              <w:rPr>
                <w:sz w:val="15"/>
              </w:rPr>
              <w:t>None</w:t>
            </w:r>
          </w:p>
        </w:tc>
        <w:tc>
          <w:tcPr>
            <w:tcW w:type="dxa" w:w="1123"/>
          </w:tcPr>
          <w:p>
            <w:r>
              <w:rPr>
                <w:sz w:val="15"/>
              </w:rPr>
              <w:t>—</w:t>
            </w:r>
          </w:p>
        </w:tc>
        <w:tc>
          <w:tcPr>
            <w:tcW w:type="dxa" w:w="1123"/>
          </w:tcPr>
          <w:p>
            <w:r>
              <w:rPr>
                <w:sz w:val="15"/>
              </w:rPr>
              <w:t>None (dated record of the 2024 design direction)</w:t>
            </w:r>
          </w:p>
        </w:tc>
        <w:tc>
          <w:tcPr>
            <w:tcW w:type="dxa" w:w="1123"/>
          </w:tcPr>
          <w:p>
            <w:r>
              <w:rPr>
                <w:sz w:val="15"/>
              </w:rPr>
              <w:t>Held in repository</w:t>
            </w:r>
          </w:p>
        </w:tc>
      </w:tr>
      <w:tr>
        <w:tc>
          <w:tcPr>
            <w:tcW w:type="dxa" w:w="1591"/>
          </w:tcPr>
          <w:p>
            <w:r>
              <w:rPr>
                <w:sz w:val="15"/>
              </w:rPr>
              <w:t>Stage-3B protocol, builds, device copies, frozen edition, returns, decision notes (G.12)</w:t>
            </w:r>
          </w:p>
        </w:tc>
        <w:tc>
          <w:tcPr>
            <w:tcW w:type="dxa" w:w="2340"/>
          </w:tcPr>
          <w:p>
            <w:r>
              <w:rPr>
                <w:sz w:val="15"/>
              </w:rPr>
              <w:t>docs/thesis/stage3b/ (Mini_Protocol, device_sets, study_build_FROZEN_2026-09-15, DECISION_2026-09-26, DECISION_2026-10-02); data_entry/incoming/stage3b_returns/</w:t>
            </w:r>
          </w:p>
        </w:tc>
        <w:tc>
          <w:tcPr>
            <w:tcW w:type="dxa" w:w="1029"/>
          </w:tcPr>
          <w:p>
            <w:r>
              <w:rPr>
                <w:sz w:val="15"/>
              </w:rPr>
              <w:t>8 Aug–30 Sep 2026</w:t>
            </w:r>
          </w:p>
        </w:tc>
        <w:tc>
          <w:tcPr>
            <w:tcW w:type="dxa" w:w="1029"/>
          </w:tcPr>
          <w:p>
            <w:r>
              <w:rPr>
                <w:sz w:val="15"/>
              </w:rPr>
              <w:t>11 returns on record (codes only)</w:t>
            </w:r>
          </w:p>
        </w:tc>
        <w:tc>
          <w:tcPr>
            <w:tcW w:type="dxa" w:w="1123"/>
          </w:tcPr>
          <w:p>
            <w:r>
              <w:rPr>
                <w:sz w:val="15"/>
              </w:rPr>
              <w:t>Verification checks as recorded</w:t>
            </w:r>
          </w:p>
        </w:tc>
        <w:tc>
          <w:tcPr>
            <w:tcW w:type="dxa" w:w="1123"/>
          </w:tcPr>
          <w:p>
            <w:r>
              <w:rPr>
                <w:sz w:val="15"/>
              </w:rPr>
              <w:t>Appendix I (descriptive only)</w:t>
            </w:r>
          </w:p>
        </w:tc>
        <w:tc>
          <w:tcPr>
            <w:tcW w:type="dxa" w:w="1123"/>
          </w:tcPr>
          <w:p>
            <w:r>
              <w:rPr>
                <w:sz w:val="15"/>
              </w:rPr>
              <w:t>Held in repository with SHA-256</w:t>
            </w:r>
          </w:p>
        </w:tc>
      </w:tr>
      <w:tr>
        <w:tc>
          <w:tcPr>
            <w:tcW w:type="dxa" w:w="1591"/>
          </w:tcPr>
          <w:p>
            <w:r>
              <w:rPr>
                <w:sz w:val="15"/>
              </w:rPr>
              <w:t>Stage-3B Pro v4.1 self-test package, reports and exports (G.13)</w:t>
            </w:r>
          </w:p>
        </w:tc>
        <w:tc>
          <w:tcPr>
            <w:tcW w:type="dxa" w:w="2340"/>
          </w:tcPr>
          <w:p>
            <w:r>
              <w:rPr>
                <w:sz w:val="15"/>
              </w:rPr>
              <w:t>docs/thesis/stage3b/pro_v4_selftest/</w:t>
            </w:r>
          </w:p>
        </w:tc>
        <w:tc>
          <w:tcPr>
            <w:tcW w:type="dxa" w:w="1029"/>
          </w:tcPr>
          <w:p>
            <w:r>
              <w:rPr>
                <w:sz w:val="15"/>
              </w:rPr>
              <w:t>19–30 Sep 2026</w:t>
            </w:r>
          </w:p>
        </w:tc>
        <w:tc>
          <w:tcPr>
            <w:tcW w:type="dxa" w:w="1029"/>
          </w:tcPr>
          <w:p>
            <w:r>
              <w:rPr>
                <w:sz w:val="15"/>
              </w:rPr>
              <w:t>7 codes (identities unverified)</w:t>
            </w:r>
          </w:p>
        </w:tc>
        <w:tc>
          <w:tcPr>
            <w:tcW w:type="dxa" w:w="1123"/>
          </w:tcPr>
          <w:p>
            <w:r>
              <w:rPr>
                <w:sz w:val="15"/>
              </w:rPr>
              <w:t>Reports as received; counts verified from raw exports</w:t>
            </w:r>
          </w:p>
        </w:tc>
        <w:tc>
          <w:tcPr>
            <w:tcW w:type="dxa" w:w="1123"/>
          </w:tcPr>
          <w:p>
            <w:r>
              <w:rPr>
                <w:sz w:val="15"/>
              </w:rPr>
              <w:t>Appendix I.5 (descriptive only)</w:t>
            </w:r>
          </w:p>
        </w:tc>
        <w:tc>
          <w:tcPr>
            <w:tcW w:type="dxa" w:w="1123"/>
          </w:tcPr>
          <w:p>
            <w:r>
              <w:rPr>
                <w:sz w:val="15"/>
              </w:rPr>
              <w:t>Held in repository; derived workbooks and scripts not deposited</w:t>
            </w:r>
          </w:p>
        </w:tc>
      </w:tr>
      <w:tr>
        <w:tc>
          <w:tcPr>
            <w:tcW w:type="dxa" w:w="1591"/>
          </w:tcPr>
          <w:p>
            <w:r>
              <w:rPr>
                <w:sz w:val="15"/>
              </w:rPr>
              <w:t>Paper 1 record</w:t>
            </w:r>
          </w:p>
        </w:tc>
        <w:tc>
          <w:tcPr>
            <w:tcW w:type="dxa" w:w="2340"/>
          </w:tcPr>
          <w:p>
            <w:r>
              <w:rPr>
                <w:sz w:val="15"/>
              </w:rPr>
              <w:t>docs/papers/paper1_icmss/</w:t>
            </w:r>
          </w:p>
        </w:tc>
        <w:tc>
          <w:tcPr>
            <w:tcW w:type="dxa" w:w="1029"/>
          </w:tcPr>
          <w:p>
            <w:r>
              <w:rPr>
                <w:sz w:val="15"/>
              </w:rPr>
              <w:t>March 2026</w:t>
            </w:r>
          </w:p>
        </w:tc>
        <w:tc>
          <w:tcPr>
            <w:tcW w:type="dxa" w:w="1029"/>
          </w:tcPr>
          <w:p>
            <w:r>
              <w:rPr>
                <w:sz w:val="15"/>
              </w:rPr>
              <w:t>—</w:t>
            </w:r>
          </w:p>
        </w:tc>
        <w:tc>
          <w:tcPr>
            <w:tcW w:type="dxa" w:w="1123"/>
          </w:tcPr>
          <w:p>
            <w:r>
              <w:rPr>
                <w:sz w:val="15"/>
              </w:rPr>
              <w:t>—</w:t>
            </w:r>
          </w:p>
        </w:tc>
        <w:tc>
          <w:tcPr>
            <w:tcW w:type="dxa" w:w="1123"/>
          </w:tcPr>
          <w:p>
            <w:r>
              <w:rPr>
                <w:sz w:val="15"/>
              </w:rPr>
              <w:t>Chapter 4</w:t>
            </w:r>
          </w:p>
        </w:tc>
        <w:tc>
          <w:tcPr>
            <w:tcW w:type="dxa" w:w="1123"/>
          </w:tcPr>
          <w:p>
            <w:r>
              <w:rPr>
                <w:sz w:val="15"/>
              </w:rPr>
              <w:t>Held in repository</w:t>
            </w:r>
          </w:p>
        </w:tc>
      </w:tr>
    </w:tbl>
    <w:p>
      <w:pPr>
        <w:jc w:val="both"/>
      </w:pPr>
      <w:r>
        <w:t>G.0A Build-lineage matrix. One row per build generation, compiled on 2 October 2026 from the repository record, the archived build files and the thesis text. Where a cell says 'not on record', the thesis makes no claim for that generation on that point.</w:t>
      </w:r>
    </w:p>
    <w:tbl>
      <w:tblPr>
        <w:tblStyle w:val="TableGrid"/>
        <w:tblLook w:firstColumn="1" w:firstRow="1" w:lastColumn="0" w:lastRow="0" w:noHBand="0" w:noVBand="1" w:val="04A0"/>
        <w:tblW w:w="9360" w:type="dxa"/>
        <w:tblLayout w:type="fixed"/>
      </w:tblPr>
      <w:tblGrid>
        <w:gridCol w:w="1404"/>
        <w:gridCol w:w="1123"/>
        <w:gridCol w:w="1404"/>
        <w:gridCol w:w="1310"/>
        <w:gridCol w:w="1497"/>
        <w:gridCol w:w="1310"/>
        <w:gridCol w:w="1310"/>
      </w:tblGrid>
      <w:tr>
        <w:tc>
          <w:tcPr>
            <w:tcW w:type="dxa" w:w="1404"/>
          </w:tcPr>
          <w:p>
            <w:r>
              <w:rPr>
                <w:sz w:val="15"/>
              </w:rPr>
              <w:t>Generation</w:t>
            </w:r>
          </w:p>
        </w:tc>
        <w:tc>
          <w:tcPr>
            <w:tcW w:type="dxa" w:w="1123"/>
          </w:tcPr>
          <w:p>
            <w:r>
              <w:rPr>
                <w:sz w:val="15"/>
              </w:rPr>
              <w:t>Dates</w:t>
            </w:r>
          </w:p>
        </w:tc>
        <w:tc>
          <w:tcPr>
            <w:tcW w:type="dxa" w:w="1404"/>
          </w:tcPr>
          <w:p>
            <w:r>
              <w:rPr>
                <w:sz w:val="15"/>
              </w:rPr>
              <w:t>Code version / hash</w:t>
            </w:r>
          </w:p>
        </w:tc>
        <w:tc>
          <w:tcPr>
            <w:tcW w:type="dxa" w:w="1310"/>
          </w:tcPr>
          <w:p>
            <w:r>
              <w:rPr>
                <w:sz w:val="15"/>
              </w:rPr>
              <w:t>Hardware and input</w:t>
            </w:r>
          </w:p>
        </w:tc>
        <w:tc>
          <w:tcPr>
            <w:tcW w:type="dxa" w:w="1497"/>
          </w:tcPr>
          <w:p>
            <w:r>
              <w:rPr>
                <w:sz w:val="15"/>
              </w:rPr>
              <w:t>Adaptation mechanism</w:t>
            </w:r>
          </w:p>
        </w:tc>
        <w:tc>
          <w:tcPr>
            <w:tcW w:type="dxa" w:w="1310"/>
          </w:tcPr>
          <w:p>
            <w:r>
              <w:rPr>
                <w:sz w:val="15"/>
              </w:rPr>
              <w:t>Logging capability vs retained logs</w:t>
            </w:r>
          </w:p>
        </w:tc>
        <w:tc>
          <w:tcPr>
            <w:tcW w:type="dxa" w:w="1310"/>
          </w:tcPr>
          <w:p>
            <w:r>
              <w:rPr>
                <w:sz w:val="15"/>
              </w:rPr>
              <w:t>Who used it (as recorded)</w:t>
            </w:r>
          </w:p>
        </w:tc>
      </w:tr>
      <w:tr>
        <w:tc>
          <w:tcPr>
            <w:tcW w:type="dxa" w:w="1404"/>
          </w:tcPr>
          <w:p>
            <w:r>
              <w:rPr>
                <w:sz w:val="15"/>
              </w:rPr>
              <w:t>1. Off-the-shelf scaffold demonstration (Tux Racer coupled to the balance platform)</w:t>
            </w:r>
          </w:p>
        </w:tc>
        <w:tc>
          <w:tcPr>
            <w:tcW w:type="dxa" w:w="1123"/>
          </w:tcPr>
          <w:p>
            <w:r>
              <w:rPr>
                <w:sz w:val="15"/>
              </w:rPr>
              <w:t>27 Aug 2024 (videos, item G.10)</w:t>
            </w:r>
          </w:p>
        </w:tc>
        <w:tc>
          <w:tcPr>
            <w:tcW w:type="dxa" w:w="1404"/>
          </w:tcPr>
          <w:p>
            <w:r>
              <w:rPr>
                <w:sz w:val="15"/>
              </w:rPr>
              <w:t>No code retained; open-source scaffold contributed no code to later builds</w:t>
            </w:r>
          </w:p>
        </w:tc>
        <w:tc>
          <w:tcPr>
            <w:tcW w:type="dxa" w:w="1310"/>
          </w:tcPr>
          <w:p>
            <w:r>
              <w:rPr>
                <w:sz w:val="15"/>
              </w:rPr>
              <w:t>Balance platform, weight-shift steering</w:t>
            </w:r>
          </w:p>
        </w:tc>
        <w:tc>
          <w:tcPr>
            <w:tcW w:type="dxa" w:w="1497"/>
          </w:tcPr>
          <w:p>
            <w:r>
              <w:rPr>
                <w:sz w:val="15"/>
              </w:rPr>
              <w:t>None (static)</w:t>
            </w:r>
          </w:p>
        </w:tc>
        <w:tc>
          <w:tcPr>
            <w:tcW w:type="dxa" w:w="1310"/>
          </w:tcPr>
          <w:p>
            <w:r>
              <w:rPr>
                <w:sz w:val="15"/>
              </w:rPr>
              <w:t>No logs; two videos retained</w:t>
            </w:r>
          </w:p>
        </w:tc>
        <w:tc>
          <w:tcPr>
            <w:tcW w:type="dxa" w:w="1310"/>
          </w:tcPr>
          <w:p>
            <w:r>
              <w:rPr>
                <w:sz w:val="15"/>
              </w:rPr>
              <w:t>Two control persons; no study participant</w:t>
            </w:r>
          </w:p>
        </w:tc>
      </w:tr>
      <w:tr>
        <w:tc>
          <w:tcPr>
            <w:tcW w:type="dxa" w:w="1404"/>
          </w:tcPr>
          <w:p>
            <w:r>
              <w:rPr>
                <w:sz w:val="15"/>
              </w:rPr>
              <w:t>2. Deployed Stage-2 game: Three.js/Cannon.js browser game (Chinese interface) with a nine-item pre-game ability form</w:t>
            </w:r>
          </w:p>
        </w:tc>
        <w:tc>
          <w:tcPr>
            <w:tcW w:type="dxa" w:w="1123"/>
          </w:tcPr>
          <w:p>
            <w:r>
              <w:rPr>
                <w:sz w:val="15"/>
              </w:rPr>
              <w:t>Specification 29 Aug 2024; code print 30 Aug 2024; screen recording 15 Jan 2025 (G.17); deployed June–August 2025</w:t>
            </w:r>
          </w:p>
        </w:tc>
        <w:tc>
          <w:tcPr>
            <w:tcW w:type="dxa" w:w="1404"/>
          </w:tcPr>
          <w:p>
            <w:r>
              <w:rPr>
                <w:sz w:val="15"/>
              </w:rPr>
              <w:t>game.html (v1, SHA-256 2955c9cf…, 73,101 bytes; rule-based analysis in the page) and game_v2.html (v2, SHA-256 ef12145a…, 75,344 bytes; server-side analysis call); v2 deployed (author's account, 7 Oct 2026); created with ChatGPT, then Claude Code, under the author's instruction (approximately fifteen iterations by the author's count)</w:t>
            </w:r>
          </w:p>
        </w:tc>
        <w:tc>
          <w:tcPr>
            <w:tcW w:type="dxa" w:w="1310"/>
          </w:tcPr>
          <w:p>
            <w:r>
              <w:rPr>
                <w:sz w:val="15"/>
              </w:rPr>
              <w:t>FSR plantar-pressure mat (G.15) on the InBody FRA510S footplate, read as left/right arrow keys (keyboard in testing only; no participant played by keyboard); the footplate drove the InBody software in parallel (no API; separate data sets joined by the therapist's hand record); clinician-side InBody terminal</w:t>
            </w:r>
          </w:p>
        </w:tc>
        <w:tc>
          <w:tcPr>
            <w:tcW w:type="dxa" w:w="1497"/>
          </w:tcPr>
          <w:p>
            <w:r>
              <w:rPr>
                <w:sz w:val="15"/>
              </w:rPr>
              <w:t>Difficulty set once before each run from the ability form by three deterministic formulas; no in-run adaptation; a run ends at the first obstacle collision; post-run analysis report (v1 rules in the page; v2 server-side LangChain/OpenAI call, prompt deposited in G.7)</w:t>
            </w:r>
          </w:p>
        </w:tc>
        <w:tc>
          <w:tcPr>
            <w:tcW w:type="dxa" w:w="1310"/>
          </w:tcPr>
          <w:p>
            <w:r>
              <w:rPr>
                <w:sz w:val="15"/>
              </w:rPr>
              <w:t>In-memory run statistics for the report only; nothing written; no logs retained; play recorded by hand at the end of each game</w:t>
            </w:r>
          </w:p>
        </w:tc>
        <w:tc>
          <w:tcPr>
            <w:tcW w:type="dxa" w:w="1310"/>
          </w:tcPr>
          <w:p>
            <w:r>
              <w:rPr>
                <w:sz w:val="15"/>
              </w:rPr>
              <w:t>30 Stage-2 participants and 2 staff test plays, June–August 2025</w:t>
            </w:r>
          </w:p>
        </w:tc>
      </w:tr>
      <w:tr>
        <w:tc>
          <w:tcPr>
            <w:tcW w:type="dxa" w:w="1404"/>
          </w:tcPr>
          <w:p>
            <w:r>
              <w:rPr>
                <w:sz w:val="15"/>
              </w:rPr>
              <w:t>2b. Early Stage-3 build: 'Intelligent Skiing Rehabilitation Training Game' (Three.js r134, English interface)</w:t>
            </w:r>
          </w:p>
        </w:tc>
        <w:tc>
          <w:tcPr>
            <w:tcW w:type="dxa" w:w="1123"/>
          </w:tcPr>
          <w:p>
            <w:r>
              <w:rPr>
                <w:sz w:val="15"/>
              </w:rPr>
              <w:t>2026 (date not stated; title matches the 12 Jul 2026 overview); received 4 Oct 2026</w:t>
            </w:r>
          </w:p>
        </w:tc>
        <w:tc>
          <w:tcPr>
            <w:tcW w:type="dxa" w:w="1404"/>
          </w:tcPr>
          <w:p>
            <w:r>
              <w:rPr>
                <w:sz w:val="15"/>
              </w:rPr>
              <w:t>index.html as received 4 Oct 2026 (SHA-256 175eccf4…, 57,297 bytes); the Table 5.0 parameters and the four-state machine (G.14, G.18)</w:t>
            </w:r>
          </w:p>
        </w:tc>
        <w:tc>
          <w:tcPr>
            <w:tcW w:type="dxa" w:w="1310"/>
          </w:tcPr>
          <w:p>
            <w:r>
              <w:rPr>
                <w:sz w:val="15"/>
              </w:rPr>
              <w:t>Browser on a computer; arrow or A/D keys, mouse position, gamepad stick or D-pad</w:t>
            </w:r>
          </w:p>
        </w:tc>
        <w:tc>
          <w:tcPr>
            <w:tcW w:type="dxa" w:w="1497"/>
          </w:tcPr>
          <w:p>
            <w:r>
              <w:rPr>
                <w:sz w:val="15"/>
              </w:rPr>
              <w:t>Pre-game profile multipliers (age group; balance ability) and +0.15 per 200 m; three lives with speed −30% after the first hit and 60% of obstacles cleared after the second; rule-based post-run advice; five-trial report; no model call</w:t>
            </w:r>
          </w:p>
        </w:tc>
        <w:tc>
          <w:tcPr>
            <w:tcW w:type="dxa" w:w="1310"/>
          </w:tcPr>
          <w:p>
            <w:r>
              <w:rPr>
                <w:sz w:val="15"/>
              </w:rPr>
              <w:t>In-memory trial history for the report; no logs retained</w:t>
            </w:r>
          </w:p>
        </w:tc>
        <w:tc>
          <w:tcPr>
            <w:tcW w:type="dxa" w:w="1310"/>
          </w:tcPr>
          <w:p>
            <w:r>
              <w:rPr>
                <w:sz w:val="15"/>
              </w:rPr>
              <w:t>Not distributed to participants (author's identification, 4 Oct 2026)</w:t>
            </w:r>
          </w:p>
        </w:tc>
      </w:tr>
      <w:tr>
        <w:tc>
          <w:tcPr>
            <w:tcW w:type="dxa" w:w="1404"/>
          </w:tcPr>
          <w:p>
            <w:r>
              <w:rPr>
                <w:sz w:val="15"/>
              </w:rPr>
              <w:t>3. Stage-3A HTML port v1.0 ('STAGE 3 RESEARCH BUILD v1.0')</w:t>
            </w:r>
          </w:p>
        </w:tc>
        <w:tc>
          <w:tcPr>
            <w:tcW w:type="dxa" w:w="1123"/>
          </w:tcPr>
          <w:p>
            <w:r>
              <w:rPr>
                <w:sz w:val="15"/>
              </w:rPr>
              <w:t>Distributed from April 2026; file received 30 Sep 2026</w:t>
            </w:r>
          </w:p>
        </w:tc>
        <w:tc>
          <w:tcPr>
            <w:tcW w:type="dxa" w:w="1404"/>
          </w:tcPr>
          <w:p>
            <w:r>
              <w:rPr>
                <w:sz w:val="15"/>
              </w:rPr>
              <w:t>SHA-256 3200618c…; 21,521 bytes</w:t>
            </w:r>
          </w:p>
        </w:tc>
        <w:tc>
          <w:tcPr>
            <w:tcW w:type="dxa" w:w="1310"/>
          </w:tcPr>
          <w:p>
            <w:r>
              <w:rPr>
                <w:sz w:val="15"/>
              </w:rPr>
              <w:t>Participants' own computers (keyboard arrows or gamepad/foot pad); pre-installed iPad with external keyboard for some older participants</w:t>
            </w:r>
          </w:p>
        </w:tc>
        <w:tc>
          <w:tcPr>
            <w:tcW w:type="dxa" w:w="1497"/>
          </w:tcPr>
          <w:p>
            <w:r>
              <w:rPr>
                <w:sz w:val="15"/>
              </w:rPr>
              <w:t>Built-in rule agent (step up above 80% avoidance, ease off below 40%); optional model call with no embedded credential, falling back to the rule agent</w:t>
            </w:r>
          </w:p>
        </w:tc>
        <w:tc>
          <w:tcPr>
            <w:tcW w:type="dxa" w:w="1310"/>
          </w:tcPr>
          <w:p>
            <w:r>
              <w:rPr>
                <w:sz w:val="15"/>
              </w:rPr>
              <w:t>Per-run CSV export by the player; nothing saved automatically; returns not retained</w:t>
            </w:r>
          </w:p>
        </w:tc>
        <w:tc>
          <w:tcPr>
            <w:tcW w:type="dxa" w:w="1310"/>
          </w:tcPr>
          <w:p>
            <w:r>
              <w:rPr>
                <w:sz w:val="15"/>
              </w:rPr>
              <w:t>Stage-3A participants; build per participant not recorded</w:t>
            </w:r>
          </w:p>
        </w:tc>
      </w:tr>
      <w:tr>
        <w:tc>
          <w:tcPr>
            <w:tcW w:type="dxa" w:w="1404"/>
          </w:tcPr>
          <w:p>
            <w:r>
              <w:rPr>
                <w:sz w:val="15"/>
              </w:rPr>
              <w:t>4. Stage-3A redesign v2/v2.1/v2.2 ('Stage 3 Short-Run Build v2.2')</w:t>
            </w:r>
          </w:p>
        </w:tc>
        <w:tc>
          <w:tcPr>
            <w:tcW w:type="dxa" w:w="1123"/>
          </w:tcPr>
          <w:p>
            <w:r>
              <w:rPr>
                <w:sz w:val="15"/>
              </w:rPr>
              <w:t>Created 13 Jul 2026 (commits ba8f122, 2927329, f09fff9); main play from late July 2026</w:t>
            </w:r>
          </w:p>
        </w:tc>
        <w:tc>
          <w:tcPr>
            <w:tcW w:type="dxa" w:w="1404"/>
          </w:tcPr>
          <w:p>
            <w:r>
              <w:rPr>
                <w:sz w:val="15"/>
              </w:rPr>
              <w:t>SHA-256 42bc3df6…; 37,279 bytes</w:t>
            </w:r>
          </w:p>
        </w:tc>
        <w:tc>
          <w:tcPr>
            <w:tcW w:type="dxa" w:w="1310"/>
          </w:tcPr>
          <w:p>
            <w:r>
              <w:rPr>
                <w:sz w:val="15"/>
              </w:rPr>
              <w:t>As generation 3; 200 m / 30 s and 400 m / 60 s runs</w:t>
            </w:r>
          </w:p>
        </w:tc>
        <w:tc>
          <w:tcPr>
            <w:tcW w:type="dxa" w:w="1497"/>
          </w:tcPr>
          <w:p>
            <w:r>
              <w:rPr>
                <w:sz w:val="15"/>
              </w:rPr>
              <w:t>Built-in rule agent at a 6-s interval; optional model call, no credential</w:t>
            </w:r>
          </w:p>
        </w:tc>
        <w:tc>
          <w:tcPr>
            <w:tcW w:type="dxa" w:w="1310"/>
          </w:tcPr>
          <w:p>
            <w:r>
              <w:rPr>
                <w:sz w:val="15"/>
              </w:rPr>
              <w:t>As generation 3</w:t>
            </w:r>
          </w:p>
        </w:tc>
        <w:tc>
          <w:tcPr>
            <w:tcW w:type="dxa" w:w="1310"/>
          </w:tcPr>
          <w:p>
            <w:r>
              <w:rPr>
                <w:sz w:val="15"/>
              </w:rPr>
              <w:t>Stage-3A participants, including the distributors; build per participant not recorded</w:t>
            </w:r>
          </w:p>
        </w:tc>
      </w:tr>
      <w:tr>
        <w:tc>
          <w:tcPr>
            <w:tcW w:type="dxa" w:w="1404"/>
          </w:tcPr>
          <w:p>
            <w:r>
              <w:rPr>
                <w:sz w:val="15"/>
              </w:rPr>
              <w:t>5. v2.3 iOS touch build</w:t>
            </w:r>
          </w:p>
        </w:tc>
        <w:tc>
          <w:tcPr>
            <w:tcW w:type="dxa" w:w="1123"/>
          </w:tcPr>
          <w:p>
            <w:r>
              <w:rPr>
                <w:sz w:val="15"/>
              </w:rPr>
              <w:t>2 Aug 2026 (commit 5278f1a)</w:t>
            </w:r>
          </w:p>
        </w:tc>
        <w:tc>
          <w:tcPr>
            <w:tcW w:type="dxa" w:w="1404"/>
          </w:tcPr>
          <w:p>
            <w:r>
              <w:rPr>
                <w:sz w:val="15"/>
              </w:rPr>
              <w:t>Repository file</w:t>
            </w:r>
          </w:p>
        </w:tc>
        <w:tc>
          <w:tcPr>
            <w:tcW w:type="dxa" w:w="1310"/>
          </w:tcPr>
          <w:p>
            <w:r>
              <w:rPr>
                <w:sz w:val="15"/>
              </w:rPr>
              <w:t>Touch input</w:t>
            </w:r>
          </w:p>
        </w:tc>
        <w:tc>
          <w:tcPr>
            <w:tcW w:type="dxa" w:w="1497"/>
          </w:tcPr>
          <w:p>
            <w:r>
              <w:rPr>
                <w:sz w:val="15"/>
              </w:rPr>
              <w:t>As generation 4</w:t>
            </w:r>
          </w:p>
        </w:tc>
        <w:tc>
          <w:tcPr>
            <w:tcW w:type="dxa" w:w="1310"/>
          </w:tcPr>
          <w:p>
            <w:r>
              <w:rPr>
                <w:sz w:val="15"/>
              </w:rPr>
              <w:t>As generation 3</w:t>
            </w:r>
          </w:p>
        </w:tc>
        <w:tc>
          <w:tcPr>
            <w:tcW w:type="dxa" w:w="1310"/>
          </w:tcPr>
          <w:p>
            <w:r>
              <w:rPr>
                <w:sz w:val="15"/>
              </w:rPr>
              <w:t>Played by Expert P on 5 Aug 2026; not distributed to any cohort</w:t>
            </w:r>
          </w:p>
        </w:tc>
      </w:tr>
      <w:tr>
        <w:tc>
          <w:tcPr>
            <w:tcW w:type="dxa" w:w="1404"/>
          </w:tcPr>
          <w:p>
            <w:r>
              <w:rPr>
                <w:sz w:val="15"/>
              </w:rPr>
              <w:t>6. Stage-3B v3.0 and device copies DEV1–DEV5</w:t>
            </w:r>
          </w:p>
        </w:tc>
        <w:tc>
          <w:tcPr>
            <w:tcW w:type="dxa" w:w="1123"/>
          </w:tcPr>
          <w:p>
            <w:r>
              <w:rPr>
                <w:sz w:val="15"/>
              </w:rPr>
              <w:t>9 Aug 2026 (commits 6ef4f3f, abf1603, 59b7881); distributed 10–12 Aug</w:t>
            </w:r>
          </w:p>
        </w:tc>
        <w:tc>
          <w:tcPr>
            <w:tcW w:type="dxa" w:w="1404"/>
          </w:tcPr>
          <w:p>
            <w:r>
              <w:rPr>
                <w:sz w:val="15"/>
              </w:rPr>
              <w:t>Build string Alpine_Coordination_Game_v3.0_Stage3B</w:t>
            </w:r>
          </w:p>
        </w:tc>
        <w:tc>
          <w:tcPr>
            <w:tcW w:type="dxa" w:w="1310"/>
          </w:tcPr>
          <w:p>
            <w:r>
              <w:rPr>
                <w:sz w:val="15"/>
              </w:rPr>
              <w:t>Participants' own phones and computers; keyboard and touch; WeChat in-app browser mode</w:t>
            </w:r>
          </w:p>
        </w:tc>
        <w:tc>
          <w:tcPr>
            <w:tcW w:type="dxa" w:w="1497"/>
          </w:tcPr>
          <w:p>
            <w:r>
              <w:rPr>
                <w:sz w:val="15"/>
              </w:rPr>
              <w:t>Adaptive arm: rule agent with coaching; static arm: fixed ×0.85; 2×2 with failure mode; assignment per browser profile</w:t>
            </w:r>
          </w:p>
        </w:tc>
        <w:tc>
          <w:tcPr>
            <w:tcW w:type="dxa" w:w="1310"/>
          </w:tcPr>
          <w:p>
            <w:r>
              <w:rPr>
                <w:sz w:val="15"/>
              </w:rPr>
              <w:t>Enrolment, consent, per-run state and questionnaire written locally; returned only by participant export</w:t>
            </w:r>
          </w:p>
        </w:tc>
        <w:tc>
          <w:tcPr>
            <w:tcW w:type="dxa" w:w="1310"/>
          </w:tcPr>
          <w:p>
            <w:r>
              <w:rPr>
                <w:sz w:val="15"/>
              </w:rPr>
              <w:t>One verified return (B9V8YA); recipient counts author-reported</w:t>
            </w:r>
          </w:p>
        </w:tc>
      </w:tr>
      <w:tr>
        <w:tc>
          <w:tcPr>
            <w:tcW w:type="dxa" w:w="1404"/>
          </w:tcPr>
          <w:p>
            <w:r>
              <w:rPr>
                <w:sz w:val="15"/>
              </w:rPr>
              <w:t>7. v3.1 revisions (CSV export, gains-only scoring, input-mode logging)</w:t>
            </w:r>
          </w:p>
        </w:tc>
        <w:tc>
          <w:tcPr>
            <w:tcW w:type="dxa" w:w="1123"/>
          </w:tcPr>
          <w:p>
            <w:r>
              <w:rPr>
                <w:sz w:val="15"/>
              </w:rPr>
              <w:t>13 Aug 2026 (commits b8028e5, 923a25e, a1afc42)</w:t>
            </w:r>
          </w:p>
        </w:tc>
        <w:tc>
          <w:tcPr>
            <w:tcW w:type="dxa" w:w="1404"/>
          </w:tcPr>
          <w:p>
            <w:r>
              <w:rPr>
                <w:sz w:val="15"/>
              </w:rPr>
              <w:t>As recorded in Table I.3</w:t>
            </w:r>
          </w:p>
        </w:tc>
        <w:tc>
          <w:tcPr>
            <w:tcW w:type="dxa" w:w="1310"/>
          </w:tcPr>
          <w:p>
            <w:r>
              <w:rPr>
                <w:sz w:val="15"/>
              </w:rPr>
              <w:t>As generation 6</w:t>
            </w:r>
          </w:p>
        </w:tc>
        <w:tc>
          <w:tcPr>
            <w:tcW w:type="dxa" w:w="1497"/>
          </w:tcPr>
          <w:p>
            <w:r>
              <w:rPr>
                <w:sz w:val="15"/>
              </w:rPr>
              <w:t>As generation 6</w:t>
            </w:r>
          </w:p>
        </w:tc>
        <w:tc>
          <w:tcPr>
            <w:tcW w:type="dxa" w:w="1310"/>
          </w:tcPr>
          <w:p>
            <w:r>
              <w:rPr>
                <w:sz w:val="15"/>
              </w:rPr>
              <w:t>As generation 6 plus run-end CSV export</w:t>
            </w:r>
          </w:p>
        </w:tc>
        <w:tc>
          <w:tcPr>
            <w:tcW w:type="dxa" w:w="1310"/>
          </w:tcPr>
          <w:p>
            <w:r>
              <w:rPr>
                <w:sz w:val="15"/>
              </w:rPr>
              <w:t>Not distributed to the August cohort; five solicited plays on 15 Sep 2026 (excluded)</w:t>
            </w:r>
          </w:p>
        </w:tc>
      </w:tr>
      <w:tr>
        <w:tc>
          <w:tcPr>
            <w:tcW w:type="dxa" w:w="1404"/>
          </w:tcPr>
          <w:p>
            <w:r>
              <w:rPr>
                <w:sz w:val="15"/>
              </w:rPr>
              <w:t>8. Frozen study edition FROZEN20260915, copies D01–D20 and hosted links</w:t>
            </w:r>
          </w:p>
        </w:tc>
        <w:tc>
          <w:tcPr>
            <w:tcW w:type="dxa" w:w="1123"/>
          </w:tcPr>
          <w:p>
            <w:r>
              <w:rPr>
                <w:sz w:val="15"/>
              </w:rPr>
              <w:t>15–17 Sep 2026 (commit 2f61e62 and following)</w:t>
            </w:r>
          </w:p>
        </w:tc>
        <w:tc>
          <w:tcPr>
            <w:tcW w:type="dxa" w:w="1404"/>
          </w:tcPr>
          <w:p>
            <w:r>
              <w:rPr>
                <w:sz w:val="15"/>
              </w:rPr>
              <w:t>Stamp Alpine_Coordination_Game_v3.1s_Stage3B_FROZEN20260915; SHA-256 in CHECKSUMS</w:t>
            </w:r>
          </w:p>
        </w:tc>
        <w:tc>
          <w:tcPr>
            <w:tcW w:type="dxa" w:w="1310"/>
          </w:tcPr>
          <w:p>
            <w:r>
              <w:rPr>
                <w:sz w:val="15"/>
              </w:rPr>
              <w:t>As generation 6</w:t>
            </w:r>
          </w:p>
        </w:tc>
        <w:tc>
          <w:tcPr>
            <w:tcW w:type="dxa" w:w="1497"/>
          </w:tcPr>
          <w:p>
            <w:r>
              <w:rPr>
                <w:sz w:val="15"/>
              </w:rPr>
              <w:t>As generation 6</w:t>
            </w:r>
          </w:p>
        </w:tc>
        <w:tc>
          <w:tcPr>
            <w:tcW w:type="dxa" w:w="1310"/>
          </w:tcPr>
          <w:p>
            <w:r>
              <w:rPr>
                <w:sz w:val="15"/>
              </w:rPr>
              <w:t>As generation 7</w:t>
            </w:r>
          </w:p>
        </w:tc>
        <w:tc>
          <w:tcPr>
            <w:tcW w:type="dxa" w:w="1310"/>
          </w:tcPr>
          <w:p>
            <w:r>
              <w:rPr>
                <w:sz w:val="15"/>
              </w:rPr>
              <w:t>Five clean-run returns (D13: one; D01: four) to 30 Sep 2026</w:t>
            </w:r>
          </w:p>
        </w:tc>
      </w:tr>
      <w:tr>
        <w:tc>
          <w:tcPr>
            <w:tcW w:type="dxa" w:w="1404"/>
          </w:tcPr>
          <w:p>
            <w:r>
              <w:rPr>
                <w:sz w:val="15"/>
              </w:rPr>
              <w:t>9. Pro v4.1 / 4.1.1 researcher self-test</w:t>
            </w:r>
          </w:p>
        </w:tc>
        <w:tc>
          <w:tcPr>
            <w:tcW w:type="dxa" w:w="1123"/>
          </w:tcPr>
          <w:p>
            <w:r>
              <w:rPr>
                <w:sz w:val="15"/>
              </w:rPr>
              <w:t>19–20 Sep 2026 (received 19 Sep; commits e0961a8, d30d4ac)</w:t>
            </w:r>
          </w:p>
        </w:tc>
        <w:tc>
          <w:tcPr>
            <w:tcW w:type="dxa" w:w="1404"/>
          </w:tcPr>
          <w:p>
            <w:r>
              <w:rPr>
                <w:sz w:val="15"/>
              </w:rPr>
              <w:t>Separate namespace; package and HTML archived as received</w:t>
            </w:r>
          </w:p>
        </w:tc>
        <w:tc>
          <w:tcPr>
            <w:tcW w:type="dxa" w:w="1310"/>
          </w:tcPr>
          <w:p>
            <w:r>
              <w:rPr>
                <w:sz w:val="15"/>
              </w:rPr>
              <w:t>Touch and keyboard; participant release disabled</w:t>
            </w:r>
          </w:p>
        </w:tc>
        <w:tc>
          <w:tcPr>
            <w:tcW w:type="dxa" w:w="1497"/>
          </w:tcPr>
          <w:p>
            <w:r>
              <w:rPr>
                <w:sz w:val="15"/>
              </w:rPr>
              <w:t>Feedback-conditioned practice-proposal policy (local rules); optional external-judgement step not configured</w:t>
            </w:r>
          </w:p>
        </w:tc>
        <w:tc>
          <w:tcPr>
            <w:tcW w:type="dxa" w:w="1310"/>
          </w:tcPr>
          <w:p>
            <w:r>
              <w:rPr>
                <w:sz w:val="15"/>
              </w:rPr>
              <w:t>Per-code exports retained as received (seven codes)</w:t>
            </w:r>
          </w:p>
        </w:tc>
        <w:tc>
          <w:tcPr>
            <w:tcW w:type="dxa" w:w="1310"/>
          </w:tcPr>
          <w:p>
            <w:r>
              <w:rPr>
                <w:sz w:val="15"/>
              </w:rPr>
              <w:t>Volunteers and their families or friends, by the author's account; identities unverified</w:t>
            </w:r>
          </w:p>
        </w:tc>
      </w:tr>
    </w:tbl>
    <w:p>
      <w:pPr>
        <w:pStyle w:val="Normal"/>
        <w:jc w:val="both"/>
      </w:pPr>
      <w:r>
        <w:rPr>
          <w:szCs w:val="22"/>
          <w:lang w:val="en-US" w:eastAsia="en-US" w:bidi="ar-SA"/>
          <w:rFonts w:ascii="Times New Roman" w:hAnsi="Times New Roman" w:eastAsia="Times New Roman" w:cs="Times New Roman"/>
          <w:sz w:val="24"/>
        </w:rPr>
        <w:t>Appendix G lists the raw data, photographs and supplementary materials below, each with its status at 30 September 2026: bound with the thesis, held in the thesis repository, not deposited, or not retained (§8.9). Where a bound item cannot be shared openly, the access procedure and restrictions are stated in its entry; a file name alone does not constitute deposit.</w:t>
      </w:r>
    </w:p>
    <w:p>
      <w:pPr>
        <w:pStyle w:val="Normal"/>
      </w:pPr>
      <w:r>
        <w:rPr>
          <w:i w:val="0"/>
          <w:szCs w:val="22"/>
          <w:lang w:val="en-US" w:eastAsia="en-US" w:bidi="ar-SA"/>
          <w:rFonts w:ascii="Times New Roman" w:hAnsi="Times New Roman" w:eastAsia="Times New Roman" w:cs="Times New Roman"/>
          <w:sz w:val="24"/>
        </w:rPr>
        <w:t>G.1  Cleaned Stage-1 survey response file (CSV). Status: not archived at 30 September 2026. Table 4.1 reports the aggregate percentages as recorded; the two conditional figures (~74%, ~82%) cannot be reproduced as item-level counts, and no age range is claimed for the interviewed sample (§4.2, §4.8).</w:t>
      </w:r>
    </w:p>
    <w:p>
      <w:pPr>
        <w:pStyle w:val="Normal"/>
        <w:jc w:val="both"/>
      </w:pPr>
      <w:r>
        <w:rPr>
          <w:i w:val="0"/>
          <w:szCs w:val="22"/>
          <w:lang w:val="en-US" w:eastAsia="en-US" w:bidi="ar-SA"/>
          <w:rFonts w:ascii="Times New Roman" w:hAnsi="Times New Roman" w:eastAsia="Times New Roman" w:cs="Times New Roman"/>
          <w:sz w:val="24"/>
        </w:rPr>
        <w:t>G.2  Stage-2 participant dataset (analysis file stage2_clean.csv, archived 12 July 2026; the FRA_32 data set received 5 September 2026 and reconciled on 6 September 2026; the Stage-2 logbook with player IDs received 11 September 2026; 30 older-adult participants plus two younger staff test plays; stable pseudonymous IDs S2-P001–S2-P030 and S2-C001/S2-C002 per the Stage-2 ID register, received 11 September 2026; on the author's account the facility used running numbers 0001–0030 in 2025 and the 'S2' prefix was added in 2026 when the archive was organised; if the running numbers correspond, the facility can re-identify participants from them): gender, age, pre/post recorded FRA index, presenting symptoms, completed game cycles, therapist-reported symptom change, satisfaction and verification flag. The analysis file is the source for every Stage-2 statistic in §5.5 and for Figure 5.4. Play was recorded by hand at the centre by the therapist beside the player: game states at the end of each game, then the FRA indices read from the InBody FRA system, graded and entered in the FRA logbook; the game (driven by a foot pad on the footplate) and the FRA system (measuring from the footplate) kept separate data sets with no application programming interface between them, and the game software's electronic session records were not kept (§5.2A, §8.9).</w:t>
      </w:r>
    </w:p>
    <w:p>
      <w:pPr>
        <w:pStyle w:val="Normal"/>
        <w:jc w:val="both"/>
      </w:pPr>
      <w:r>
        <w:rPr>
          <w:szCs w:val="22"/>
          <w:lang w:val="en-US" w:eastAsia="en-US" w:bidi="ar-SA"/>
          <w:rFonts w:ascii="Times New Roman" w:hAnsi="Times New Roman" w:eastAsia="Times New Roman" w:cs="Times New Roman"/>
          <w:sz w:val="24"/>
        </w:rPr>
        <w:t>G.3  Stage-3 data logbook (Stage3_Data_Logbook_120cases_with_Reconciliation.xlsx): codebook with provenance note; the aggregate results compiled in July 2026 (Preliminary_Summary sheet), which are the source of every Stage-3 figure in Chapter 6; participant, telemetry, questionnaire and outcome sheets for IDs 3001–3120, which are not populated; and a Reconciliation sheet, which therefore cannot yet check the summary against individual entries. A raw import sheet whose figures disagree with the summary is retained but quarantined and is not used. It was imported on 25 July 2026 from a file received that week whose own annotations describe the 120 participants as 'divided into four behavioural groups to correspond to your needs', and a companion file received the same week declares itself a synthetic, constrained simulation built to match the summary targets. The sheet matches the summary's five headline totals but not ten of its per-band values (sex, dropout, non-return and intention by band) because it is a constructed file, not a transcription of the returns; its disagreement therefore says nothing about the summary's accuracy. The summary itself cannot be verified against individual records. It is reported as the author's July 2026 compilation; its only checks are internal arithmetic (band counts sum to the totals, and returns plus non-returns equal initial dropouts in every band) and agreement with the participant register's band sizes (38, 41 and 41). The primary records were the returned materials - hand records made by assistants for the first build, and e-mails carrying the game results in mixed formats (exported CSV files or copied or typed text) together with the questionnaire responses. They were compiled into the summary in July 2026 and were not retained as separate records, so the summary cannot be checked against individual returns. Later attempts to rebuild participant-level records (October 2026) could not be traced to retained records and are not used.</w:t>
      </w:r>
    </w:p>
    <w:p>
      <w:pPr>
        <w:jc w:val="both"/>
      </w:pPr>
      <w:r>
        <w:t>G.4  Photographic record of the Guangzhou Stage-2 deployment. One photograph is archived: the author's photograph of the FRA balance station as installed in the facility's rehabilitation room — the source of Figure 4.1B — showing the equipment and the room only; no person appears (original held in the programme evidence archive; EXIF metadata absent in transit). Photography of study participants was not permitted under the residential facility's privacy rules, so no participant play imagery exists (see the Figure 5.1A caption); the development-office demonstration videos of 27 August 2024 are archived as item G.10 and the game screenshots as item G.6.</w:t>
      </w:r>
    </w:p>
    <w:p>
      <w:pPr>
        <w:jc w:val="both"/>
      </w:pPr>
      <w:r>
        <w:t>G.5  The Stage-3 distribution record: the distributor-tier invitations on file (two screenshots, docs/thesis/evidence/) and the participant invitation on file, a reconstruction received 4 August 2026 and headed 'From March to April 2026' (§3.4, §6.4), which describes the two after-game statements and the arrow-key or touch-screen controls as the recipients were told of them. No return index exists, because the returns were not retained as separate records (item G.3). The Stage-3B distribution and return record is held separately with item G.12: device-copy distributions of 10–12 August 2026, the one verified return of 15 August 2026, the five returns of 15 September 2026 excluded on verification, and the frozen study edition's distributor copies (Appendix I).</w:t>
      </w:r>
    </w:p>
    <w:p>
      <w:pPr>
        <w:jc w:val="both"/>
      </w:pPr>
      <w:r>
        <w:t>G.6  Screenshots of the skiing game at each difficulty level (1–5), captured from the programme's archived successor build in the same design lineage as the Stage-2 deployment (the Figure 5.1B panels; provenance stated in that figure's caption).</w:t>
      </w:r>
    </w:p>
    <w:p>
      <w:pPr>
        <w:jc w:val="both"/>
      </w:pPr>
      <w:r>
        <w:rPr>
          <w:i w:val="0"/>
        </w:rPr>
        <w:t>G.7  The deployed Stage-2 game and its AI prompt template. Held in the thesis repository (docs/thesis/game/2024_threejs_prototype/, with SHA-256): the game's design specification dated 29 August 2024, whose appendix reproduces the large-language-model prompt of the analysis-and-recommendation module and which names the endpoint family (LangChain over the OpenAI API, called server-side); a one-page code print of 30 August 2024; the two runnable versions as received on 3 October 2026 — game.html (v1; local rule-based analysis; 73,101 bytes, SHA-256 2955c9cf…) and game_v2.html (v2; adds the server-side analysis call; 75,344 bytes, SHA-256 ef12145a…; no credential embedded; a project-server address, not reproduced here); and a seven-page overview dated 12 July 2026. Identified by the author on 3–4 October 2026, with the screen recording of item G.17, as the game the Stage-2 participants played. On the author's account of 7 October 2026, v2 was the version deployed. Not on record: whether the server-side call completed in each session, the model version and run-time settings, and any AI-call log (item G.2); no claim in this thesis rests on them (§5.3.5, §8.9).</w:t>
      </w:r>
    </w:p>
    <w:p>
      <w:pPr>
        <w:jc w:val="both"/>
      </w:pPr>
      <w:r>
        <w:t>G.8  Synthetic pipeline-test dataset (Stage3_Data_Entry_DEMO_SYNTHETIC.xlsx, docs/thesis/data_entry/): a simulation-generated workbook of 120 fictitious records (IDs TEST-001 to TEST-120, outside the study ID range) used to verify the Stage-3 logbook structure, formulas and analysis pipeline. Its front sheet is labelled as synthetic test data, the TEST- prefix marks every record, and the workbook deliberately does not match the study aggregates; copies of it, and files derived from it, found in the author's and research assistant's records between 30 September and 2 October 2026 are archived under SYNTHETIC and RECONSTRUCTED labels (docs/thesis/data_entry/SYNTHETIC_copies_received/) and are never evidence. It is archived solely as a pipeline-verification artifact, as a pipeline-verification artifact, and contains no data from any human participant.</w:t>
      </w:r>
    </w:p>
    <w:p>
      <w:pPr/>
      <w:r>
        <w:t>G.9  HUR SmartBalance vendor brochure (the author's industry documentation supporting the §4.1A platform-lineage account; two screenshots). Added 3 October 2026: the author's own showroom photograph of an InBody FRA510S with the vendor's balance-training game menu on screen (taken in an earlier year and kept in his files; the year and location were not recorded; Korean signage; held in docs/thesis/evidence/photos_received_2026-10-03/), supporting the statement that the InBody edition added games to the HUR design.</w:t>
      </w:r>
    </w:p>
    <w:p>
      <w:pPr/>
      <w:r>
        <w:t>G.10  The two development-office demonstration videos of 27 August 2024 (platform-to-game coupling on the off-the-shelf scaffold; source of the Figure 5.1A frame), held in the thesis repository (docs/thesis/evidence/); the written consent of the person shown is not on file at 30 September 2026 (§8.9).</w:t>
      </w:r>
    </w:p>
    <w:p>
      <w:pPr/>
      <w:r>
        <w:t>G.11  Expert interview guide (Expert_Interview_Guide_2026.docx), the semi-structured guide used across the consultation panel; reproduced compactly as Appendix H.5.</w:t>
      </w:r>
    </w:p>
    <w:p>
      <w:pPr/>
      <w:r>
        <w:t>G.12  Stage-3B component-study record, closed at 30 September 2026 (Appendix I): the mini-protocol and pre-specified analysis hierarchy (repository-dated 8–9 August 2026); the deployed device copies (DEV1–DEV5) and the frozen study edition of 15 September 2026 with its freeze record and checksums; the as-received return archive (one verified return, 15 August 2026; the five clean-run returns received 29–30 September 2026, with SHA-256); the verification findings for the five excluded returns of 15 September 2026; and the dated decision record of 26 September 2026 with its amendment of 29 September 2026 (which named the close of the clean-run window, 15 October 2026, as the intended cut-off) and the author's decision of 2 October 2026 closing the record stated in this thesis at 30 September 2026 (DECISION_2026-10-02_record_closed_30_September_2026.md, docs/thesis/stage3b/). No result table outside Appendix I draws on these files; the Appendix I tables reproduce them as descriptive record only.</w:t>
      </w:r>
    </w:p>
    <w:p>
      <w:pPr/>
      <w:r>
        <w:t>G.13  Stage-3B Pro v4.1 self-test, Batch 01 (19–20 September 2026): the as-received package (policy, adapter, server, validation record and self-test HTML, received 19 September 2026) and the two as-received reports of 20 September 2026 with their checksums, all labelled researcher self-test by the software, with players described by the author as volunteers and their families or friends; archived as a Pro development record (Appendix I.5), not as participant data. The derived workbooks and the extraction scripts named in the reports are not deposited (Appendix I.7); the raw exports for P8P2Z9, PT8FJC, PEVNZ8, PZTPCG and PU5K58, and the two later-received exports for PFWU9V and PXG3R9, are archived as received with SHA-256 (29–30 September 2026), and each Batch 01 file matches the reports run for run.</w:t>
      </w:r>
    </w:p>
    <w:p>
      <w:pPr/>
      <w:r>
        <w:t>G.14  Game-state and parameter specification workbook (Game_States_and_Parameters.xlsx): the author's project-internal design-specification record of the early Stage-3 build (item G.18) — the four-state machine and the design parameters from which Table 5.0 is extracted (§5.2A). It does not describe the deployed Stage-2 game. Status: not deposited at 30 September 2026; Table 5.0 is reported as a specification extracted from it by the author.</w:t>
      </w:r>
    </w:p>
    <w:p>
      <w:pPr/>
      <w:r>
        <w:t>G.15  Vendor listing of the Stage-2 game input device: the force-sensing-resistor plantar-pressure mat placed on the FRA510S footplate (specification text and three vendor product images as supplied by the author on 3 October 2026; a generic Guangdong original-equipment product, listed part number FSR-PP1-6464-4096, 64 × 64 points, about 3 mm thick, serial output, stated accuracy ±10%). The images are the vendor's, not photographs of the study set-up; the unit used was not retained and its purchase record is not on file. Held in the thesis repository (docs/thesis/evidence/stage2_input_mat/).</w:t>
      </w:r>
    </w:p>
    <w:p>
      <w:pPr/>
      <w:r>
        <w:t>G.16  Illustrations of the Stage-2 data structure, produced in 2026 — not records. Five images received on 3 October 2026 (a register-style page in a handwriting typeface listing ten participants, and four per-participant 'record form' pages on a printed template for S2-001 in two versions, S2-0022 and S2-0025) are, on the author's definitive statement of 3 October 2026, a template reconstructed in 2026 while organising the archive to illustrate the data structure; no corresponding paper forms exist from the deployment period, the therapists kept no written personal records (§3.4), and the date fields, tick boxes, signatures and notes on the images are template content that represent no actual entries. Their numerical values were copied from the Stage-2 ID register (item G.2). They are held in docs/thesis/data_entry/SYNTHETIC_copies_received/ with checksums so that they are recognised if they resurface; nothing in this thesis rests on them.</w:t>
      </w:r>
    </w:p>
    <w:p>
      <w:pPr/>
      <w:r>
        <w:t>G.17  Screen recordings of the Stage-2 game, 14 and 15 January 2025 (docs/thesis/evidence/stage2_game_screen_recording_2025-01-15/; SHA-256 in the folder). (a) 15 January 2025: three files, the original and two re-exports of 7 September 2025; 1534 × 862, 38 s; supplied by the author on 4 October 2026 as "the Stage 2 game video"; shows the ability-assessment form being completed (a 60-year-old male test profile) and the 3D game running. (b) 14 January 2025, 23:26 by the on-screen clock: 640 × 368, 59 s; supplied on 7 October 2026; captured on the computer of the engineer who integrated the game with the station (initials WY, author's account); the browser address bar shows game_v2.html being run from a WeChat-received folder dated January 2025, and the recording shows the whole v2 flow — form, difficulty page, play, and the post-run analysis report in free prose, i.e. the server-side analysis call returning a report. Neither recording shows a participant, a camera view or the FRA station. Together they establish which game was deployed (item G.7, v2) five months before the June–August 2025 deployment and that the server-side analysis operated in development; they do not establish that the call completed in the deployed sessions.</w:t>
      </w:r>
    </w:p>
    <w:p>
      <w:pPr/>
      <w:r>
        <w:t>G.18  Early Stage-3 build, "Intelligent Skiing Rehabilitation Training Game" (docs/thesis/game/intelligent_skiing_trainer_build_received_2026-10-04/; index.html, 57,297 bytes, SHA-256 175eccf4…; received 4 October 2026 and identified by the author as early Stage 3; creation date not stated, title matching the 12 July 2026 overview of item G.7). A Three.js r134 browser game, English interface: three-option assessment screen (age group, balance ability, rehabilitation goal), three lives with speed −30% after the first hit and 60% of obstacles cleared after the second, a five-trial session with a trial-by-trial report, rule-based advice text, no model call; arrow or A/D keys, mouse and gamepad input. Its parameters are those of Table 5.0 and of Game_States_and_Parameters.xlsx (item G.14). Not distributed to any participant. Archived with it: a Python script that renders a synthetic demonstration animation, and that animation (skiing_game_demo, 1280 × 720, 26.5 s) — a scripted render with planned collisions, not gameplay footage, and never cited as such.</w:t>
      </w:r>
    </w:p>
    <w:p>
      <w:pPr>
        <w:pStyle w:val="Heading2"/>
      </w:pPr>
      <w:r>
        <w:rPr>
          <w:color w:val="000000"/>
        </w:rPr>
        <w:t>Appendix H · Expert Consultation Record</w:t>
      </w:r>
    </w:p>
    <w:p>
      <w:pPr>
        <w:jc w:val="both"/>
      </w:pPr>
      <w:r>
        <w:t>H.1  Expert and scope. Dr Sarah C.W. Yuan, Specialist, Center on the Family, University of Hawai'i at Mānoa; PhD and MA in Sociology (University of Hawai'i at Mānoa), MSc in Applied Social Research (University of Stirling). Research expertise: medical sociology, demography of aging, survey methodology; projects include the Hawai'i Healthy Aging Partnership; recognitions include the Hawai'i Pacific Gerontological Society Research and Teaching Award (2010). Her field of practice relevant to this consultation is community group falls-prevention programming: non-electronic group exercise and physical games whose objective is to improve older adults' balance and reduce fall risk. Credentials verified against her University of Hawai'i faculty profiles at the time of writing.</w:t>
      </w:r>
    </w:p>
    <w:p>
      <w:pPr>
        <w:jc w:val="both"/>
      </w:pPr>
      <w:r>
        <w:t>H.2  Conduct and record. The consultation was a single semi-structured conversation between the author and Dr Yuan, conducted by telephone in English on 25 July 2026 and lasting approximately 35 minutes; her signed consent form is dated 22 July 2026 and its transmittal e-mail is archived with the programme records. The author first presented the three-stage programme, its findings and the null-hypothesis architecture; Dr Yuan then described her own research area and findings, and responded to the programme's constructs. The record is the author's structured notes, summarised at H.3. Dr Yuan is named with her consent; the consultation record and the attribution confirmation are held with the programme records.</w:t>
      </w:r>
    </w:p>
    <w:p>
      <w:pPr>
        <w:jc w:val="both"/>
      </w:pPr>
      <w:r>
        <w:t>H.3  Summary of the consultation (author's notes). (1) The author introduced the research: Stages 1-3, the findings, and the initial design expectation (H0). (2) Dr Yuan's falls-related work concerns non-clinical assessment and group work — exercise and group dynamic physical games, not electronic games — whose objective is to improve balance and avoid fall risk. (3) From her findings, including her publications: when older adults join a social exercise group, they tend to drop out after failure unless a physician or assistant helps them overcome the rejection; they perform better when playing in a group with a coach who leads them to continue, and continuation is difficult otherwise. (4) She agreed that older adults intrinsically reject clinical assessment or diagnosis of their current health status, and psychologically avoid facing the clinical evidence that explains their condition. (5) In her experience, older adults avoid individual assessment when it is straight clinically oriented, for fear of facing negative risk results. (6) She stated that, in her experience, gamification is very effective for promoting health technology, but that older adults reject it hard when the game or exercise is linked to clinical results; on this basis she supported the Stage-3 decoupling approach. (7) Speaking from a sociology perspective rather than an engineering one, she shared the same view of older adults' behaviour, supported the FIDS-to-FIAS construction and the adaptive-learning proposition, and stated that older adults perform better when grouped and building dynamics: partnering and group dynamics reduce initial dropout and, eventually, abandonment of the health technology. She emphasised that the key components extend beyond engineering excellence and design: the environment, the people who are using the same technology, and predictable or expected results are the key components that support older adults in adopting health technologies.</w:t>
      </w:r>
    </w:p>
    <w:p>
      <w:pPr>
        <w:jc w:val="both"/>
      </w:pPr>
      <w:r>
        <w:t>H.4  Use in the thesis. The consultation is cited at §3.2 (method), §6.8A (interpretation of the commitment gap), §7.5.3 (coaching-protocol support) and §8.5 (candidate moderators). It is treated throughout as interpretive evidence from an independent discipline — one consultation, recorded in the author's notes — and not as participant data, validation, or a demonstrated result for electronic games.</w:t>
      </w:r>
    </w:p>
    <w:p>
      <w:pPr>
        <w:jc w:val="both"/>
      </w:pPr>
      <w:r>
        <w:t>H.5  Interview guide (as used). The consultation followed a semi-structured guide (45-60 minutes; archived as Expert_Interview_Guide_2026.docx, Appendix G item G.11), designed to elicit the expert's independent reading before study specifics were revealed. Its sections and questions, in compact form: A. Background — the expert's role and what their discipline sees about falls that other fields miss. B. The engagement problem — after hearing the field observation (adverse first experience, non-return even where measured performance improved): does the pattern match their experience; what is happening inside the non-return; why does the first experience carry so much weight. C. Framing and purpose — after hearing the decoupled-deployment result: why would removing the clinical frame change behaviour; is a "test" socially different from a "game" for this generation. D. The commitment gap — what would explain high session completion with low regular-use intention; what builds the habit rather than the visit. E. The social dimension — asked open-endedly BEFORE revealing that study play was individual: does alone-versus-together change the experience; would group play change engagement and in which direction; when would social play backfire; how does culture shape the answer. F. Adaptive learning and design — reaction to the adaptive-learning proposal; through what channel adaptation would actually operate (private mastery or between people); one measure they would add to a follow-up study. G. Closing — anything not covered; other perspectives to seek; confirmation of attribution preference and quote-approval contact. The guide's post-interview checklist requires the record to be written within 48 hours, the consent filed, and attribution sentences approved before binding.</w:t>
      </w:r>
    </w:p>
    <w:p>
      <w:pPr>
        <w:jc w:val="both"/>
      </w:pPr>
      <w:r>
        <w:t>H.6  Consultation record - Dr Gary Kui-Kai Lau. Standpoint: stroke neurologist; Assistant Dean (Education Innovations) and Clinical Associate Professor, Division of Neurology, LKS Faculty of Medicine, The University of Hong Kong; founder of the HKU STROKE Research Group (2018); developer of AI-enabled mobile applications for stroke recovery. Prior collaboration with the author on stroke-prevention education games is disclosed. Conduct: June 2026, in person, approximately one hour, Cantonese mixed with English; author's notes primary. Consent: obtained after the June consultation, completed 10 August 2026 (nine statements initialled GL; signature image), countersigned 11 August 2026; named attribution elected in writing ('Ok to be identified', WhatsApp, 11 Aug 2026) - the form's tick transcribes that written election, and both artifacts are archived. Substance: patients lack patience with slow-improving health technology; gamification contributes joyful participation; the long recovery journey is difficult, boring and lonely, and current technology shows no progressive positive signs; older patients give up easily and many abandon rehabilitation entirely - not a minority group; coaching is the best and most direct approach but cannot scale (family cost; therapist scarcity); whether games change minds and behaviour he cannot yet be sure - 'a good start to find out'.</w:t>
      </w:r>
    </w:p>
    <w:p>
      <w:pPr>
        <w:jc w:val="both"/>
      </w:pPr>
      <w:r>
        <w:rPr/>
        <w:t>Record status at 30 September 2026: a second consultation took place in September 2026 (in person, approximately thirty minutes, audio-recorded; transcript dated 7 September 2026), joined by Dr Lau's doctoral researcher, and is summarised at §6.12; a member-check form covering both summaries was issued on 7 September 2026 and no response was on file; Dr Lau's named attribution rests on his written election of 11 August 2026; the doctoral researcher is reported pseudonymously, no attribution election having been received; his remarks on a product under development are withheld in the absence of his sensitivity election. If no member-check response is on file at submission, the status stands as stated here.</w:t>
      </w:r>
    </w:p>
    <w:p>
      <w:pPr>
        <w:jc w:val="both"/>
      </w:pPr>
      <w:r>
        <w:t>H.7  Consultation record - Dr Philip Choy. Standpoint: certified naturopathic physician (ANMCB 06394) and Doctor of Natural Medicine; President of the Hong Kong Academy of Naturopath; over twenty-five years of clinical practice in Hong Kong with more than one thousand older patients, concentrated in chronic disease. He practises naturopathic and complementary medicine and is not a registered medical practitioner under the Medical Registration Ordinance; his contribution is practice-based insight into older adults' health behaviour. Conduct: 4 August 2026, telephone, approximately 30 minutes, Cantonese and English; not audio-recorded; author's notes primary. Consent: signed the same day (all nine statements initialled) - the only record in which consent and consultation fall on the same day. The named-attribution box was ticked on-screen by the researcher on Dr Choy's behalf, after Dr Choy had returned the form with neither identification box marked and asked whether he needed to resend a corrected version; the researcher sent him the completed form, and Dr Choy acknowledged it in writing by WhatsApp the same evening (4 August 2026, 7:20 PM) and again on 5 August 2026 (5:21 PM), after asking whether he needed to tick the boxes himself and being told he could change the election at any time. Named attribution therefore rests on his written assent to the completed form, not on a tick in his own hand; the researcher countersigned, and the WhatsApp transmittal and acknowledgement chain is archived. Substance: the adopting demographic is educated, financially independent, 65-70 and upward, engaging on identified benefit; short-term visible benefit is critical; gamified health technology can sustain positive mentality where results are slow, with rewarding as the critical part; the failure-driven abandonment syndrome is very possible in his caseload; and - put the definitional question - the game does not cause it: it arises from concerns about one's own health performance. Token rewards do not motivate this educated segment.</w:t>
      </w:r>
    </w:p>
    <w:p>
      <w:pPr>
        <w:jc w:val="both"/>
      </w:pPr>
      <w:r>
        <w:rPr/>
        <w:t>Member-check: the summary was sent to Dr Choy on 4 August 2026 and a short note of review, with any disagreement, was requested on 5 August; his replies that day concerned the identification boxes and closed with an acknowledgement, and no comment on the summary's content, and no disagreement, was received by 30 September 2026 (WhatsApp chain archived). The record therefore stands as the author's notes, and his named attribution rests on his written assent to the consent form completed on his behalf, given on 4 August and repeated on 5 August 2026 (above).</w:t>
      </w:r>
    </w:p>
    <w:p>
      <w:pPr>
        <w:jc w:val="both"/>
      </w:pPr>
      <w:r>
        <w:t>H.8  Consultation record - Expert P (pseudonymised at his election). Standpoint: senior physiotherapist, over twenty-five years of practice, trained locally; former chair of a Hong Kong professional physiotherapy body; operates his own practice serving clients from professional trainers to stroke-rehabilitation patients. Identity is held in the confidential consent record only. Conduct: March 2026 (the first consultation), telephone, approximately 25 minutes, Cantonese mixed with English; author's notes primary; consent signed and countersigned 4 August 2026 with anonymity elected (dual-dated); a dated follow-up on 5 August 2026 closed identified gaps. Substance: a two-week-to-two-month abandonment window in post-surgical rehabilitation; abandonment driven by reward scarcity, slow visible progress and loss of faith rather than technology difficulty as such, with difficulty acting at entry; necessary complexity of balance, fall-risk and cognitive assessment; an infantilisation warning; the observed-failure effect (higher-educated patients observed failing stop immediately); and the reward contradiction across educated and working-class older adults. In the follow-up he played the decoupled build and judged it suitable for FRA, with a stated regular-return intention; his summary was reviewed and endorsed by him in writing ('Perfect', 5 Aug 2026) - the panel's first member-checked record.</w:t>
      </w:r>
    </w:p>
    <w:p>
      <w:pPr>
        <w:pStyle w:val="Heading2"/>
      </w:pPr>
      <w:r>
        <w:t>Appendix I · Stage-3B Component Study: Record to the 30 September 2026 Cut-off</w:t>
      </w:r>
    </w:p>
    <w:p>
      <w:pPr>
        <w:pStyle w:val="Heading3"/>
      </w:pPr>
      <w:r>
        <w:t>I.1 · Status and Scope</w:t>
      </w:r>
    </w:p>
    <w:p>
      <w:pPr/>
      <w:r>
        <w:t>This appendix records the Stage-3B component study as it stands at a stated cut-off, 30 September 2026; the frozen edition's clean-run window (15 September – 15 October 2026) was still open at that date, and returns received after it are archived as received and form no part of this record. It is a descriptive record, not a results chapter. Because the study remains outside the evidence base, it is presented as a settled account at a stated cut-off, without open results cells; the author's decision of 26 September 2026 (recorded in the thesis repository as a dated decision note, Appendix G item G.12) set that course, the author's amendment of 29 September 2026 named the close of the clean-run window as the intended cut-off, and the author's decision of 2 October 2026 closed the record stated in this thesis at 30 September 2026 (item G.12). After the initial round of Stage 3B, the learning measurement available in the records was not articulated to the adaptive-learning construct set out in Chapter 7 (I.6), and Stage 3B is no longer used to determine whether an adaptive-learning process occurs in the AI-enabled zero-failure game mechanism. The thesis concludes on the Stage 1–3A record; adaptive learning is carried as a design direction for discussion and future study (Chapter 7; §8.8; §9.5).</w:t>
      </w:r>
    </w:p>
    <w:p>
      <w:pPr/>
      <w:r>
        <w:t>Three bodies of record are compiled here (Table I.1): the pre-specified design and its builds (I.2–I.3); the participant returns on record, verified, excluded and clean-run (I.4); and a separate researcher self-test batch on the Pro v4.1 build (I.5). No confirmatory analysis is reported, and no arm contrast is computed. Stage 3B was pre-specified by repository-dated records of 8–9 August 2026; it was not registered in an external registry, and the term "pre-registered" is not used for it. The record is closed at 30 September 2026, inside the frozen edition's clean-run window (15 September – 15 October 2026); any return received after that date is archived as received and forms no part of this record. The returns listed are those received to 30 September 2026, reported on descriptive terms and without any arm comparison. Nothing in this appendix feeds a result table in the main text.</w:t>
      </w:r>
    </w:p>
    <w:p>
      <w:pPr>
        <w:pStyle w:val="FigureCaption"/>
      </w:pPr>
      <w:r>
        <w:t>Table I.1. Status of the Stage-3B record at the 30 September 2026 cut-off (returns received to 30 September 2026).</w:t>
      </w:r>
    </w:p>
    <w:tbl>
      <w:tblPr>
        <w:tblStyle w:val="TableGrid"/>
        <w:tblW w:type="auto" w:w="0"/>
        <w:tblLook w:firstColumn="1" w:firstRow="1" w:lastColumn="0" w:lastRow="0" w:noHBand="0" w:noVBand="1" w:val="04A0"/>
      </w:tblPr>
      <w:tblGrid>
        <w:gridCol w:w="2835"/>
        <w:gridCol w:w="2835"/>
        <w:gridCol w:w="2835"/>
      </w:tblGrid>
      <w:tr>
        <w:tc>
          <w:tcPr>
            <w:tcW w:type="dxa" w:w="2736"/>
          </w:tcPr>
          <w:p>
            <w:r/>
            <w:r>
              <w:rPr>
                <w:b/>
                <w:sz w:val="17"/>
              </w:rPr>
              <w:t>Component</w:t>
            </w:r>
          </w:p>
        </w:tc>
        <w:tc>
          <w:tcPr>
            <w:tcW w:type="dxa" w:w="4320"/>
          </w:tcPr>
          <w:p>
            <w:r/>
            <w:r>
              <w:rPr>
                <w:b/>
                <w:sz w:val="17"/>
              </w:rPr>
              <w:t>Status at cut-off</w:t>
            </w:r>
          </w:p>
        </w:tc>
        <w:tc>
          <w:tcPr>
            <w:tcW w:type="dxa" w:w="2304"/>
          </w:tcPr>
          <w:p>
            <w:r/>
            <w:r>
              <w:rPr>
                <w:b/>
                <w:sz w:val="17"/>
              </w:rPr>
              <w:t>Where recorded</w:t>
            </w:r>
          </w:p>
        </w:tc>
      </w:tr>
      <w:tr>
        <w:tc>
          <w:tcPr>
            <w:tcW w:type="dxa" w:w="2736"/>
          </w:tcPr>
          <w:p>
            <w:r/>
            <w:r>
              <w:rPr>
                <w:sz w:val="17"/>
              </w:rPr>
              <w:t>Design and analysis hierarchy</w:t>
            </w:r>
          </w:p>
        </w:tc>
        <w:tc>
          <w:tcPr>
            <w:tcW w:type="dxa" w:w="4320"/>
          </w:tcPr>
          <w:p>
            <w:r/>
            <w:r>
              <w:rPr>
                <w:sz w:val="17"/>
              </w:rPr>
              <w:t>Pre-specified, repository-dated 8–9 Aug 2026 (473046c, 846a286, 59b7881, 13a6e91); held constant at the 15 Sep freeze</w:t>
            </w:r>
          </w:p>
        </w:tc>
        <w:tc>
          <w:tcPr>
            <w:tcW w:type="dxa" w:w="2304"/>
          </w:tcPr>
          <w:p>
            <w:r/>
            <w:r>
              <w:rPr>
                <w:sz w:val="17"/>
              </w:rPr>
              <w:t>Stage3B_Mini_Protocol_DRAFT.docx; FREEZE_RECORD.md; git log</w:t>
            </w:r>
          </w:p>
        </w:tc>
      </w:tr>
      <w:tr>
        <w:tc>
          <w:tcPr>
            <w:tcW w:type="dxa" w:w="2736"/>
          </w:tcPr>
          <w:p>
            <w:r/>
            <w:r>
              <w:rPr>
                <w:sz w:val="17"/>
              </w:rPr>
              <w:t>August field deployment (9-Aug device set, DEV1–DEV5)</w:t>
            </w:r>
          </w:p>
        </w:tc>
        <w:tc>
          <w:tcPr>
            <w:tcW w:type="dxa" w:w="4320"/>
          </w:tcPr>
          <w:p>
            <w:r/>
            <w:r>
              <w:rPr>
                <w:sz w:val="17"/>
              </w:rPr>
              <w:t>Distributed 10–12 Aug 2026; one verified return (15 Aug); reported as a pilot on an earlier sub-edition</w:t>
            </w:r>
          </w:p>
        </w:tc>
        <w:tc>
          <w:tcPr>
            <w:tcW w:type="dxa" w:w="2304"/>
          </w:tcPr>
          <w:p>
            <w:r/>
            <w:r>
              <w:rPr>
                <w:sz w:val="17"/>
              </w:rPr>
              <w:t>distribution_records/; stage3b_returns/README.md; FREEZE_RECORD.md</w:t>
            </w:r>
          </w:p>
        </w:tc>
      </w:tr>
      <w:tr>
        <w:tc>
          <w:tcPr>
            <w:tcW w:type="dxa" w:w="2736"/>
          </w:tcPr>
          <w:p>
            <w:r/>
            <w:r>
              <w:rPr>
                <w:sz w:val="17"/>
              </w:rPr>
              <w:t>Frozen study edition (FROZEN20260915)</w:t>
            </w:r>
          </w:p>
        </w:tc>
        <w:tc>
          <w:tcPr>
            <w:tcW w:type="dxa" w:w="4320"/>
          </w:tcPr>
          <w:p>
            <w:r/>
            <w:r>
              <w:rPr>
                <w:sz w:val="17"/>
              </w:rPr>
              <w:t>Frozen 15 Sep 2026; 20 tagged copies and hosted links recorded by 17 Sep; clean-run window 15 Sep–15 Oct 2026; record closed 30 Sep 2026</w:t>
            </w:r>
          </w:p>
        </w:tc>
        <w:tc>
          <w:tcPr>
            <w:tcW w:type="dxa" w:w="2304"/>
          </w:tcPr>
          <w:p>
            <w:r/>
            <w:r>
              <w:rPr>
                <w:sz w:val="17"/>
              </w:rPr>
              <w:t>study_build_FROZEN_2026-09-15/</w:t>
            </w:r>
          </w:p>
        </w:tc>
      </w:tr>
      <w:tr>
        <w:tc>
          <w:tcPr>
            <w:tcW w:type="dxa" w:w="2736"/>
          </w:tcPr>
          <w:p>
            <w:r/>
            <w:r>
              <w:rPr>
                <w:sz w:val="17"/>
              </w:rPr>
              <w:t>Clean-run returns</w:t>
            </w:r>
          </w:p>
        </w:tc>
        <w:tc>
          <w:tcPr>
            <w:tcW w:type="dxa" w:w="4320"/>
          </w:tcPr>
          <w:p>
            <w:r/>
            <w:r>
              <w:rPr>
                <w:sz w:val="17"/>
              </w:rPr>
              <w:t>Five on record: B53Y2F (D13; played 16 Sep, received 30 Sep as a converted copy) and BVSU69, B7GRDA, BZ323A, B59AGN (D01; 29 Sep); content checks pass; record closed 30 Sep 2026, inside the window 15 Sep–15 Oct 2026; later returns archived as received, not entered (I.1, I.4)</w:t>
            </w:r>
          </w:p>
        </w:tc>
        <w:tc>
          <w:tcPr>
            <w:tcW w:type="dxa" w:w="2304"/>
          </w:tcPr>
          <w:p>
            <w:r/>
            <w:r>
              <w:rPr>
                <w:sz w:val="17"/>
              </w:rPr>
              <w:t>stage3b_returns/ (B9V8YA; five FROZEN returns with SHA-256); git log</w:t>
            </w:r>
          </w:p>
        </w:tc>
      </w:tr>
      <w:tr>
        <w:tc>
          <w:tcPr>
            <w:tcW w:type="dxa" w:w="2736"/>
          </w:tcPr>
          <w:p>
            <w:r/>
            <w:r>
              <w:rPr>
                <w:sz w:val="17"/>
              </w:rPr>
              <w:t>Excluded returns</w:t>
            </w:r>
          </w:p>
        </w:tc>
        <w:tc>
          <w:tcPr>
            <w:tcW w:type="dxa" w:w="4320"/>
          </w:tcPr>
          <w:p>
            <w:r/>
            <w:r>
              <w:rPr>
                <w:sz w:val="17"/>
              </w:rPr>
              <w:t>Five received 15 Sep 2026; excluded (wrong build, solicited, all arm A)</w:t>
            </w:r>
          </w:p>
        </w:tc>
        <w:tc>
          <w:tcPr>
            <w:tcW w:type="dxa" w:w="2304"/>
          </w:tcPr>
          <w:p>
            <w:r/>
            <w:r>
              <w:rPr>
                <w:sz w:val="17"/>
              </w:rPr>
              <w:t>stage3b_returns_PENDING_VERIFICATION/README_VERIFICATION_FINDINGS.md</w:t>
            </w:r>
          </w:p>
        </w:tc>
      </w:tr>
      <w:tr>
        <w:tc>
          <w:tcPr>
            <w:tcW w:type="dxa" w:w="2736"/>
          </w:tcPr>
          <w:p>
            <w:r/>
            <w:r>
              <w:rPr>
                <w:sz w:val="17"/>
              </w:rPr>
              <w:t>Pro v4.1 researcher self-test (Batch 01 and two later exports)</w:t>
            </w:r>
          </w:p>
        </w:tc>
        <w:tc>
          <w:tcPr>
            <w:tcW w:type="dxa" w:w="4320"/>
          </w:tcPr>
          <w:p>
            <w:r/>
            <w:r>
              <w:rPr>
                <w:sz w:val="17"/>
              </w:rPr>
              <w:t>Batch 01: ten exports, five codes, reports dated 20 Sep (archived 26 Sep); two further exports (PFWU9V, PXG3R9) received 29 Sep; seven codes, 53 runs; raw exports on file for all seven codes, each Batch 01 file matching the reports</w:t>
            </w:r>
          </w:p>
        </w:tc>
        <w:tc>
          <w:tcPr>
            <w:tcW w:type="dxa" w:w="2304"/>
          </w:tcPr>
          <w:p>
            <w:r/>
            <w:r>
              <w:rPr>
                <w:sz w:val="17"/>
              </w:rPr>
              <w:t>pro_v4_selftest/batch01/</w:t>
            </w:r>
          </w:p>
        </w:tc>
      </w:tr>
      <w:tr>
        <w:tc>
          <w:tcPr>
            <w:tcW w:type="dxa" w:w="2736"/>
          </w:tcPr>
          <w:p>
            <w:r/>
            <w:r>
              <w:rPr>
                <w:sz w:val="17"/>
              </w:rPr>
              <w:t>Confirmatory analysis</w:t>
            </w:r>
          </w:p>
        </w:tc>
        <w:tc>
          <w:tcPr>
            <w:tcW w:type="dxa" w:w="4320"/>
          </w:tcPr>
          <w:p>
            <w:r/>
            <w:r>
              <w:rPr>
                <w:sz w:val="17"/>
              </w:rPr>
              <w:t>Not performed; not reported</w:t>
            </w:r>
          </w:p>
        </w:tc>
        <w:tc>
          <w:tcPr>
            <w:tcW w:type="dxa" w:w="2304"/>
          </w:tcPr>
          <w:p>
            <w:r/>
            <w:r>
              <w:rPr>
                <w:sz w:val="17"/>
              </w:rPr>
              <w:t>—</w:t>
            </w:r>
          </w:p>
        </w:tc>
      </w:tr>
      <w:tr>
        <w:tc>
          <w:tcPr>
            <w:tcW w:type="dxa" w:w="2736"/>
          </w:tcPr>
          <w:p>
            <w:r/>
            <w:r>
              <w:rPr>
                <w:sz w:val="17"/>
              </w:rPr>
              <w:t>Use as the adaptive-learning test</w:t>
            </w:r>
          </w:p>
        </w:tc>
        <w:tc>
          <w:tcPr>
            <w:tcW w:type="dxa" w:w="4320"/>
          </w:tcPr>
          <w:p>
            <w:r/>
            <w:r>
              <w:rPr>
                <w:sz w:val="17"/>
              </w:rPr>
              <w:t>Discontinued by the author's decision of 26 September 2026 (I.6; decision note, G.12)</w:t>
            </w:r>
          </w:p>
        </w:tc>
        <w:tc>
          <w:tcPr>
            <w:tcW w:type="dxa" w:w="2304"/>
          </w:tcPr>
          <w:p>
            <w:r/>
            <w:r>
              <w:rPr>
                <w:sz w:val="17"/>
              </w:rPr>
              <w:t>§8.8</w:t>
            </w:r>
          </w:p>
        </w:tc>
      </w:tr>
    </w:tbl>
    <w:p>
      <w:pPr/>
      <w:r/>
    </w:p>
    <w:p>
      <w:pPr>
        <w:pStyle w:val="Heading3"/>
      </w:pPr>
      <w:r>
        <w:t>I.2 · Design as Pre-specified (Repository-dated 8–9 August 2026)</w:t>
      </w:r>
    </w:p>
    <w:p>
      <w:pPr/>
      <w:r>
        <w:t>Stage 3B was specified as a silent 2×2 component experiment in a new, remotely recruited cohort: difficulty presentation (arm A adaptive versus arm B static) crossed with failure mode (ZF zero-failure versus GO game-over). Assignment is made in the build at the consent event by two independent random draws and persisted in the participant's browser storage (effectively per browser profile), so that a participant who returns in the same browser keeps the same cell while a fresh browser context would draw again; the participant is not told which cell applies. One confirmatory contrast was pre-specified: adaptive versus static on questionnaire item D2 ("I would be willing to play this game regularly."), scored top-two-box and pooled across failure modes; the failure-mode factor and the interaction were designated exploratory; sessions played was recorded as a co-primary outcome; the framing rule was to be fixed on the observed N before analysis; all pre-specified outcomes were to be reported regardless of direction. The adaptive arm runs the build's rule agent (Table I.2) together with coaching messages and a trajectory display; the static arm holds a fixed ×0.85 pace with coaching suppressed. The adaptive-versus-static contrast therefore estimates an adaptive-support package (difficulty adjustment plus coaching) rather than difficulty adjustment alone; this is recorded here as a property of the design, not corrected retrospectively. The protocol's Option A recruitment threshold was N ≥ 40, described as powered for large effects (about 25 percentage points) at about 50 per arm; the situation evaluation of 13 September 2026 gave N ≈ 10–25 as a realistic band for friend-of-friend distribution with a manual return step.</w:t>
      </w:r>
    </w:p>
    <w:p>
      <w:pPr>
        <w:pStyle w:val="FigureCaption"/>
      </w:pPr>
      <w:r>
        <w:t>Table I.2. Stage-3B build parameters as coded in the frozen study edition (Alpine3B_STUDY_DEV1_FROZEN_2026-09-15.html; SHA-256 in CHECKSUMS.txt).</w:t>
      </w:r>
    </w:p>
    <w:tbl>
      <w:tblPr>
        <w:tblStyle w:val="TableGrid"/>
        <w:tblW w:type="auto" w:w="0"/>
        <w:tblLook w:firstColumn="1" w:firstRow="1" w:lastColumn="0" w:lastRow="0" w:noHBand="0" w:noVBand="1" w:val="04A0"/>
      </w:tblPr>
      <w:tblGrid>
        <w:gridCol w:w="2835"/>
        <w:gridCol w:w="2835"/>
        <w:gridCol w:w="2835"/>
      </w:tblGrid>
      <w:tr>
        <w:tc>
          <w:tcPr>
            <w:tcW w:type="dxa" w:w="2160"/>
          </w:tcPr>
          <w:p>
            <w:r/>
            <w:r>
              <w:rPr>
                <w:b/>
                <w:sz w:val="16"/>
              </w:rPr>
              <w:t>Parameter</w:t>
            </w:r>
          </w:p>
        </w:tc>
        <w:tc>
          <w:tcPr>
            <w:tcW w:type="dxa" w:w="4896"/>
          </w:tcPr>
          <w:p>
            <w:r/>
            <w:r>
              <w:rPr>
                <w:b/>
                <w:sz w:val="16"/>
              </w:rPr>
              <w:t>Value in the build</w:t>
            </w:r>
          </w:p>
        </w:tc>
        <w:tc>
          <w:tcPr>
            <w:tcW w:type="dxa" w:w="2304"/>
          </w:tcPr>
          <w:p>
            <w:r/>
            <w:r>
              <w:rPr>
                <w:b/>
                <w:sz w:val="16"/>
              </w:rPr>
              <w:t>Source (frozen DEV1 file line / record)</w:t>
            </w:r>
          </w:p>
        </w:tc>
      </w:tr>
      <w:tr>
        <w:tc>
          <w:tcPr>
            <w:tcW w:type="dxa" w:w="2160"/>
          </w:tcPr>
          <w:p>
            <w:r/>
            <w:r>
              <w:rPr>
                <w:sz w:val="16"/>
              </w:rPr>
              <w:t>Factor 1: difficulty presentation</w:t>
            </w:r>
          </w:p>
        </w:tc>
        <w:tc>
          <w:tcPr>
            <w:tcW w:type="dxa" w:w="4896"/>
          </w:tcPr>
          <w:p>
            <w:r/>
            <w:r>
              <w:rPr>
                <w:sz w:val="16"/>
              </w:rPr>
              <w:t>arm A adaptive (rule agent + coaching + trajectory) / arm B static</w:t>
            </w:r>
          </w:p>
        </w:tc>
        <w:tc>
          <w:tcPr>
            <w:tcW w:type="dxa" w:w="2304"/>
          </w:tcPr>
          <w:p>
            <w:r/>
            <w:r>
              <w:rPr>
                <w:sz w:val="16"/>
              </w:rPr>
              <w:t>L509–515, L709, L1038–1040</w:t>
            </w:r>
          </w:p>
        </w:tc>
      </w:tr>
      <w:tr>
        <w:tc>
          <w:tcPr>
            <w:tcW w:type="dxa" w:w="2160"/>
          </w:tcPr>
          <w:p>
            <w:r/>
            <w:r>
              <w:rPr>
                <w:sz w:val="16"/>
              </w:rPr>
              <w:t>Factor 2: failure mode</w:t>
            </w:r>
          </w:p>
        </w:tc>
        <w:tc>
          <w:tcPr>
            <w:tcW w:type="dxa" w:w="4896"/>
          </w:tcPr>
          <w:p>
            <w:r/>
            <w:r>
              <w:rPr>
                <w:sz w:val="16"/>
              </w:rPr>
              <w:t>ZF zero-failure (30-s run completes) / GO game-over (third bump ends the run: livesLost&gt;=3, endReason 'three bumps')</w:t>
            </w:r>
          </w:p>
        </w:tc>
        <w:tc>
          <w:tcPr>
            <w:tcW w:type="dxa" w:w="2304"/>
          </w:tcPr>
          <w:p>
            <w:r/>
            <w:r>
              <w:rPr>
                <w:sz w:val="16"/>
              </w:rPr>
              <w:t>L510, L786, L1069</w:t>
            </w:r>
          </w:p>
        </w:tc>
      </w:tr>
      <w:tr>
        <w:tc>
          <w:tcPr>
            <w:tcW w:type="dxa" w:w="2160"/>
          </w:tcPr>
          <w:p>
            <w:r/>
            <w:r>
              <w:rPr>
                <w:sz w:val="16"/>
              </w:rPr>
              <w:t>Assignment</w:t>
            </w:r>
          </w:p>
        </w:tc>
        <w:tc>
          <w:tcPr>
            <w:tcW w:type="dxa" w:w="4896"/>
          </w:tcPr>
          <w:p>
            <w:r/>
            <w:r>
              <w:rPr>
                <w:sz w:val="16"/>
              </w:rPr>
              <w:t>At consent: arm = Math.random()&lt;0.5 ? 'A' : 'B'; failMode = Math.random()&lt;0.5 ? 'ZF' : 'GO'; stored in the P3B object in localStorage (try/catch-wrapped)</w:t>
            </w:r>
          </w:p>
        </w:tc>
        <w:tc>
          <w:tcPr>
            <w:tcW w:type="dxa" w:w="2304"/>
          </w:tcPr>
          <w:p>
            <w:r/>
            <w:r>
              <w:rPr>
                <w:sz w:val="16"/>
              </w:rPr>
              <w:t>L1281–1285; KNOWN_LIMITATION_in_app_browsers.md</w:t>
            </w:r>
          </w:p>
        </w:tc>
      </w:tr>
      <w:tr>
        <w:tc>
          <w:tcPr>
            <w:tcW w:type="dxa" w:w="2160"/>
          </w:tcPr>
          <w:p>
            <w:r/>
            <w:r>
              <w:rPr>
                <w:sz w:val="16"/>
              </w:rPr>
              <w:t>Participant code</w:t>
            </w:r>
          </w:p>
        </w:tc>
        <w:tc>
          <w:tcPr>
            <w:tcW w:type="dxa" w:w="4896"/>
          </w:tcPr>
          <w:p>
            <w:r/>
            <w:r>
              <w:rPr>
                <w:sz w:val="16"/>
              </w:rPr>
              <w:t>'B' + five random base-36 characters (e.g. B9V8YA)</w:t>
            </w:r>
          </w:p>
        </w:tc>
        <w:tc>
          <w:tcPr>
            <w:tcW w:type="dxa" w:w="2304"/>
          </w:tcPr>
          <w:p>
            <w:r/>
            <w:r>
              <w:rPr>
                <w:sz w:val="16"/>
              </w:rPr>
              <w:t>L476</w:t>
            </w:r>
          </w:p>
        </w:tc>
      </w:tr>
      <w:tr>
        <w:tc>
          <w:tcPr>
            <w:tcW w:type="dxa" w:w="2160"/>
          </w:tcPr>
          <w:p>
            <w:r/>
            <w:r>
              <w:rPr>
                <w:sz w:val="16"/>
              </w:rPr>
              <w:t>Run structure</w:t>
            </w:r>
          </w:p>
        </w:tc>
        <w:tc>
          <w:tcPr>
            <w:tcW w:type="dxa" w:w="4896"/>
          </w:tcPr>
          <w:p>
            <w:r/>
            <w:r>
              <w:rPr>
                <w:sz w:val="16"/>
              </w:rPr>
              <w:t>200 m goal, 30-s time cap (TIME_CAPS {200:30, 400:60}); BASE_SPEED 18 m/s at diff 1.0</w:t>
            </w:r>
          </w:p>
        </w:tc>
        <w:tc>
          <w:tcPr>
            <w:tcW w:type="dxa" w:w="2304"/>
          </w:tcPr>
          <w:p>
            <w:r/>
            <w:r>
              <w:rPr>
                <w:sz w:val="16"/>
              </w:rPr>
              <w:t>L480, L483, L512–513</w:t>
            </w:r>
          </w:p>
        </w:tc>
      </w:tr>
      <w:tr>
        <w:tc>
          <w:tcPr>
            <w:tcW w:type="dxa" w:w="2160"/>
          </w:tcPr>
          <w:p>
            <w:r/>
            <w:r>
              <w:rPr>
                <w:sz w:val="16"/>
              </w:rPr>
              <w:t>Rule agent (arm A)</w:t>
            </w:r>
          </w:p>
        </w:tc>
        <w:tc>
          <w:tcPr>
            <w:tcW w:type="dxa" w:w="4896"/>
          </w:tcPr>
          <w:p>
            <w:r/>
            <w:r>
              <w:rPr>
                <w:sz w:val="16"/>
              </w:rPr>
              <w:t>Evaluates every 6 s (EVAL_INTERVAL_S=6); avoid rate &gt;0.8 with &gt;=2 obstacles faced → diff +0.10; &lt;0.4 → diff −0.15; model-path value clamped to ±0.15 per evaluation (L696); bounds DIFF_MIN 0.30, DIFF_MAX 1.50; initial diff 0.60 ('gentle floor')</w:t>
            </w:r>
          </w:p>
        </w:tc>
        <w:tc>
          <w:tcPr>
            <w:tcW w:type="dxa" w:w="2304"/>
          </w:tcPr>
          <w:p>
            <w:r/>
            <w:r>
              <w:rPr>
                <w:sz w:val="16"/>
              </w:rPr>
              <w:t>L481–482, L515, L671–672, L696</w:t>
            </w:r>
          </w:p>
        </w:tc>
      </w:tr>
      <w:tr>
        <w:tc>
          <w:tcPr>
            <w:tcW w:type="dxa" w:w="2160"/>
          </w:tcPr>
          <w:p>
            <w:r/>
            <w:r>
              <w:rPr>
                <w:sz w:val="16"/>
              </w:rPr>
              <w:t>Static arm (arm B)</w:t>
            </w:r>
          </w:p>
        </w:tc>
        <w:tc>
          <w:tcPr>
            <w:tcW w:type="dxa" w:w="4896"/>
          </w:tcPr>
          <w:p>
            <w:r/>
            <w:r>
              <w:rPr>
                <w:sz w:val="16"/>
              </w:rPr>
              <w:t>diff fixed at 0.85; agent not called; 'static arm: no coaching'; coach panel hidden</w:t>
            </w:r>
          </w:p>
        </w:tc>
        <w:tc>
          <w:tcPr>
            <w:tcW w:type="dxa" w:w="2304"/>
          </w:tcPr>
          <w:p>
            <w:r/>
            <w:r>
              <w:rPr>
                <w:sz w:val="16"/>
              </w:rPr>
              <w:t>L515, L709, L806, L1038</w:t>
            </w:r>
          </w:p>
        </w:tc>
      </w:tr>
      <w:tr>
        <w:tc>
          <w:tcPr>
            <w:tcW w:type="dxa" w:w="2160"/>
          </w:tcPr>
          <w:p>
            <w:r/>
            <w:r>
              <w:rPr>
                <w:sz w:val="16"/>
              </w:rPr>
              <w:t>Optional model-call path</w:t>
            </w:r>
          </w:p>
        </w:tc>
        <w:tc>
          <w:tcPr>
            <w:tcW w:type="dxa" w:w="4896"/>
          </w:tcPr>
          <w:p>
            <w:r/>
            <w:r>
              <w:rPr>
                <w:sz w:val="16"/>
              </w:rPr>
              <w:t>Present but off by default; no credential in the file; falls back to the rule agent; decision source logged (rules / model / fallback)</w:t>
            </w:r>
          </w:p>
        </w:tc>
        <w:tc>
          <w:tcPr>
            <w:tcW w:type="dxa" w:w="2304"/>
          </w:tcPr>
          <w:p>
            <w:r/>
            <w:r>
              <w:rPr>
                <w:sz w:val="16"/>
              </w:rPr>
              <w:t>Appendix G, item G.0A; code inspection of the frozen DEV1 file (L214, L511, L681–L700)</w:t>
            </w:r>
          </w:p>
        </w:tc>
      </w:tr>
      <w:tr>
        <w:tc>
          <w:tcPr>
            <w:tcW w:type="dxa" w:w="2160"/>
          </w:tcPr>
          <w:p>
            <w:r/>
            <w:r>
              <w:rPr>
                <w:sz w:val="16"/>
              </w:rPr>
              <w:t>Consent and enrolment</w:t>
            </w:r>
          </w:p>
        </w:tc>
        <w:tc>
          <w:tcPr>
            <w:tcW w:type="dxa" w:w="4896"/>
          </w:tcPr>
          <w:p>
            <w:r/>
            <w:r>
              <w:rPr>
                <w:sz w:val="16"/>
              </w:rPr>
              <w:t>In-build consent screen citing HSEARS20260805008 with consent_ts written to the export; enrolment: age band, gender, education, prior-play screen</w:t>
            </w:r>
          </w:p>
        </w:tc>
        <w:tc>
          <w:tcPr>
            <w:tcW w:type="dxa" w:w="2304"/>
          </w:tcPr>
          <w:p>
            <w:r/>
            <w:r>
              <w:rPr>
                <w:sz w:val="16"/>
              </w:rPr>
              <w:t>L280, L299, L1160, L1176, L1282; Situation Evaluation (a)</w:t>
            </w:r>
          </w:p>
        </w:tc>
      </w:tr>
      <w:tr>
        <w:tc>
          <w:tcPr>
            <w:tcW w:type="dxa" w:w="2160"/>
          </w:tcPr>
          <w:p>
            <w:r/>
            <w:r>
              <w:rPr>
                <w:sz w:val="16"/>
              </w:rPr>
              <w:t>Questionnaire (four items, 5-point)</w:t>
            </w:r>
          </w:p>
        </w:tc>
        <w:tc>
          <w:tcPr>
            <w:tcW w:type="dxa" w:w="4896"/>
          </w:tcPr>
          <w:p>
            <w:r/>
            <w:r>
              <w:rPr>
                <w:sz w:val="16"/>
              </w:rPr>
              <w:t>D1 'The game was a good coordination challenge.'; D2 'I would be willing to play this game regularly.'; F1 'The game matched my ability.'; F2 'Seeing my progress made me want to continue.'</w:t>
            </w:r>
          </w:p>
        </w:tc>
        <w:tc>
          <w:tcPr>
            <w:tcW w:type="dxa" w:w="2304"/>
          </w:tcPr>
          <w:p>
            <w:r/>
            <w:r>
              <w:rPr>
                <w:sz w:val="16"/>
              </w:rPr>
              <w:t>L308–311, L1345–1346</w:t>
            </w:r>
          </w:p>
        </w:tc>
      </w:tr>
      <w:tr>
        <w:tc>
          <w:tcPr>
            <w:tcW w:type="dxa" w:w="2160"/>
          </w:tcPr>
          <w:p>
            <w:r/>
            <w:r>
              <w:rPr>
                <w:sz w:val="16"/>
              </w:rPr>
              <w:t>Confirmatory contrast</w:t>
            </w:r>
          </w:p>
        </w:tc>
        <w:tc>
          <w:tcPr>
            <w:tcW w:type="dxa" w:w="4896"/>
          </w:tcPr>
          <w:p>
            <w:r/>
            <w:r>
              <w:rPr>
                <w:sz w:val="16"/>
              </w:rPr>
              <w:t>Adaptive vs static on D2 top-two-box, pooled across failure modes; failure-mode factor and interaction exploratory; sessions played co-primary</w:t>
            </w:r>
          </w:p>
        </w:tc>
        <w:tc>
          <w:tcPr>
            <w:tcW w:type="dxa" w:w="2304"/>
          </w:tcPr>
          <w:p>
            <w:r/>
            <w:r>
              <w:rPr>
                <w:sz w:val="16"/>
              </w:rPr>
              <w:t>FREEZE_RECORD.md; stage3b_returns/README.md rule 3; Situation Evaluation (a)</w:t>
            </w:r>
          </w:p>
        </w:tc>
      </w:tr>
      <w:tr>
        <w:tc>
          <w:tcPr>
            <w:tcW w:type="dxa" w:w="2160"/>
          </w:tcPr>
          <w:p>
            <w:r/>
            <w:r>
              <w:rPr>
                <w:sz w:val="16"/>
              </w:rPr>
              <w:t>Export contents</w:t>
            </w:r>
          </w:p>
        </w:tc>
        <w:tc>
          <w:tcPr>
            <w:tcW w:type="dxa" w:w="4896"/>
          </w:tcPr>
          <w:p>
            <w:r/>
            <w:r>
              <w:rPr>
                <w:sz w:val="16"/>
              </w:rPr>
              <w:t>build stamp; device_id; participant_code; arm; failure_mode; language; consent_agreed/consent_ts; per-run state log; questionnaire</w:t>
            </w:r>
          </w:p>
        </w:tc>
        <w:tc>
          <w:tcPr>
            <w:tcW w:type="dxa" w:w="2304"/>
          </w:tcPr>
          <w:p>
            <w:r/>
            <w:r>
              <w:rPr>
                <w:sz w:val="16"/>
              </w:rPr>
              <w:t>L1157–1160, L1174–1176</w:t>
            </w:r>
          </w:p>
        </w:tc>
      </w:tr>
      <w:tr>
        <w:tc>
          <w:tcPr>
            <w:tcW w:type="dxa" w:w="2160"/>
          </w:tcPr>
          <w:p>
            <w:r/>
            <w:r>
              <w:rPr>
                <w:sz w:val="16"/>
              </w:rPr>
              <w:t>Return route</w:t>
            </w:r>
          </w:p>
        </w:tc>
        <w:tc>
          <w:tcPr>
            <w:tcW w:type="dxa" w:w="4896"/>
          </w:tcPr>
          <w:p>
            <w:r/>
            <w:r>
              <w:rPr>
                <w:sz w:val="16"/>
              </w:rPr>
              <w:t>Participant or distributor sends the export (WeChat share, copy, save, or e-mail to the researcher); nothing is transmitted automatically</w:t>
            </w:r>
          </w:p>
        </w:tc>
        <w:tc>
          <w:tcPr>
            <w:tcW w:type="dxa" w:w="2304"/>
          </w:tcPr>
          <w:p>
            <w:r/>
            <w:r>
              <w:rPr>
                <w:sz w:val="16"/>
              </w:rPr>
              <w:t>PLAYER_INSTRUCTIONS_ZH.md; DISTRIBUTOR_INSTRUCTIONS_EN_ZH.md; G.0A</w:t>
            </w:r>
          </w:p>
        </w:tc>
      </w:tr>
      <w:tr>
        <w:tc>
          <w:tcPr>
            <w:tcW w:type="dxa" w:w="2160"/>
          </w:tcPr>
          <w:p>
            <w:r/>
            <w:r>
              <w:rPr>
                <w:sz w:val="16"/>
              </w:rPr>
              <w:t>Build stamp (frozen edition)</w:t>
            </w:r>
          </w:p>
        </w:tc>
        <w:tc>
          <w:tcPr>
            <w:tcW w:type="dxa" w:w="4896"/>
          </w:tcPr>
          <w:p>
            <w:r/>
            <w:r>
              <w:rPr>
                <w:sz w:val="16"/>
              </w:rPr>
              <w:t>Alpine_Coordination_Game_v3.1s_Stage3B_FROZEN20260915 (three occurrences)</w:t>
            </w:r>
          </w:p>
        </w:tc>
        <w:tc>
          <w:tcPr>
            <w:tcW w:type="dxa" w:w="2304"/>
          </w:tcPr>
          <w:p>
            <w:r/>
            <w:r>
              <w:rPr>
                <w:sz w:val="16"/>
              </w:rPr>
              <w:t>L1157, L1174, L1391; FREEZE_RECORD.md</w:t>
            </w:r>
          </w:p>
        </w:tc>
      </w:tr>
      <w:tr>
        <w:tc>
          <w:tcPr>
            <w:tcW w:type="dxa" w:w="2160"/>
          </w:tcPr>
          <w:p>
            <w:r/>
            <w:r>
              <w:rPr>
                <w:sz w:val="16"/>
              </w:rPr>
              <w:t>Sample target</w:t>
            </w:r>
          </w:p>
        </w:tc>
        <w:tc>
          <w:tcPr>
            <w:tcW w:type="dxa" w:w="4896"/>
          </w:tcPr>
          <w:p>
            <w:r/>
            <w:r>
              <w:rPr>
                <w:sz w:val="16"/>
              </w:rPr>
              <w:t>Option A: N &gt;= 40 ('powered for large effects (~25pp) at ~50/arm')</w:t>
            </w:r>
          </w:p>
        </w:tc>
        <w:tc>
          <w:tcPr>
            <w:tcW w:type="dxa" w:w="2304"/>
          </w:tcPr>
          <w:p>
            <w:r/>
            <w:r>
              <w:rPr>
                <w:sz w:val="16"/>
              </w:rPr>
              <w:t>Stage3B_Situation_Evaluation_2026-09-13.md (c)</w:t>
            </w:r>
          </w:p>
        </w:tc>
      </w:tr>
      <w:tr>
        <w:tc>
          <w:tcPr>
            <w:tcW w:type="dxa" w:w="2160"/>
          </w:tcPr>
          <w:p>
            <w:r/>
            <w:r>
              <w:rPr>
                <w:sz w:val="16"/>
              </w:rPr>
              <w:t>Ethics reference</w:t>
            </w:r>
          </w:p>
        </w:tc>
        <w:tc>
          <w:tcPr>
            <w:tcW w:type="dxa" w:w="4896"/>
          </w:tcPr>
          <w:p>
            <w:r/>
            <w:r>
              <w:rPr>
                <w:sz w:val="16"/>
              </w:rPr>
              <w:t>HSEARS20260805008, approved 6 Aug 2026, period to 30 Oct 2026</w:t>
            </w:r>
          </w:p>
        </w:tc>
        <w:tc>
          <w:tcPr>
            <w:tcW w:type="dxa" w:w="2304"/>
          </w:tcPr>
          <w:p>
            <w:r/>
            <w:r>
              <w:rPr>
                <w:sz w:val="16"/>
              </w:rPr>
              <w:t>§3.4; approval memo (ethics record)</w:t>
            </w:r>
          </w:p>
        </w:tc>
      </w:tr>
    </w:tbl>
    <w:p>
      <w:pPr/>
      <w:r/>
    </w:p>
    <w:p>
      <w:pPr>
        <w:pStyle w:val="Heading3"/>
      </w:pPr>
      <w:r>
        <w:t>I.3 · Build and Distribution Lineage</w:t>
      </w:r>
    </w:p>
    <w:p>
      <w:pPr/>
      <w:r>
        <w:t>Three software editions bear on the record (Table I.3; Figure I.1). The 9 August 2026 device set (commit 59b7881, adding the 2×2 factor to the v3.0 single-file build) was the edition distributed to distributors on 10–12 August; the one verified return of 15 August carries the failure_mode field that exists only from that commit. The 13 August revisions (b8028e5 run-end CSV export; 923a25e gains-only scoring with combo, dodges and XP; a1afc42 input-mode logging) produced the September working edition, which still carried the internal label v3.0; it was not distributed to the August cohort, but a copy of it was re-sent on 15 September and produced the five excluded returns. On 15 September the September edition was frozen as the study build with the identifier FROZEN20260915 as the only change (verified by diff), issued as five channel-tagged copies (DEV1–DEV5, SHA-256 in CHECKSUMS.txt) and then as twenty distributor-tagged copies (D01–D20, device_id baked in) with hosted links recorded on 17 September. Scores are not comparable across editions (the 13 August scoring change alters coin values); the pre-specified outcomes (D2 top-two-box; sessions played) do not involve the score. The record also holds the situation evaluation of 13 September, which identified an author-uploaded file as the pre-2×2 commit abf1603; that identification was superseded the same day when the verified return's fields established the 59b7881 generation, and the later records (FREEZE_RECORD.md; the v3.x row of the build-lineage matrix, Appendix G, item G.0A) follow the corrected finding. Exposure figures for the August deployment are author-reported (about 20 distributors, about 100 recipients) and are not verified by any repository artifact; the screenshots on record show two distributors receiving DEV1 and DEV2. For the frozen edition, which distributors received which tag, and how many people played, is not on record (I.7).</w:t>
      </w:r>
    </w:p>
    <w:p>
      <w:pPr>
        <w:pStyle w:val="FigureCaption"/>
      </w:pPr>
      <w:r>
        <w:t>Table I.3. Build and distribution lineage, 8 August – 30 September 2026 (dates UTC from the repository log; exposure only as recorded).</w:t>
      </w:r>
    </w:p>
    <w:tbl>
      <w:tblPr>
        <w:tblStyle w:val="TableGrid"/>
        <w:tblW w:type="auto" w:w="0"/>
        <w:tblLook w:firstColumn="1" w:firstRow="1" w:lastColumn="0" w:lastRow="0" w:noHBand="0" w:noVBand="1" w:val="04A0"/>
      </w:tblPr>
      <w:tblGrid>
        <w:gridCol w:w="1701"/>
        <w:gridCol w:w="1701"/>
        <w:gridCol w:w="1701"/>
        <w:gridCol w:w="1701"/>
        <w:gridCol w:w="1701"/>
      </w:tblGrid>
      <w:tr>
        <w:tc>
          <w:tcPr>
            <w:tcW w:type="dxa" w:w="1296"/>
          </w:tcPr>
          <w:p>
            <w:r/>
            <w:r>
              <w:rPr>
                <w:b/>
                <w:sz w:val="15"/>
              </w:rPr>
              <w:t>Date (UTC)</w:t>
            </w:r>
          </w:p>
        </w:tc>
        <w:tc>
          <w:tcPr>
            <w:tcW w:type="dxa" w:w="1872"/>
          </w:tcPr>
          <w:p>
            <w:r/>
            <w:r>
              <w:rPr>
                <w:b/>
                <w:sz w:val="15"/>
              </w:rPr>
              <w:t>Commit / stamp</w:t>
            </w:r>
          </w:p>
        </w:tc>
        <w:tc>
          <w:tcPr>
            <w:tcW w:type="dxa" w:w="2880"/>
          </w:tcPr>
          <w:p>
            <w:r/>
            <w:r>
              <w:rPr>
                <w:b/>
                <w:sz w:val="15"/>
              </w:rPr>
              <w:t>Change</w:t>
            </w:r>
          </w:p>
        </w:tc>
        <w:tc>
          <w:tcPr>
            <w:tcW w:type="dxa" w:w="1872"/>
          </w:tcPr>
          <w:p>
            <w:r/>
            <w:r>
              <w:rPr>
                <w:b/>
                <w:sz w:val="15"/>
              </w:rPr>
              <w:t>Deployment</w:t>
            </w:r>
          </w:p>
        </w:tc>
        <w:tc>
          <w:tcPr>
            <w:tcW w:type="dxa" w:w="1440"/>
          </w:tcPr>
          <w:p>
            <w:r/>
            <w:r>
              <w:rPr>
                <w:b/>
                <w:sz w:val="15"/>
              </w:rPr>
              <w:t>Exposure on record</w:t>
            </w:r>
          </w:p>
        </w:tc>
      </w:tr>
      <w:tr>
        <w:tc>
          <w:tcPr>
            <w:tcW w:type="dxa" w:w="1296"/>
          </w:tcPr>
          <w:p>
            <w:r/>
            <w:r>
              <w:rPr>
                <w:sz w:val="15"/>
              </w:rPr>
              <w:t>8 Aug 2026</w:t>
            </w:r>
          </w:p>
        </w:tc>
        <w:tc>
          <w:tcPr>
            <w:tcW w:type="dxa" w:w="1872"/>
          </w:tcPr>
          <w:p>
            <w:r/>
            <w:r>
              <w:rPr>
                <w:sz w:val="15"/>
              </w:rPr>
              <w:t>473046c; 846a286</w:t>
            </w:r>
          </w:p>
        </w:tc>
        <w:tc>
          <w:tcPr>
            <w:tcW w:type="dxa" w:w="2880"/>
          </w:tcPr>
          <w:p>
            <w:r/>
            <w:r>
              <w:rPr>
                <w:sz w:val="15"/>
              </w:rPr>
              <w:t>Mini-protocol drafted; amended (new-cohort requirement, prior-play screening)</w:t>
            </w:r>
          </w:p>
        </w:tc>
        <w:tc>
          <w:tcPr>
            <w:tcW w:type="dxa" w:w="1872"/>
          </w:tcPr>
          <w:p>
            <w:r/>
            <w:r>
              <w:rPr>
                <w:sz w:val="15"/>
              </w:rPr>
              <w:t>—</w:t>
            </w:r>
          </w:p>
        </w:tc>
        <w:tc>
          <w:tcPr>
            <w:tcW w:type="dxa" w:w="1440"/>
          </w:tcPr>
          <w:p>
            <w:r/>
            <w:r>
              <w:rPr>
                <w:sz w:val="15"/>
              </w:rPr>
              <w:t>—</w:t>
            </w:r>
          </w:p>
        </w:tc>
      </w:tr>
      <w:tr>
        <w:tc>
          <w:tcPr>
            <w:tcW w:type="dxa" w:w="1296"/>
          </w:tcPr>
          <w:p>
            <w:r/>
            <w:r>
              <w:rPr>
                <w:sz w:val="15"/>
              </w:rPr>
              <w:t>9 Aug 2026 06:09</w:t>
            </w:r>
          </w:p>
        </w:tc>
        <w:tc>
          <w:tcPr>
            <w:tcW w:type="dxa" w:w="1872"/>
          </w:tcPr>
          <w:p>
            <w:r/>
            <w:r>
              <w:rPr>
                <w:sz w:val="15"/>
              </w:rPr>
              <w:t>v3.0 build (commit 6ef4f3f, repository log)</w:t>
            </w:r>
          </w:p>
        </w:tc>
        <w:tc>
          <w:tcPr>
            <w:tcW w:type="dxa" w:w="2880"/>
          </w:tcPr>
          <w:p>
            <w:r/>
            <w:r>
              <w:rPr>
                <w:sz w:val="15"/>
              </w:rPr>
              <w:t>Single-file bilingual build: consent, enrolment, silent two-arm assignment, D1/D2/F1/F2, export</w:t>
            </w:r>
          </w:p>
        </w:tc>
        <w:tc>
          <w:tcPr>
            <w:tcW w:type="dxa" w:w="1872"/>
          </w:tcPr>
          <w:p>
            <w:r/>
            <w:r>
              <w:rPr>
                <w:sz w:val="15"/>
              </w:rPr>
              <w:t>Not distributed</w:t>
            </w:r>
          </w:p>
        </w:tc>
        <w:tc>
          <w:tcPr>
            <w:tcW w:type="dxa" w:w="1440"/>
          </w:tcPr>
          <w:p>
            <w:r/>
            <w:r>
              <w:rPr>
                <w:sz w:val="15"/>
              </w:rPr>
              <w:t>—</w:t>
            </w:r>
          </w:p>
        </w:tc>
      </w:tr>
      <w:tr>
        <w:tc>
          <w:tcPr>
            <w:tcW w:type="dxa" w:w="1296"/>
          </w:tcPr>
          <w:p>
            <w:r/>
            <w:r>
              <w:rPr>
                <w:sz w:val="15"/>
              </w:rPr>
              <w:t>9 Aug 2026 06:58</w:t>
            </w:r>
          </w:p>
        </w:tc>
        <w:tc>
          <w:tcPr>
            <w:tcW w:type="dxa" w:w="1872"/>
          </w:tcPr>
          <w:p>
            <w:r/>
            <w:r>
              <w:rPr>
                <w:sz w:val="15"/>
              </w:rPr>
              <w:t>abf1603</w:t>
            </w:r>
          </w:p>
        </w:tc>
        <w:tc>
          <w:tcPr>
            <w:tcW w:type="dxa" w:w="2880"/>
          </w:tcPr>
          <w:p>
            <w:r/>
            <w:r>
              <w:rPr>
                <w:sz w:val="15"/>
              </w:rPr>
              <w:t>Shared-device support; five device copies DEV1–DEV5</w:t>
            </w:r>
          </w:p>
        </w:tc>
        <w:tc>
          <w:tcPr>
            <w:tcW w:type="dxa" w:w="1872"/>
          </w:tcPr>
          <w:p>
            <w:r/>
            <w:r>
              <w:rPr>
                <w:sz w:val="15"/>
              </w:rPr>
              <w:t>Not distributed (superseded 11 min later)</w:t>
            </w:r>
          </w:p>
        </w:tc>
        <w:tc>
          <w:tcPr>
            <w:tcW w:type="dxa" w:w="1440"/>
          </w:tcPr>
          <w:p>
            <w:r/>
            <w:r>
              <w:rPr>
                <w:sz w:val="15"/>
              </w:rPr>
              <w:t>—</w:t>
            </w:r>
          </w:p>
        </w:tc>
      </w:tr>
      <w:tr>
        <w:tc>
          <w:tcPr>
            <w:tcW w:type="dxa" w:w="1296"/>
          </w:tcPr>
          <w:p>
            <w:r/>
            <w:r>
              <w:rPr>
                <w:sz w:val="15"/>
              </w:rPr>
              <w:t>9 Aug 2026 07:09</w:t>
            </w:r>
          </w:p>
        </w:tc>
        <w:tc>
          <w:tcPr>
            <w:tcW w:type="dxa" w:w="1872"/>
          </w:tcPr>
          <w:p>
            <w:r/>
            <w:r>
              <w:rPr>
                <w:sz w:val="15"/>
              </w:rPr>
              <w:t>59b7881 (build string Alpine_Coordination_Game_v3.0_Stage3B)</w:t>
            </w:r>
          </w:p>
        </w:tc>
        <w:tc>
          <w:tcPr>
            <w:tcW w:type="dxa" w:w="2880"/>
          </w:tcPr>
          <w:p>
            <w:r/>
            <w:r>
              <w:rPr>
                <w:sz w:val="15"/>
              </w:rPr>
              <w:t>Randomised failure-mode factor: 2×2</w:t>
            </w:r>
          </w:p>
        </w:tc>
        <w:tc>
          <w:tcPr>
            <w:tcW w:type="dxa" w:w="1872"/>
          </w:tcPr>
          <w:p>
            <w:r/>
            <w:r>
              <w:rPr>
                <w:sz w:val="15"/>
              </w:rPr>
              <w:t>Device set distributed 10–12 Aug via WeChat (DEV2 sent 10 Aug 23:35; DEV1 by 12 Aug)</w:t>
            </w:r>
          </w:p>
        </w:tc>
        <w:tc>
          <w:tcPr>
            <w:tcW w:type="dxa" w:w="1440"/>
          </w:tcPr>
          <w:p>
            <w:r/>
            <w:r>
              <w:rPr>
                <w:sz w:val="15"/>
              </w:rPr>
              <w:t>One verified return (B9V8YA, 15 Aug); distributor/recipient counts author-reported only</w:t>
            </w:r>
          </w:p>
        </w:tc>
      </w:tr>
      <w:tr>
        <w:tc>
          <w:tcPr>
            <w:tcW w:type="dxa" w:w="1296"/>
          </w:tcPr>
          <w:p>
            <w:r/>
            <w:r>
              <w:rPr>
                <w:sz w:val="15"/>
              </w:rPr>
              <w:t>9 Aug 2026 07:20</w:t>
            </w:r>
          </w:p>
        </w:tc>
        <w:tc>
          <w:tcPr>
            <w:tcW w:type="dxa" w:w="1872"/>
          </w:tcPr>
          <w:p>
            <w:r/>
            <w:r>
              <w:rPr>
                <w:sz w:val="15"/>
              </w:rPr>
              <w:t>13a6e91</w:t>
            </w:r>
          </w:p>
        </w:tc>
        <w:tc>
          <w:tcPr>
            <w:tcW w:type="dxa" w:w="2880"/>
          </w:tcPr>
          <w:p>
            <w:r/>
            <w:r>
              <w:rPr>
                <w:sz w:val="15"/>
              </w:rPr>
              <w:t>Pre-specified inferential hierarchy (single confirmatory contrast)</w:t>
            </w:r>
          </w:p>
        </w:tc>
        <w:tc>
          <w:tcPr>
            <w:tcW w:type="dxa" w:w="1872"/>
          </w:tcPr>
          <w:p>
            <w:r/>
            <w:r>
              <w:rPr>
                <w:sz w:val="15"/>
              </w:rPr>
              <w:t>—</w:t>
            </w:r>
          </w:p>
        </w:tc>
        <w:tc>
          <w:tcPr>
            <w:tcW w:type="dxa" w:w="1440"/>
          </w:tcPr>
          <w:p>
            <w:r/>
            <w:r>
              <w:rPr>
                <w:sz w:val="15"/>
              </w:rPr>
              <w:t>Recruitment pitch 9 Aug 15:42 local post-dates this commit</w:t>
            </w:r>
          </w:p>
        </w:tc>
      </w:tr>
      <w:tr>
        <w:tc>
          <w:tcPr>
            <w:tcW w:type="dxa" w:w="1296"/>
          </w:tcPr>
          <w:p>
            <w:r/>
            <w:r>
              <w:rPr>
                <w:sz w:val="15"/>
              </w:rPr>
              <w:t>13 Aug 2026</w:t>
            </w:r>
          </w:p>
        </w:tc>
        <w:tc>
          <w:tcPr>
            <w:tcW w:type="dxa" w:w="1872"/>
          </w:tcPr>
          <w:p>
            <w:r/>
            <w:r>
              <w:rPr>
                <w:sz w:val="15"/>
              </w:rPr>
              <w:t>b8028e5; 923a25e; a1afc42 (09:08)</w:t>
            </w:r>
          </w:p>
        </w:tc>
        <w:tc>
          <w:tcPr>
            <w:tcW w:type="dxa" w:w="2880"/>
          </w:tcPr>
          <w:p>
            <w:r/>
            <w:r>
              <w:rPr>
                <w:sz w:val="15"/>
              </w:rPr>
              <w:t>CSV export; gains-only scoring (v3.1); Input_Mode logging</w:t>
            </w:r>
          </w:p>
        </w:tc>
        <w:tc>
          <w:tcPr>
            <w:tcW w:type="dxa" w:w="1872"/>
          </w:tcPr>
          <w:p>
            <w:r/>
            <w:r>
              <w:rPr>
                <w:sz w:val="15"/>
              </w:rPr>
              <w:t>Not distributed to the August cohort; one copy re-sent 15 Sep</w:t>
            </w:r>
          </w:p>
        </w:tc>
        <w:tc>
          <w:tcPr>
            <w:tcW w:type="dxa" w:w="1440"/>
          </w:tcPr>
          <w:p>
            <w:r/>
            <w:r>
              <w:rPr>
                <w:sz w:val="15"/>
              </w:rPr>
              <w:t>Five returns 15 Sep (excluded)</w:t>
            </w:r>
          </w:p>
        </w:tc>
      </w:tr>
      <w:tr>
        <w:tc>
          <w:tcPr>
            <w:tcW w:type="dxa" w:w="1296"/>
          </w:tcPr>
          <w:p>
            <w:r/>
            <w:r>
              <w:rPr>
                <w:sz w:val="15"/>
              </w:rPr>
              <w:t>15 Aug 2026</w:t>
            </w:r>
          </w:p>
        </w:tc>
        <w:tc>
          <w:tcPr>
            <w:tcW w:type="dxa" w:w="1872"/>
          </w:tcPr>
          <w:p>
            <w:r/>
            <w:r>
              <w:rPr>
                <w:sz w:val="15"/>
              </w:rPr>
              <w:t>ed7fa45</w:t>
            </w:r>
          </w:p>
        </w:tc>
        <w:tc>
          <w:tcPr>
            <w:tcW w:type="dxa" w:w="2880"/>
          </w:tcPr>
          <w:p>
            <w:r/>
            <w:r>
              <w:rPr>
                <w:sz w:val="15"/>
              </w:rPr>
              <w:t>First return archived as received</w:t>
            </w:r>
          </w:p>
        </w:tc>
        <w:tc>
          <w:tcPr>
            <w:tcW w:type="dxa" w:w="1872"/>
          </w:tcPr>
          <w:p>
            <w:r/>
            <w:r>
              <w:rPr>
                <w:sz w:val="15"/>
              </w:rPr>
              <w:t>—</w:t>
            </w:r>
          </w:p>
        </w:tc>
        <w:tc>
          <w:tcPr>
            <w:tcW w:type="dxa" w:w="1440"/>
          </w:tcPr>
          <w:p>
            <w:r/>
            <w:r>
              <w:rPr>
                <w:sz w:val="15"/>
              </w:rPr>
              <w:t>B9V8YA (arm B, ZF, DEV2)</w:t>
            </w:r>
          </w:p>
        </w:tc>
      </w:tr>
      <w:tr>
        <w:tc>
          <w:tcPr>
            <w:tcW w:type="dxa" w:w="1296"/>
          </w:tcPr>
          <w:p>
            <w:r/>
            <w:r>
              <w:rPr>
                <w:sz w:val="15"/>
              </w:rPr>
              <w:t>12–13 Sep 2026</w:t>
            </w:r>
          </w:p>
        </w:tc>
        <w:tc>
          <w:tcPr>
            <w:tcW w:type="dxa" w:w="1872"/>
          </w:tcPr>
          <w:p>
            <w:r/>
            <w:r>
              <w:rPr>
                <w:sz w:val="15"/>
              </w:rPr>
              <w:t>0cf4b80; 026b2a2; 68f7930; b65cedf; 3690ad3</w:t>
            </w:r>
          </w:p>
        </w:tc>
        <w:tc>
          <w:tcPr>
            <w:tcW w:type="dxa" w:w="2880"/>
          </w:tcPr>
          <w:p>
            <w:r/>
            <w:r>
              <w:rPr>
                <w:sz w:val="15"/>
              </w:rPr>
              <w:t>Evidence verification plan; distribution record (five screenshots); situation evaluation; first return re-archived as received; original return e-mail archived</w:t>
            </w:r>
          </w:p>
        </w:tc>
        <w:tc>
          <w:tcPr>
            <w:tcW w:type="dxa" w:w="1872"/>
          </w:tcPr>
          <w:p>
            <w:r/>
            <w:r>
              <w:rPr>
                <w:sz w:val="15"/>
              </w:rPr>
              <w:t>—</w:t>
            </w:r>
          </w:p>
        </w:tc>
        <w:tc>
          <w:tcPr>
            <w:tcW w:type="dxa" w:w="1440"/>
          </w:tcPr>
          <w:p>
            <w:r/>
            <w:r>
              <w:rPr>
                <w:sz w:val="15"/>
              </w:rPr>
              <w:t>—</w:t>
            </w:r>
          </w:p>
        </w:tc>
      </w:tr>
      <w:tr>
        <w:tc>
          <w:tcPr>
            <w:tcW w:type="dxa" w:w="1296"/>
          </w:tcPr>
          <w:p>
            <w:r/>
            <w:r>
              <w:rPr>
                <w:sz w:val="15"/>
              </w:rPr>
              <w:t>15 Sep 2026 09:46–10:07</w:t>
            </w:r>
          </w:p>
        </w:tc>
        <w:tc>
          <w:tcPr>
            <w:tcW w:type="dxa" w:w="1872"/>
          </w:tcPr>
          <w:p>
            <w:r/>
            <w:r>
              <w:rPr>
                <w:sz w:val="15"/>
              </w:rPr>
              <w:t>(13-Aug edition, label v3.0)</w:t>
            </w:r>
          </w:p>
        </w:tc>
        <w:tc>
          <w:tcPr>
            <w:tcW w:type="dxa" w:w="2880"/>
          </w:tcPr>
          <w:p>
            <w:r/>
            <w:r>
              <w:rPr>
                <w:sz w:val="15"/>
              </w:rPr>
              <w:t>Five solicited plays after a re-send</w:t>
            </w:r>
          </w:p>
        </w:tc>
        <w:tc>
          <w:tcPr>
            <w:tcW w:type="dxa" w:w="1872"/>
          </w:tcPr>
          <w:p>
            <w:r/>
            <w:r>
              <w:rPr>
                <w:sz w:val="15"/>
              </w:rPr>
              <w:t>DEV1 copy re-sent to two sources</w:t>
            </w:r>
          </w:p>
        </w:tc>
        <w:tc>
          <w:tcPr>
            <w:tcW w:type="dxa" w:w="1440"/>
          </w:tcPr>
          <w:p>
            <w:r/>
            <w:r>
              <w:rPr>
                <w:sz w:val="15"/>
              </w:rPr>
              <w:t>Five exports; quarantined 079939d, excluded 5374a64</w:t>
            </w:r>
          </w:p>
        </w:tc>
      </w:tr>
      <w:tr>
        <w:tc>
          <w:tcPr>
            <w:tcW w:type="dxa" w:w="1296"/>
          </w:tcPr>
          <w:p>
            <w:r/>
            <w:r>
              <w:rPr>
                <w:sz w:val="15"/>
              </w:rPr>
              <w:t>15 Sep 2026 11:52</w:t>
            </w:r>
          </w:p>
        </w:tc>
        <w:tc>
          <w:tcPr>
            <w:tcW w:type="dxa" w:w="1872"/>
          </w:tcPr>
          <w:p>
            <w:r/>
            <w:r>
              <w:rPr>
                <w:sz w:val="15"/>
              </w:rPr>
              <w:t>2f61e62; stamp Alpine_Coordination_Game_v3.1s_Stage3B_FROZEN20260915</w:t>
            </w:r>
          </w:p>
        </w:tc>
        <w:tc>
          <w:tcPr>
            <w:tcW w:type="dxa" w:w="2880"/>
          </w:tcPr>
          <w:p>
            <w:r/>
            <w:r>
              <w:rPr>
                <w:sz w:val="15"/>
              </w:rPr>
              <w:t>Freeze: identifier string only; DEV1–DEV5 frozen; SHA-256 recorded</w:t>
            </w:r>
          </w:p>
        </w:tc>
        <w:tc>
          <w:tcPr>
            <w:tcW w:type="dxa" w:w="1872"/>
          </w:tcPr>
          <w:p>
            <w:r/>
            <w:r>
              <w:rPr>
                <w:sz w:val="15"/>
              </w:rPr>
              <w:t>Clean-run window 15 Sep–15 Oct 2026</w:t>
            </w:r>
          </w:p>
        </w:tc>
        <w:tc>
          <w:tcPr>
            <w:tcW w:type="dxa" w:w="1440"/>
          </w:tcPr>
          <w:p>
            <w:r/>
            <w:r>
              <w:rPr>
                <w:sz w:val="15"/>
              </w:rPr>
              <w:t>No return on record</w:t>
            </w:r>
          </w:p>
        </w:tc>
      </w:tr>
      <w:tr>
        <w:tc>
          <w:tcPr>
            <w:tcW w:type="dxa" w:w="1296"/>
          </w:tcPr>
          <w:p>
            <w:r/>
            <w:r>
              <w:rPr>
                <w:sz w:val="15"/>
              </w:rPr>
              <w:t>15 Sep 2026 11:56–14:56</w:t>
            </w:r>
          </w:p>
        </w:tc>
        <w:tc>
          <w:tcPr>
            <w:tcW w:type="dxa" w:w="1872"/>
          </w:tcPr>
          <w:p>
            <w:r/>
            <w:r>
              <w:rPr>
                <w:sz w:val="15"/>
              </w:rPr>
              <w:t>b27968f; a5dac74; 1a8d354; c5f9ec6; 50c3978</w:t>
            </w:r>
          </w:p>
        </w:tc>
        <w:tc>
          <w:tcPr>
            <w:tcW w:type="dxa" w:w="2880"/>
          </w:tcPr>
          <w:p>
            <w:r/>
            <w:r>
              <w:rPr>
                <w:sz w:val="15"/>
              </w:rPr>
              <w:t>Provenance rule; distributor-mediated mode; 20 tagged copies D01–D20; Chinese player instructions; helper-operated protocol</w:t>
            </w:r>
          </w:p>
        </w:tc>
        <w:tc>
          <w:tcPr>
            <w:tcW w:type="dxa" w:w="1872"/>
          </w:tcPr>
          <w:p>
            <w:r/>
            <w:r>
              <w:rPr>
                <w:sz w:val="15"/>
              </w:rPr>
              <w:t>Distributor copies D01–D20</w:t>
            </w:r>
          </w:p>
        </w:tc>
        <w:tc>
          <w:tcPr>
            <w:tcW w:type="dxa" w:w="1440"/>
          </w:tcPr>
          <w:p>
            <w:r/>
            <w:r>
              <w:rPr>
                <w:sz w:val="15"/>
              </w:rPr>
              <w:t>Tag-to-distributor list is an author-held record; not archived</w:t>
            </w:r>
          </w:p>
        </w:tc>
      </w:tr>
      <w:tr>
        <w:tc>
          <w:tcPr>
            <w:tcW w:type="dxa" w:w="1296"/>
          </w:tcPr>
          <w:p>
            <w:r/>
            <w:r>
              <w:rPr>
                <w:sz w:val="15"/>
              </w:rPr>
              <w:t>16 Sep 2026</w:t>
            </w:r>
          </w:p>
        </w:tc>
        <w:tc>
          <w:tcPr>
            <w:tcW w:type="dxa" w:w="1872"/>
          </w:tcPr>
          <w:p>
            <w:r/>
            <w:r>
              <w:rPr>
                <w:sz w:val="15"/>
              </w:rPr>
              <w:t>7e6cb69; f826699</w:t>
            </w:r>
          </w:p>
        </w:tc>
        <w:tc>
          <w:tcPr>
            <w:tcW w:type="dxa" w:w="2880"/>
          </w:tcPr>
          <w:p>
            <w:r/>
            <w:r>
              <w:rPr>
                <w:sz w:val="15"/>
              </w:rPr>
              <w:t>In-app-browser limitation verified as non-defect; helper card</w:t>
            </w:r>
          </w:p>
        </w:tc>
        <w:tc>
          <w:tcPr>
            <w:tcW w:type="dxa" w:w="1872"/>
          </w:tcPr>
          <w:p>
            <w:r/>
            <w:r>
              <w:rPr>
                <w:sz w:val="15"/>
              </w:rPr>
              <w:t>No code change; window not restarted</w:t>
            </w:r>
          </w:p>
        </w:tc>
        <w:tc>
          <w:tcPr>
            <w:tcW w:type="dxa" w:w="1440"/>
          </w:tcPr>
          <w:p>
            <w:r/>
            <w:r>
              <w:rPr>
                <w:sz w:val="15"/>
              </w:rPr>
              <w:t>—</w:t>
            </w:r>
          </w:p>
        </w:tc>
      </w:tr>
      <w:tr>
        <w:tc>
          <w:tcPr>
            <w:tcW w:type="dxa" w:w="1296"/>
          </w:tcPr>
          <w:p>
            <w:r/>
            <w:r>
              <w:rPr>
                <w:sz w:val="15"/>
              </w:rPr>
              <w:t>16 Sep 2026 04:47</w:t>
            </w:r>
          </w:p>
        </w:tc>
        <w:tc>
          <w:tcPr>
            <w:tcW w:type="dxa" w:w="1872"/>
          </w:tcPr>
          <w:p>
            <w:r/>
            <w:r>
              <w:rPr>
                <w:sz w:val="15"/>
              </w:rPr>
              <w:t>FROZEN20260915 (copy D13)</w:t>
            </w:r>
          </w:p>
        </w:tc>
        <w:tc>
          <w:tcPr>
            <w:tcW w:type="dxa" w:w="2880"/>
          </w:tcPr>
          <w:p>
            <w:r/>
            <w:r>
              <w:rPr>
                <w:sz w:val="15"/>
              </w:rPr>
              <w:t>First clean-run play on record: B53Y2F</w:t>
            </w:r>
          </w:p>
        </w:tc>
        <w:tc>
          <w:tcPr>
            <w:tcW w:type="dxa" w:w="1872"/>
          </w:tcPr>
          <w:p>
            <w:r/>
            <w:r>
              <w:rPr>
                <w:sz w:val="15"/>
              </w:rPr>
              <w:t>Clean-run window open</w:t>
            </w:r>
          </w:p>
        </w:tc>
        <w:tc>
          <w:tcPr>
            <w:tcW w:type="dxa" w:w="1440"/>
          </w:tcPr>
          <w:p>
            <w:r/>
            <w:r>
              <w:rPr>
                <w:sz w:val="15"/>
              </w:rPr>
              <w:t>One return (received 30 Sep 2026)</w:t>
            </w:r>
          </w:p>
        </w:tc>
      </w:tr>
      <w:tr>
        <w:tc>
          <w:tcPr>
            <w:tcW w:type="dxa" w:w="1296"/>
          </w:tcPr>
          <w:p>
            <w:r/>
            <w:r>
              <w:rPr>
                <w:sz w:val="15"/>
              </w:rPr>
              <w:t>17 Sep 2026</w:t>
            </w:r>
          </w:p>
        </w:tc>
        <w:tc>
          <w:tcPr>
            <w:tcW w:type="dxa" w:w="1872"/>
          </w:tcPr>
          <w:p>
            <w:r/>
            <w:r>
              <w:rPr>
                <w:sz w:val="15"/>
              </w:rPr>
              <w:t>0bc127f; a380696</w:t>
            </w:r>
          </w:p>
        </w:tc>
        <w:tc>
          <w:tcPr>
            <w:tcW w:type="dxa" w:w="2880"/>
          </w:tcPr>
          <w:p>
            <w:r/>
            <w:r>
              <w:rPr>
                <w:sz w:val="15"/>
              </w:rPr>
              <w:t>Hosted links on GitHub Pages per distributor (D01–D20); helper card hosted route</w:t>
            </w:r>
          </w:p>
        </w:tc>
        <w:tc>
          <w:tcPr>
            <w:tcW w:type="dxa" w:w="1872"/>
          </w:tcPr>
          <w:p>
            <w:r/>
            <w:r>
              <w:rPr>
                <w:sz w:val="15"/>
              </w:rPr>
              <w:t>https://leicatam.github.io/gamification/stage3b/Alpine3B_Dnn_FROZEN_2026-09-15.html</w:t>
            </w:r>
          </w:p>
        </w:tc>
        <w:tc>
          <w:tcPr>
            <w:tcW w:type="dxa" w:w="1440"/>
          </w:tcPr>
          <w:p>
            <w:r/>
            <w:r>
              <w:rPr>
                <w:sz w:val="15"/>
              </w:rPr>
              <w:t>No return on record</w:t>
            </w:r>
          </w:p>
        </w:tc>
      </w:tr>
      <w:tr>
        <w:tc>
          <w:tcPr>
            <w:tcW w:type="dxa" w:w="1296"/>
          </w:tcPr>
          <w:p>
            <w:r/>
            <w:r>
              <w:rPr>
                <w:sz w:val="15"/>
              </w:rPr>
              <w:t>19 Sep 2026</w:t>
            </w:r>
          </w:p>
        </w:tc>
        <w:tc>
          <w:tcPr>
            <w:tcW w:type="dxa" w:w="1872"/>
          </w:tcPr>
          <w:p>
            <w:r/>
            <w:r>
              <w:rPr>
                <w:sz w:val="15"/>
              </w:rPr>
              <w:t>e0961a8; d30d4ac</w:t>
            </w:r>
          </w:p>
        </w:tc>
        <w:tc>
          <w:tcPr>
            <w:tcW w:type="dxa" w:w="2880"/>
          </w:tcPr>
          <w:p>
            <w:r/>
            <w:r>
              <w:rPr>
                <w:sz w:val="15"/>
              </w:rPr>
              <w:t>Pro v4.1 self-test package and HTML recorded as received (separate namespace; GO only; participant release disabled)</w:t>
            </w:r>
          </w:p>
        </w:tc>
        <w:tc>
          <w:tcPr>
            <w:tcW w:type="dxa" w:w="1872"/>
          </w:tcPr>
          <w:p>
            <w:r/>
            <w:r>
              <w:rPr>
                <w:sz w:val="15"/>
              </w:rPr>
              <w:t>Researcher self-test only; offline build hosted at gh-pages /selftest/ per RECORD</w:t>
            </w:r>
          </w:p>
        </w:tc>
        <w:tc>
          <w:tcPr>
            <w:tcW w:type="dxa" w:w="1440"/>
          </w:tcPr>
          <w:p>
            <w:r/>
            <w:r>
              <w:rPr>
                <w:sz w:val="15"/>
              </w:rPr>
              <w:t>Seven stored codes, 16 visits, 19–20 Sep (Batch 01 reports: five codes, 12 visits)</w:t>
            </w:r>
          </w:p>
        </w:tc>
      </w:tr>
      <w:tr>
        <w:tc>
          <w:tcPr>
            <w:tcW w:type="dxa" w:w="1296"/>
          </w:tcPr>
          <w:p>
            <w:r/>
            <w:r>
              <w:rPr>
                <w:sz w:val="15"/>
              </w:rPr>
              <w:t>20 Sep 2026</w:t>
            </w:r>
          </w:p>
        </w:tc>
        <w:tc>
          <w:tcPr>
            <w:tcW w:type="dxa" w:w="1872"/>
          </w:tcPr>
          <w:p>
            <w:r/>
            <w:r>
              <w:rPr>
                <w:sz w:val="15"/>
              </w:rPr>
              <w:t>reports dated 20 Sep 2026; archived as received 26 Sep 2026 (commit 2dec262)</w:t>
            </w:r>
          </w:p>
        </w:tc>
        <w:tc>
          <w:tcPr>
            <w:tcW w:type="dxa" w:w="2880"/>
          </w:tcPr>
          <w:p>
            <w:r/>
            <w:r>
              <w:rPr>
                <w:sz w:val="15"/>
              </w:rPr>
              <w:t>Batch 01 Research Review; Learning Measurement addendum</w:t>
            </w:r>
          </w:p>
        </w:tc>
        <w:tc>
          <w:tcPr>
            <w:tcW w:type="dxa" w:w="1872"/>
          </w:tcPr>
          <w:p>
            <w:r/>
            <w:r>
              <w:rPr>
                <w:sz w:val="15"/>
              </w:rPr>
              <w:t>—</w:t>
            </w:r>
          </w:p>
        </w:tc>
        <w:tc>
          <w:tcPr>
            <w:tcW w:type="dxa" w:w="1440"/>
          </w:tcPr>
          <w:p>
            <w:r/>
            <w:r>
              <w:rPr>
                <w:sz w:val="15"/>
              </w:rPr>
              <w:t>—</w:t>
            </w:r>
          </w:p>
        </w:tc>
      </w:tr>
      <w:tr>
        <w:tc>
          <w:tcPr>
            <w:tcW w:type="dxa" w:w="1296"/>
          </w:tcPr>
          <w:p>
            <w:r/>
            <w:r>
              <w:rPr>
                <w:sz w:val="15"/>
              </w:rPr>
              <w:t>26 Sep 2026</w:t>
            </w:r>
          </w:p>
        </w:tc>
        <w:tc>
          <w:tcPr>
            <w:tcW w:type="dxa" w:w="1872"/>
          </w:tcPr>
          <w:p>
            <w:r/>
            <w:r>
              <w:rPr>
                <w:sz w:val="15"/>
              </w:rPr>
              <w:t>decision note (G.12)</w:t>
            </w:r>
          </w:p>
        </w:tc>
        <w:tc>
          <w:tcPr>
            <w:tcW w:type="dxa" w:w="2880"/>
          </w:tcPr>
          <w:p>
            <w:r/>
            <w:r>
              <w:rPr>
                <w:sz w:val="15"/>
              </w:rPr>
              <w:t>Author's decision: Stage 3B not used as the adaptive-learning test</w:t>
            </w:r>
          </w:p>
        </w:tc>
        <w:tc>
          <w:tcPr>
            <w:tcW w:type="dxa" w:w="1872"/>
          </w:tcPr>
          <w:p>
            <w:r/>
            <w:r>
              <w:rPr>
                <w:sz w:val="15"/>
              </w:rPr>
              <w:t>—</w:t>
            </w:r>
          </w:p>
        </w:tc>
        <w:tc>
          <w:tcPr>
            <w:tcW w:type="dxa" w:w="1440"/>
          </w:tcPr>
          <w:p>
            <w:r/>
            <w:r>
              <w:rPr>
                <w:sz w:val="15"/>
              </w:rPr>
              <w:t>Clean-run returns: none</w:t>
            </w:r>
          </w:p>
        </w:tc>
      </w:tr>
      <w:tr>
        <w:tc>
          <w:tcPr>
            <w:tcW w:type="dxa" w:w="1296"/>
          </w:tcPr>
          <w:p>
            <w:r>
              <w:rPr>
                <w:sz w:val="15"/>
              </w:rPr>
              <w:t>29 Sep 2026</w:t>
            </w:r>
          </w:p>
        </w:tc>
        <w:tc>
          <w:tcPr>
            <w:tcW w:type="dxa" w:w="1872"/>
          </w:tcPr>
          <w:p>
            <w:r>
              <w:rPr>
                <w:sz w:val="15"/>
              </w:rPr>
              <w:t>decision amendment (G.12)</w:t>
            </w:r>
          </w:p>
        </w:tc>
        <w:tc>
          <w:tcPr>
            <w:tcW w:type="dxa" w:w="2880"/>
          </w:tcPr>
          <w:p>
            <w:r>
              <w:rPr>
                <w:sz w:val="15"/>
              </w:rPr>
              <w:t>Four FROZEN20260915 returns (D01) received; author's amendment names the close of the clean-run window as the intended cut-off</w:t>
            </w:r>
          </w:p>
        </w:tc>
        <w:tc>
          <w:tcPr>
            <w:tcW w:type="dxa" w:w="1872"/>
          </w:tcPr>
          <w:p>
            <w:r>
              <w:rPr>
                <w:sz w:val="15"/>
              </w:rPr>
              <w:t>Clean-run window open</w:t>
            </w:r>
          </w:p>
        </w:tc>
        <w:tc>
          <w:tcPr>
            <w:tcW w:type="dxa" w:w="1440"/>
          </w:tcPr>
          <w:p>
            <w:r>
              <w:rPr>
                <w:sz w:val="15"/>
              </w:rPr>
              <w:t>Clean-run returns: four that day; a fifth (B53Y2F, played 16 Sep) received 30 Sep</w:t>
            </w:r>
          </w:p>
        </w:tc>
      </w:tr>
      <w:tr>
        <w:tc>
          <w:tcPr>
            <w:tcW w:type="dxa" w:w="1296"/>
          </w:tcPr>
          <w:p>
            <w:r>
              <w:rPr>
                <w:sz w:val="15"/>
              </w:rPr>
              <w:t>30 Sep 2026</w:t>
            </w:r>
          </w:p>
        </w:tc>
        <w:tc>
          <w:tcPr>
            <w:tcW w:type="dxa" w:w="1872"/>
          </w:tcPr>
          <w:p>
            <w:r>
              <w:rPr>
                <w:sz w:val="15"/>
              </w:rPr>
              <w:t>record closed (decision of 2 Oct 2026, G.12)</w:t>
            </w:r>
          </w:p>
        </w:tc>
        <w:tc>
          <w:tcPr>
            <w:tcW w:type="dxa" w:w="2880"/>
          </w:tcPr>
          <w:p>
            <w:r>
              <w:rPr>
                <w:sz w:val="15"/>
              </w:rPr>
              <w:t>Thesis record closed inside the clean-run window (window end 15 Oct 2026)</w:t>
            </w:r>
          </w:p>
        </w:tc>
        <w:tc>
          <w:tcPr>
            <w:tcW w:type="dxa" w:w="1872"/>
          </w:tcPr>
          <w:p>
            <w:r>
              <w:rPr>
                <w:sz w:val="15"/>
              </w:rPr>
              <w:t>—</w:t>
            </w:r>
          </w:p>
        </w:tc>
        <w:tc>
          <w:tcPr>
            <w:tcW w:type="dxa" w:w="1440"/>
          </w:tcPr>
          <w:p>
            <w:r>
              <w:rPr>
                <w:sz w:val="15"/>
              </w:rPr>
              <w:t>Five clean-run returns on record (Table I.4)</w:t>
            </w:r>
          </w:p>
        </w:tc>
      </w:tr>
    </w:tbl>
    <w:p>
      <w:pPr/>
      <w:r/>
    </w:p>
    <w:p>
      <w:pPr>
        <w:jc w:val="center"/>
      </w:pPr>
      <w:r>
        <w:drawing>
          <wp:inline>
            <wp:extent cx="5486400" cy="2885089"/>
            <wp:docPr id="41" name="Picture 41" descr="Figure I.1. Repository-dated events for Stage 3B."/>
            <wp:cNvGraphicFramePr>
              <a:graphicFrameLocks noChangeAspect="1"/>
            </wp:cNvGraphicFramePr>
            <a:graphic>
              <a:graphicData uri="http://schemas.openxmlformats.org/drawingml/2006/picture">
                <pic:pic>
                  <pic:nvPicPr>
                    <pic:cNvPr id="0" name="fig_I_3.png"/>
                    <pic:cNvPicPr/>
                  </pic:nvPicPr>
                  <pic:blipFill>
                    <a:blip r:embed="rId50"/>
                    <a:stretch>
                      <a:fillRect/>
                    </a:stretch>
                  </pic:blipFill>
                  <pic:spPr>
                    <a:xfrm>
                      <a:off x="0" y="0"/>
                      <a:ext cx="5486400" cy="2885089"/>
                    </a:xfrm>
                    <a:prstGeom prst="rect"/>
                  </pic:spPr>
                </pic:pic>
              </a:graphicData>
            </a:graphic>
          </wp:inline>
        </w:drawing>
      </w:r>
    </w:p>
    <w:p>
      <w:pPr>
        <w:pStyle w:val="FigureCaption"/>
      </w:pPr>
      <w:r>
        <w:t>Figure I.1. Repository-dated events for Stage 3B. Builds (top), distribution (middle) and returns (bottom). The clean-run window opened 15 September 2026; five returns stamped FROZEN20260915 are on record, the earliest played on 16 September 2026 and the others on 29 September 2026; the clean-run window runs to 15 October 2026; the thesis record is closed at 30 September 2026. Dates are UTC as recorded in the repository; the recruitment pitch time is local.</w:t>
      </w:r>
    </w:p>
    <w:p>
      <w:pPr>
        <w:pStyle w:val="Heading3"/>
      </w:pPr>
      <w:r>
        <w:t>I.4 · Returns on Record</w:t>
      </w:r>
    </w:p>
    <w:p>
      <w:pPr/>
      <w:r>
        <w:t>To 30 September 2026 the returns record comprises one verified participant return, five returns received on 15 September 2026 and excluded, and five clean-run returns from the frozen edition (Table I.4). The verified return (code B9V8YA) was received on 15 August 2026 by direct e-mail from the participant's own address, which is the dated transmittal; the export is a v3.0 JSON record from device copy DEV2, arm B (static ×0.85), failure mode ZF, Simplified Chinese; the state log is consistent with arm B (difficulty 0.85 throughout, no rule-agent steps); the score arithmetic reconciles (7 coins × 10 + 459 m + 50 goal bonus = 579); the timeline is a coherent single sitting (consent 08:00:55Z to export 08:03:29Z). The four-item questionnaire was completed; as a single return in one cell it supports no contrast and its item values are not reported here. Its admission note at receipt read "admission pending launch-gate confirmation"; the ethics-scope gate was later closed in the working record on the approval memo, although the scope question itself remains an open item of the ethics record (§3.4; I.7), and the supervisor's protocol sign-off is not recorded as closed (I.7). The five 15 September exports are game output (telemetry consistent with the rule agent, consent events present) but were excluded from any confirmatory use for three independent reasons recorded on 15 September: they ran the 13 August edition rather than the deployed 9 August build; they were solicited plays made within about twenty minutes on one device copy immediately after a re-send, not field uptake; and all five fell in arm A, so they contain no adaptive-versus-static comparison. Two of the five files arrived named with personal names (resolved in the verification record as distributor labels, not player identities), contrary to the anonymous protocol; the names are not reproduced here; the archive copies retain the file names as received. Their permitted use is build-functionality verification of the 13 August generation only. Clean-run returns carrying the FROZEN20260915 stamp: five, supplied by the author as CSV exports and archived as received with SHA-256. The earliest, B53Y2F, was played on 16 September 2026 on distributor copy D13 (arm B; zero-failure mode; age band 45–64; prior play 'no') and holds two 30-second touch sessions with a complete questionnaire. It reached the author on 30 September 2026 as text extracted from a rich-text document, so it is a converted copy rather than the original export; its content passes the same checks (0.85 throughout; four zero-failure bumps reducing obstacle density with speed unchanged; scores and cumulative experience total reconcile). The other four were played on 29 September 2026, one of them saved under an .xls file name. Three of these (codes BVSU69, B7GRDA and BZ323A) are all from distributor copy D01, touch input, game-over mode, Chinese interface, age band 45–64. BVSU69 and B7GRDA fell in arm B (static ×0.85) and BZ323A in arm A; each file holds one 30-second session that reached its goal and a complete four-item questionnaire. Content checks pass: each file carries the frozen build stamp and the D01 tag, the state logs match the assigned arm (the static files hold 0.85 throughout; the adaptive file starts at the 0.60 floor and steps to 0.80 under the rules), and the scores reconcile with the frozen scoring formula. The transmittal channel of each file, the D01 distributor, and whether two of the players (consented three minutes apart on the same copy) shared a device or helper are not on record (I.7); BVSU69 answered the prior-play question yes. The fourth, B59AGN (consented 17:34Z; age band 45–64; D01), fell in arm B in zero-failure mode and holds three 30-second sessions, the first by touch and the next two by keyboard, with a complete questionnaire; its state log holds 0.85 throughout, its two bumps in the third session reduced obstacle density without changing speed as the zero-failure mode specifies, and its scores reconcile with the frozen formula and its cumulative experience total. The five returns occupy three of the four cells (arm B with game-over, two; arm A with game-over, one; arm B with zero-failure, two; arm A with zero-failure, none); they support no contrast, and their item values are not reported here.</w:t>
      </w:r>
    </w:p>
    <w:p>
      <w:pPr>
        <w:pStyle w:val="FigureCaption"/>
      </w:pPr>
      <w:r>
        <w:t>Table I.4. Stage-3B participant returns on record at the 30 September 2026 cut-off (codes only; no names; no outcome values for excluded returns).</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080"/>
          </w:tcPr>
          <w:p>
            <w:r/>
            <w:r>
              <w:rPr>
                <w:b/>
                <w:sz w:val="15"/>
              </w:rPr>
              <w:t>Code</w:t>
            </w:r>
          </w:p>
        </w:tc>
        <w:tc>
          <w:tcPr>
            <w:tcW w:type="dxa" w:w="1440"/>
          </w:tcPr>
          <w:p>
            <w:r/>
            <w:r>
              <w:rPr>
                <w:b/>
                <w:sz w:val="15"/>
              </w:rPr>
              <w:t>Received</w:t>
            </w:r>
          </w:p>
        </w:tc>
        <w:tc>
          <w:tcPr>
            <w:tcW w:type="dxa" w:w="1728"/>
          </w:tcPr>
          <w:p>
            <w:r/>
            <w:r>
              <w:rPr>
                <w:b/>
                <w:sz w:val="15"/>
              </w:rPr>
              <w:t>Edition (build)</w:t>
            </w:r>
          </w:p>
        </w:tc>
        <w:tc>
          <w:tcPr>
            <w:tcW w:type="dxa" w:w="864"/>
          </w:tcPr>
          <w:p>
            <w:r/>
            <w:r>
              <w:rPr>
                <w:b/>
                <w:sz w:val="15"/>
              </w:rPr>
              <w:t>Device copy</w:t>
            </w:r>
          </w:p>
        </w:tc>
        <w:tc>
          <w:tcPr>
            <w:tcW w:type="dxa" w:w="1008"/>
          </w:tcPr>
          <w:p>
            <w:r/>
            <w:r>
              <w:rPr>
                <w:b/>
                <w:sz w:val="15"/>
              </w:rPr>
              <w:t>Arm / failure mode</w:t>
            </w:r>
          </w:p>
        </w:tc>
        <w:tc>
          <w:tcPr>
            <w:tcW w:type="dxa" w:w="1944"/>
          </w:tcPr>
          <w:p>
            <w:r/>
            <w:r>
              <w:rPr>
                <w:b/>
                <w:sz w:val="15"/>
              </w:rPr>
              <w:t>Provenance</w:t>
            </w:r>
          </w:p>
        </w:tc>
        <w:tc>
          <w:tcPr>
            <w:tcW w:type="dxa" w:w="2016"/>
          </w:tcPr>
          <w:p>
            <w:r/>
            <w:r>
              <w:rPr>
                <w:b/>
                <w:sz w:val="15"/>
              </w:rPr>
              <w:t>Status</w:t>
            </w:r>
          </w:p>
        </w:tc>
      </w:tr>
      <w:tr>
        <w:tc>
          <w:tcPr>
            <w:tcW w:type="dxa" w:w="1080"/>
          </w:tcPr>
          <w:p>
            <w:r/>
            <w:r>
              <w:rPr>
                <w:sz w:val="15"/>
              </w:rPr>
              <w:t>B9V8YA</w:t>
            </w:r>
          </w:p>
        </w:tc>
        <w:tc>
          <w:tcPr>
            <w:tcW w:type="dxa" w:w="1440"/>
          </w:tcPr>
          <w:p>
            <w:r/>
            <w:r>
              <w:rPr>
                <w:sz w:val="15"/>
              </w:rPr>
              <w:t>15 Aug 2026 (e-mail print; original e-mail archived 13 Sep)</w:t>
            </w:r>
          </w:p>
        </w:tc>
        <w:tc>
          <w:tcPr>
            <w:tcW w:type="dxa" w:w="1728"/>
          </w:tcPr>
          <w:p>
            <w:r/>
            <w:r>
              <w:rPr>
                <w:sz w:val="15"/>
              </w:rPr>
              <w:t>9-Aug device set, 59b7881 generation; v3.0 JSON export (pre-CSV)</w:t>
            </w:r>
          </w:p>
        </w:tc>
        <w:tc>
          <w:tcPr>
            <w:tcW w:type="dxa" w:w="864"/>
          </w:tcPr>
          <w:p>
            <w:r/>
            <w:r>
              <w:rPr>
                <w:sz w:val="15"/>
              </w:rPr>
              <w:t>DEV2</w:t>
            </w:r>
          </w:p>
        </w:tc>
        <w:tc>
          <w:tcPr>
            <w:tcW w:type="dxa" w:w="1008"/>
          </w:tcPr>
          <w:p>
            <w:r/>
            <w:r>
              <w:rPr>
                <w:sz w:val="15"/>
              </w:rPr>
              <w:t>B (static ×0.85) / ZF</w:t>
            </w:r>
          </w:p>
        </w:tc>
        <w:tc>
          <w:tcPr>
            <w:tcW w:type="dxa" w:w="1944"/>
          </w:tcPr>
          <w:p>
            <w:r/>
            <w:r>
              <w:rPr>
                <w:sz w:val="15"/>
              </w:rPr>
              <w:t>Direct e-mail from the participant's own address; dated transmittal</w:t>
            </w:r>
          </w:p>
        </w:tc>
        <w:tc>
          <w:tcPr>
            <w:tcW w:type="dxa" w:w="2016"/>
          </w:tcPr>
          <w:p>
            <w:r/>
            <w:r>
              <w:rPr>
                <w:sz w:val="15"/>
              </w:rPr>
              <w:t>Verified (checks pass); one 30-s run, questionnaire complete; pilot on an earlier sub-edition; not poolable with the frozen run</w:t>
            </w:r>
          </w:p>
        </w:tc>
      </w:tr>
      <w:tr>
        <w:tc>
          <w:tcPr>
            <w:tcW w:type="dxa" w:w="1080"/>
          </w:tcPr>
          <w:p>
            <w:r/>
            <w:r>
              <w:rPr>
                <w:sz w:val="15"/>
              </w:rPr>
              <w:t>BHHEPR</w:t>
            </w:r>
          </w:p>
        </w:tc>
        <w:tc>
          <w:tcPr>
            <w:tcW w:type="dxa" w:w="1440"/>
          </w:tcPr>
          <w:p>
            <w:r/>
            <w:r>
              <w:rPr>
                <w:sz w:val="15"/>
              </w:rPr>
              <w:t>15 Sep 2026 (consent 10:05Z)</w:t>
            </w:r>
          </w:p>
        </w:tc>
        <w:tc>
          <w:tcPr>
            <w:tcW w:type="dxa" w:w="1728"/>
          </w:tcPr>
          <w:p>
            <w:r/>
            <w:r>
              <w:rPr>
                <w:sz w:val="15"/>
              </w:rPr>
              <w:t>13-Aug edition (label v3.0; logs Input_Mode/XP_Total/Skier_Level)</w:t>
            </w:r>
          </w:p>
        </w:tc>
        <w:tc>
          <w:tcPr>
            <w:tcW w:type="dxa" w:w="864"/>
          </w:tcPr>
          <w:p>
            <w:r/>
            <w:r>
              <w:rPr>
                <w:sz w:val="15"/>
              </w:rPr>
              <w:t>DEV1</w:t>
            </w:r>
          </w:p>
        </w:tc>
        <w:tc>
          <w:tcPr>
            <w:tcW w:type="dxa" w:w="1008"/>
          </w:tcPr>
          <w:p>
            <w:r/>
            <w:r>
              <w:rPr>
                <w:sz w:val="15"/>
              </w:rPr>
              <w:t>A / GO</w:t>
            </w:r>
          </w:p>
        </w:tc>
        <w:tc>
          <w:tcPr>
            <w:tcW w:type="dxa" w:w="1944"/>
          </w:tcPr>
          <w:p>
            <w:r/>
            <w:r>
              <w:rPr>
                <w:sz w:val="15"/>
              </w:rPr>
              <w:t>One hidden-address relay forwarding all five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BO3ZWB</w:t>
            </w:r>
          </w:p>
        </w:tc>
        <w:tc>
          <w:tcPr>
            <w:tcW w:type="dxa" w:w="1440"/>
          </w:tcPr>
          <w:p>
            <w:r/>
            <w:r>
              <w:rPr>
                <w:sz w:val="15"/>
              </w:rPr>
              <w:t>15 Sep 2026 (consent 10:02Z)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BTF2JX</w:t>
            </w:r>
          </w:p>
        </w:tc>
        <w:tc>
          <w:tcPr>
            <w:tcW w:type="dxa" w:w="1440"/>
          </w:tcPr>
          <w:p>
            <w:r/>
            <w:r>
              <w:rPr>
                <w:sz w:val="15"/>
              </w:rPr>
              <w:t>15 Sep 2026 (consent 10:00Z)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BNRPSI</w:t>
            </w:r>
          </w:p>
        </w:tc>
        <w:tc>
          <w:tcPr>
            <w:tcW w:type="dxa" w:w="1440"/>
          </w:tcPr>
          <w:p>
            <w:r/>
            <w:r>
              <w:rPr>
                <w:sz w:val="15"/>
              </w:rPr>
              <w:t>15 Sep 2026 (consent 09:46Z)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 file name carried a personal name (archive copy retains the file name as received)</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B3U6KT</w:t>
            </w:r>
          </w:p>
        </w:tc>
        <w:tc>
          <w:tcPr>
            <w:tcW w:type="dxa" w:w="1440"/>
          </w:tcPr>
          <w:p>
            <w:r/>
            <w:r>
              <w:rPr>
                <w:sz w:val="15"/>
              </w:rPr>
              <w:t>15 Sep 2026 (consent 09:50Z)</w:t>
            </w:r>
          </w:p>
        </w:tc>
        <w:tc>
          <w:tcPr>
            <w:tcW w:type="dxa" w:w="1728"/>
          </w:tcPr>
          <w:p>
            <w:r/>
            <w:r>
              <w:rPr>
                <w:sz w:val="15"/>
              </w:rPr>
              <w:t>13-Aug edition</w:t>
            </w:r>
          </w:p>
        </w:tc>
        <w:tc>
          <w:tcPr>
            <w:tcW w:type="dxa" w:w="864"/>
          </w:tcPr>
          <w:p>
            <w:r/>
            <w:r>
              <w:rPr>
                <w:sz w:val="15"/>
              </w:rPr>
              <w:t>DEV1</w:t>
            </w:r>
          </w:p>
        </w:tc>
        <w:tc>
          <w:tcPr>
            <w:tcW w:type="dxa" w:w="1008"/>
          </w:tcPr>
          <w:p>
            <w:r/>
            <w:r>
              <w:rPr>
                <w:sz w:val="15"/>
              </w:rPr>
              <w:t>A / GO</w:t>
            </w:r>
          </w:p>
        </w:tc>
        <w:tc>
          <w:tcPr>
            <w:tcW w:type="dxa" w:w="1944"/>
          </w:tcPr>
          <w:p>
            <w:r/>
            <w:r>
              <w:rPr>
                <w:sz w:val="15"/>
              </w:rPr>
              <w:t>as above; file name carried a personal name (archive copy retains the file name as received)</w:t>
            </w:r>
          </w:p>
        </w:tc>
        <w:tc>
          <w:tcPr>
            <w:tcW w:type="dxa" w:w="2016"/>
          </w:tcPr>
          <w:p>
            <w:r/>
            <w:r>
              <w:rPr>
                <w:sz w:val="15"/>
              </w:rPr>
              <w:t>EXCLUDED: 13-Aug edition, not the deployed build; researcher-solicited plays within ~20 min on one copy; all arm A</w:t>
            </w:r>
          </w:p>
        </w:tc>
      </w:tr>
      <w:tr>
        <w:tc>
          <w:tcPr>
            <w:tcW w:type="dxa" w:w="1080"/>
          </w:tcPr>
          <w:p>
            <w:r>
              <w:rPr>
                <w:sz w:val="15"/>
              </w:rPr>
              <w:t>B53Y2F</w:t>
            </w:r>
          </w:p>
        </w:tc>
        <w:tc>
          <w:tcPr>
            <w:tcW w:type="dxa" w:w="1440"/>
          </w:tcPr>
          <w:p>
            <w:r>
              <w:rPr>
                <w:sz w:val="15"/>
              </w:rPr>
              <w:t>16 Sep 2026 (consent 04:47Z); received 30 Sep 2026</w:t>
            </w:r>
          </w:p>
        </w:tc>
        <w:tc>
          <w:tcPr>
            <w:tcW w:type="dxa" w:w="1728"/>
          </w:tcPr>
          <w:p>
            <w:r>
              <w:rPr>
                <w:sz w:val="15"/>
              </w:rPr>
              <w:t>Frozen study edition (FROZEN20260915); CSV text converted from a rich-text document</w:t>
            </w:r>
          </w:p>
        </w:tc>
        <w:tc>
          <w:tcPr>
            <w:tcW w:type="dxa" w:w="864"/>
          </w:tcPr>
          <w:p>
            <w:r>
              <w:rPr>
                <w:sz w:val="15"/>
              </w:rPr>
              <w:t>D13</w:t>
            </w:r>
          </w:p>
        </w:tc>
        <w:tc>
          <w:tcPr>
            <w:tcW w:type="dxa" w:w="1008"/>
          </w:tcPr>
          <w:p>
            <w:r>
              <w:rPr>
                <w:sz w:val="15"/>
              </w:rPr>
              <w:t>B (static ×0.85) / ZF</w:t>
            </w:r>
          </w:p>
        </w:tc>
        <w:tc>
          <w:tcPr>
            <w:tcW w:type="dxa" w:w="1944"/>
          </w:tcPr>
          <w:p>
            <w:r>
              <w:rPr>
                <w:sz w:val="15"/>
              </w:rPr>
              <w:t>Converted copy supplied by the author, archived with SHA-256; D13 holder and transmittal not on record (I.7)</w:t>
            </w:r>
          </w:p>
        </w:tc>
        <w:tc>
          <w:tcPr>
            <w:tcW w:type="dxa" w:w="2016"/>
          </w:tcPr>
          <w:p>
            <w:r>
              <w:rPr>
                <w:sz w:val="15"/>
              </w:rPr>
              <w:t>Content checks pass; two 30-s sessions, questionnaire complete; clean run; no contrast computed</w:t>
            </w:r>
          </w:p>
        </w:tc>
      </w:tr>
      <w:tr>
        <w:tc>
          <w:tcPr>
            <w:tcW w:type="dxa" w:w="1080"/>
          </w:tcPr>
          <w:p>
            <w:r>
              <w:rPr>
                <w:sz w:val="15"/>
              </w:rPr>
              <w:t>BVSU69</w:t>
            </w:r>
          </w:p>
        </w:tc>
        <w:tc>
          <w:tcPr>
            <w:tcW w:type="dxa" w:w="1440"/>
          </w:tcPr>
          <w:p>
            <w:r>
              <w:rPr>
                <w:sz w:val="15"/>
              </w:rPr>
              <w:t>29 Sep 2026 (consent 12:51Z)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B (static ×0.85) / GO</w:t>
            </w:r>
          </w:p>
        </w:tc>
        <w:tc>
          <w:tcPr>
            <w:tcW w:type="dxa" w:w="1944"/>
          </w:tcPr>
          <w:p>
            <w:r>
              <w:rPr>
                <w:sz w:val="15"/>
              </w:rPr>
              <w:t>CSV supplied by the author, archived with SHA-256; transmittal channel and D01 distributor not on record (I.7)</w:t>
            </w:r>
          </w:p>
        </w:tc>
        <w:tc>
          <w:tcPr>
            <w:tcW w:type="dxa" w:w="2016"/>
          </w:tcPr>
          <w:p>
            <w:r>
              <w:rPr>
                <w:sz w:val="15"/>
              </w:rPr>
              <w:t>Content checks pass; one 30-s run, questionnaire complete; clean run; no contrast computed</w:t>
            </w:r>
          </w:p>
        </w:tc>
      </w:tr>
      <w:tr>
        <w:tc>
          <w:tcPr>
            <w:tcW w:type="dxa" w:w="1080"/>
          </w:tcPr>
          <w:p>
            <w:r>
              <w:rPr>
                <w:sz w:val="15"/>
              </w:rPr>
              <w:t>B7GRDA</w:t>
            </w:r>
          </w:p>
        </w:tc>
        <w:tc>
          <w:tcPr>
            <w:tcW w:type="dxa" w:w="1440"/>
          </w:tcPr>
          <w:p>
            <w:r>
              <w:rPr>
                <w:sz w:val="15"/>
              </w:rPr>
              <w:t>29 Sep 2026 (consent 14:35Z)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B (static ×0.85) / GO</w:t>
            </w:r>
          </w:p>
        </w:tc>
        <w:tc>
          <w:tcPr>
            <w:tcW w:type="dxa" w:w="1944"/>
          </w:tcPr>
          <w:p>
            <w:r>
              <w:rPr>
                <w:sz w:val="15"/>
              </w:rPr>
              <w:t>as above; file arrived under a phone share-sheet name</w:t>
            </w:r>
          </w:p>
        </w:tc>
        <w:tc>
          <w:tcPr>
            <w:tcW w:type="dxa" w:w="2016"/>
          </w:tcPr>
          <w:p>
            <w:r>
              <w:rPr>
                <w:sz w:val="15"/>
              </w:rPr>
              <w:t>Content checks pass; one 30-s run, questionnaire complete; clean run; no contrast computed</w:t>
            </w:r>
          </w:p>
        </w:tc>
      </w:tr>
      <w:tr>
        <w:tc>
          <w:tcPr>
            <w:tcW w:type="dxa" w:w="1080"/>
          </w:tcPr>
          <w:p>
            <w:r>
              <w:rPr>
                <w:sz w:val="15"/>
              </w:rPr>
              <w:t>BZ323A</w:t>
            </w:r>
          </w:p>
        </w:tc>
        <w:tc>
          <w:tcPr>
            <w:tcW w:type="dxa" w:w="1440"/>
          </w:tcPr>
          <w:p>
            <w:r>
              <w:rPr>
                <w:sz w:val="15"/>
              </w:rPr>
              <w:t>29 Sep 2026 (consent 14:38Z)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A (adaptive) / GO</w:t>
            </w:r>
          </w:p>
        </w:tc>
        <w:tc>
          <w:tcPr>
            <w:tcW w:type="dxa" w:w="1944"/>
          </w:tcPr>
          <w:p>
            <w:r>
              <w:rPr>
                <w:sz w:val="15"/>
              </w:rPr>
              <w:t>as above; consented three minutes after B7GRDA on the same copy</w:t>
            </w:r>
          </w:p>
        </w:tc>
        <w:tc>
          <w:tcPr>
            <w:tcW w:type="dxa" w:w="2016"/>
          </w:tcPr>
          <w:p>
            <w:r>
              <w:rPr>
                <w:sz w:val="15"/>
              </w:rPr>
              <w:t>Content checks pass; one 30-s run, questionnaire complete; clean run; no contrast computed</w:t>
            </w:r>
          </w:p>
        </w:tc>
      </w:tr>
      <w:tr>
        <w:tc>
          <w:tcPr>
            <w:tcW w:type="dxa" w:w="1080"/>
          </w:tcPr>
          <w:p>
            <w:r>
              <w:rPr>
                <w:sz w:val="15"/>
              </w:rPr>
              <w:t>B59AGN</w:t>
            </w:r>
          </w:p>
        </w:tc>
        <w:tc>
          <w:tcPr>
            <w:tcW w:type="dxa" w:w="1440"/>
          </w:tcPr>
          <w:p>
            <w:r>
              <w:rPr>
                <w:sz w:val="15"/>
              </w:rPr>
              <w:t>29 Sep 2026 (consent 17:34Z)</w:t>
            </w:r>
          </w:p>
        </w:tc>
        <w:tc>
          <w:tcPr>
            <w:tcW w:type="dxa" w:w="1728"/>
          </w:tcPr>
          <w:p>
            <w:r>
              <w:rPr>
                <w:sz w:val="15"/>
              </w:rPr>
              <w:t>Frozen study edition (FROZEN20260915); CSV export saved as .xls</w:t>
            </w:r>
          </w:p>
        </w:tc>
        <w:tc>
          <w:tcPr>
            <w:tcW w:type="dxa" w:w="864"/>
          </w:tcPr>
          <w:p>
            <w:r>
              <w:rPr>
                <w:sz w:val="15"/>
              </w:rPr>
              <w:t>D01</w:t>
            </w:r>
          </w:p>
        </w:tc>
        <w:tc>
          <w:tcPr>
            <w:tcW w:type="dxa" w:w="1008"/>
          </w:tcPr>
          <w:p>
            <w:r>
              <w:rPr>
                <w:sz w:val="15"/>
              </w:rPr>
              <w:t>B (static ×0.85) / ZF</w:t>
            </w:r>
          </w:p>
        </w:tc>
        <w:tc>
          <w:tcPr>
            <w:tcW w:type="dxa" w:w="1944"/>
          </w:tcPr>
          <w:p>
            <w:r>
              <w:rPr>
                <w:sz w:val="15"/>
              </w:rPr>
              <w:t>as above</w:t>
            </w:r>
          </w:p>
        </w:tc>
        <w:tc>
          <w:tcPr>
            <w:tcW w:type="dxa" w:w="2016"/>
          </w:tcPr>
          <w:p>
            <w:r>
              <w:rPr>
                <w:sz w:val="15"/>
              </w:rPr>
              <w:t>Content checks pass; three 30-s sessions (touch, then keyboard twice), questionnaire complete; clean run; no contrast computed</w:t>
            </w:r>
          </w:p>
        </w:tc>
      </w:tr>
    </w:tbl>
    <w:p>
      <w:pPr/>
      <w:r/>
    </w:p>
    <w:p>
      <w:pPr>
        <w:pStyle w:val="Heading3"/>
      </w:pPr>
      <w:r>
        <w:t>I.5 · Stage-3B Pro v4.1 Researcher Self-Test: Batch 01 and Two Later-Received Exports (19–20 September 2026)</w:t>
      </w:r>
    </w:p>
    <w:p>
      <w:pPr/>
      <w:r>
        <w:t>The Pro v4.1 build is a separate researcher self-test artefact recorded as received on 19 September 2026. It is not a conversion of the frozen Stage 3B study build and is never pooled with it: it uses a separate browser namespace, runs the game-over failure mode only, retains a fixed-course generator and a warm-up staircase, and has participant release disabled. Its mechanism is a feedback-conditioned practice-proposal policy: after each practice run the player may report difficulty, feeling and reason; local rules combine that report with performance counts (obstacles faced, hits, clearance, edge time) to propose the next practice (easier, same, harder, support, variety or pause) and a practice focus; the player always chooses. Pace runs from 0.40 to 2.20 in steps of +0.10 or −0.12; a harder proposal requires an expressed interest in more challenge, at least six observed obstacles, at least 80% clearance, edge time under 50% and no conflicting tiredness, clarity or demand report. An optional external-judgment step (a typed-choice call to an external model through a local server) exists but was not configured and was not used in any recorded session; the package states that it calls an existing model and does not train its weights, and it is not RLHF or RLCD. Automated checks (29 passed) verified software behaviour with stubbed browser components, not learner outcomes.</w:t>
      </w:r>
    </w:p>
    <w:p>
      <w:pPr/>
      <w:r>
        <w:t>The Pro record comprises seven stored player codes. Batch 01, summarised in two reports dated 20 September 2026, comprises ten exports made on 19–20 September 2026 (seven JSON files for two codes; three CSV files for three codes). Two further exports from the same two days, for codes PFWU9V (19 September, one visit) and PXG3R9 (20 September, three visits), reached the record on 29 September 2026; the exports were received by different routes and on different dates, they were not available when the reports were written, and they are archived as received with SHA-256. Table I.5 reproduces the reports' Batch 01 figures beside the seven-code totals; Tables I.6–I.10 and Figures I.2–I.3 combine both sources. In Batch 01, deduplication reduced 81 run appearances to 42 distinct runs across five stored player codes and twelve software-recorded visits; with the two later exports the record holds 53 distinct runs across seven codes and sixteen visits. All files carry researcher-self-test metadata; by the author's account of 30 September 2026, the codes were played by volunteers and their families or friends recruited for selected age groups, and each export records an in-game consent tap. The files themselves do not establish the number of actual individuals or which person played under which code. Twelve answered feedback records link to twelve applied decisions and twelve subsequent runs (ten in Batch 01 and two for PFWU9V), and all twelve pass the identity-linkage, performance-input, chronology and applied-settings checks (Table I.8; Figure I.2); nine final decisions were local-rule outputs and three were player overrides; the cloud status of every decision is not_requested.</w:t>
      </w:r>
    </w:p>
    <w:p>
      <w:pPr/>
      <w:r>
        <w:t>Six opening–closing fixed-course pairs exist across five codes (Table I.9; Figure I.3): changes of −10, +5, −5, 0 and +10 percentage points in Batch 01, and +10 for PFWU9V. Each pair uses pace ×0.85, 20 obstacles, a 30-second planned duration and the same input mode, but the opening and closing course forms differ (7043 versus 7043m; 7051m versus 7051) and their equivalence is not established. The six first-visit questionnaire items across the seven codes (Table I.10) show D2 median 4 (range 3–4) and T1 median 3 (range 2–3); F1 was 4 or 5 for every code. The seven-code medians are exact: the reported Batch 01 medians, ranges and counts, together with the two raw exports, determine them. The exploratory paired statistics in Table I.11 are reproduced from the Learning Measurement addendum with its stated assumptions; they are conditional calculations, not confirmatory evidence, and the addendum records that neither p = .495 nor p = .750 establishes the presence or absence of learning. They cover the four Batch 01 codes with a complete pair. With PFWU9V's pair added, the five earliest pairs per code have mean and median change 0.0 pp, and all six visit-pairs have mean +1.7 pp and median +2.5 pp (three up, two down, one tie); no test statistic is recomputed.</w:t>
      </w:r>
    </w:p>
    <w:p>
      <w:pPr/>
      <w:r>
        <w:t>Where the two reports differ, the difference is one of selection rule: the Research Review gives the descriptive median of all five pairs as 0 pp, while the addendum gives the median of the earliest pair per code (n = 4) as −2.50 pp; the Research Review names a twenty-sheet logbook workbook and the addendum a twelve-sheet analysis workbook (two distinct derived files, neither deposited at the cut-off). Both reports label the items by short descriptors (D2 "regular-use intention" / "Willingness to play regularly"; C1 "getting better" / "Felt getting better"; T1 "felt judged" / "Felt tested or judged"); the as-administered wording is taken from the deposited HTML (Table I.10).</w:t>
      </w:r>
    </w:p>
    <w:p>
      <w:pPr/>
      <w:r>
        <w:t>Both reports state the same limits in their own words: "does not yet establish durable learning, live Jev reasoning, reduced abandonment or a validated FIAS mechanism"; "no claim of durable learning, reduced abandonment or FIAS validation is made"; the Research Review recommends retaining the batch "as a separate Pro development appendix or progress-review item" and the addendum "as a separate development addendum".</w:t>
      </w:r>
    </w:p>
    <w:p>
      <w:pPr>
        <w:pStyle w:val="FigureCaption"/>
      </w:pPr>
      <w:r>
        <w:t>Table I.5. Batch 01 deduplicated units (as stated in the Batch 01 Research Review of 20 September 2026), with seven-code totals including the two later-received exports (PFWU9V, PXG3R9).</w:t>
      </w:r>
    </w:p>
    <w:tbl>
      <w:tblPr>
        <w:tblStyle w:val="TableGrid"/>
        <w:tblW w:type="auto" w:w="0"/>
        <w:tblLook w:firstColumn="1" w:firstRow="1" w:lastColumn="0" w:lastRow="0" w:noHBand="0" w:noVBand="1" w:val="04A0"/>
      </w:tblPr>
      <w:tblGrid>
        <w:gridCol w:w="2835"/>
        <w:gridCol w:w="2835"/>
        <w:gridCol w:w="2835"/>
      </w:tblGrid>
      <w:tr>
        <w:tc>
          <w:tcPr>
            <w:tcW w:type="dxa" w:w="2592"/>
          </w:tcPr>
          <w:p>
            <w:r/>
            <w:r>
              <w:rPr>
                <w:b/>
                <w:sz w:val="17"/>
              </w:rPr>
              <w:t>Unit</w:t>
            </w:r>
          </w:p>
        </w:tc>
        <w:tc>
          <w:tcPr>
            <w:tcW w:type="dxa" w:w="2592"/>
          </w:tcPr>
          <w:p>
            <w:r/>
            <w:r>
              <w:rPr>
                <w:b/>
                <w:sz w:val="17"/>
              </w:rPr>
              <w:t>Deduplicated result</w:t>
            </w:r>
          </w:p>
        </w:tc>
        <w:tc>
          <w:tcPr>
            <w:tcW w:type="dxa" w:w="4176"/>
          </w:tcPr>
          <w:p>
            <w:r/>
            <w:r>
              <w:rPr>
                <w:b/>
                <w:sz w:val="17"/>
              </w:rPr>
              <w:t>Interpretation (as stated in the Research Review)</w:t>
            </w:r>
          </w:p>
        </w:tc>
      </w:tr>
      <w:tr>
        <w:tc>
          <w:tcPr>
            <w:tcW w:type="dxa" w:w="2592"/>
          </w:tcPr>
          <w:p>
            <w:r/>
            <w:r>
              <w:rPr>
                <w:sz w:val="17"/>
              </w:rPr>
              <w:t>Stored player codes</w:t>
            </w:r>
          </w:p>
        </w:tc>
        <w:tc>
          <w:tcPr>
            <w:tcW w:type="dxa" w:w="2592"/>
          </w:tcPr>
          <w:p>
            <w:r>
              <w:rPr>
                <w:sz w:val="17"/>
              </w:rPr>
              <w:t>5 (Batch 01); 7 in total with PFWU9V and PXG3R9</w:t>
            </w:r>
          </w:p>
        </w:tc>
        <w:tc>
          <w:tcPr>
            <w:tcW w:type="dxa" w:w="4176"/>
          </w:tcPr>
          <w:p>
            <w:r/>
            <w:r>
              <w:rPr>
                <w:sz w:val="17"/>
              </w:rPr>
              <w:t>"Not yet five verified independent people"</w:t>
            </w:r>
          </w:p>
        </w:tc>
      </w:tr>
      <w:tr>
        <w:tc>
          <w:tcPr>
            <w:tcW w:type="dxa" w:w="2592"/>
          </w:tcPr>
          <w:p>
            <w:r/>
            <w:r>
              <w:rPr>
                <w:sz w:val="17"/>
              </w:rPr>
              <w:t>Software-recorded visits</w:t>
            </w:r>
          </w:p>
        </w:tc>
        <w:tc>
          <w:tcPr>
            <w:tcW w:type="dxa" w:w="2592"/>
          </w:tcPr>
          <w:p>
            <w:r>
              <w:rPr>
                <w:sz w:val="17"/>
              </w:rPr>
              <w:t>12 (Batch 01); 16 in total (9 with practice, 7 without)</w:t>
            </w:r>
          </w:p>
        </w:tc>
        <w:tc>
          <w:tcPr>
            <w:tcW w:type="dxa" w:w="4176"/>
          </w:tcPr>
          <w:p>
            <w:r/>
            <w:r>
              <w:rPr>
                <w:sz w:val="17"/>
              </w:rPr>
              <w:t>"Seven contain practice; five contain no practice"</w:t>
            </w:r>
          </w:p>
        </w:tc>
      </w:tr>
      <w:tr>
        <w:tc>
          <w:tcPr>
            <w:tcW w:type="dxa" w:w="2592"/>
          </w:tcPr>
          <w:p>
            <w:r/>
            <w:r>
              <w:rPr>
                <w:sz w:val="17"/>
              </w:rPr>
              <w:t>Distinct run records</w:t>
            </w:r>
          </w:p>
        </w:tc>
        <w:tc>
          <w:tcPr>
            <w:tcW w:type="dxa" w:w="2592"/>
          </w:tcPr>
          <w:p>
            <w:r>
              <w:rPr>
                <w:sz w:val="17"/>
              </w:rPr>
              <w:t>42 (Batch 01); 53 in total: 10 warm-ups, 21 practice, 22 checks</w:t>
            </w:r>
          </w:p>
        </w:tc>
        <w:tc>
          <w:tcPr>
            <w:tcW w:type="dxa" w:w="4176"/>
          </w:tcPr>
          <w:p>
            <w:r/>
            <w:r>
              <w:rPr>
                <w:sz w:val="17"/>
              </w:rPr>
              <w:t>"8 warmups + 17 practice runs + 17 fixed-course checks"</w:t>
            </w:r>
          </w:p>
        </w:tc>
      </w:tr>
      <w:tr>
        <w:tc>
          <w:tcPr>
            <w:tcW w:type="dxa" w:w="2592"/>
          </w:tcPr>
          <w:p>
            <w:r/>
            <w:r>
              <w:rPr>
                <w:sz w:val="17"/>
              </w:rPr>
              <w:t>Practice-feedback records</w:t>
            </w:r>
          </w:p>
        </w:tc>
        <w:tc>
          <w:tcPr>
            <w:tcW w:type="dxa" w:w="2592"/>
          </w:tcPr>
          <w:p>
            <w:r>
              <w:rPr>
                <w:sz w:val="17"/>
              </w:rPr>
              <w:t>17 (Batch 01); 21 in total: 12 answered, 9 skipped</w:t>
            </w:r>
          </w:p>
        </w:tc>
        <w:tc>
          <w:tcPr>
            <w:tcW w:type="dxa" w:w="4176"/>
          </w:tcPr>
          <w:p>
            <w:r/>
            <w:r>
              <w:rPr>
                <w:sz w:val="17"/>
              </w:rPr>
              <w:t>"10 answered; 7 explicitly skipped"</w:t>
            </w:r>
          </w:p>
        </w:tc>
      </w:tr>
      <w:tr>
        <w:tc>
          <w:tcPr>
            <w:tcW w:type="dxa" w:w="2592"/>
          </w:tcPr>
          <w:p>
            <w:r/>
            <w:r>
              <w:rPr>
                <w:sz w:val="17"/>
              </w:rPr>
              <w:t>Applied decisions</w:t>
            </w:r>
          </w:p>
        </w:tc>
        <w:tc>
          <w:tcPr>
            <w:tcW w:type="dxa" w:w="2592"/>
          </w:tcPr>
          <w:p>
            <w:r>
              <w:rPr>
                <w:sz w:val="17"/>
              </w:rPr>
              <w:t>10 (Batch 01); 12 in total: 9 local-rule, 3 player overrides</w:t>
            </w:r>
          </w:p>
        </w:tc>
        <w:tc>
          <w:tcPr>
            <w:tcW w:type="dxa" w:w="4176"/>
          </w:tcPr>
          <w:p>
            <w:r/>
            <w:r>
              <w:rPr>
                <w:sz w:val="17"/>
              </w:rPr>
              <w:t>"7 final local-rule decisions; 3 player overrides"</w:t>
            </w:r>
          </w:p>
        </w:tc>
      </w:tr>
      <w:tr>
        <w:tc>
          <w:tcPr>
            <w:tcW w:type="dxa" w:w="2592"/>
          </w:tcPr>
          <w:p>
            <w:r/>
            <w:r>
              <w:rPr>
                <w:sz w:val="17"/>
              </w:rPr>
              <w:t>Opening–closing check pairs</w:t>
            </w:r>
          </w:p>
        </w:tc>
        <w:tc>
          <w:tcPr>
            <w:tcW w:type="dxa" w:w="2592"/>
          </w:tcPr>
          <w:p>
            <w:r>
              <w:rPr>
                <w:sz w:val="17"/>
              </w:rPr>
              <w:t>5 visits / 4 codes (Batch 01); 6 visits / 5 codes in total</w:t>
            </w:r>
          </w:p>
        </w:tc>
        <w:tc>
          <w:tcPr>
            <w:tcW w:type="dxa" w:w="4176"/>
          </w:tcPr>
          <w:p>
            <w:r/>
            <w:r>
              <w:rPr>
                <w:sz w:val="17"/>
              </w:rPr>
              <w:t>"2 increases; 2 decreases; 1 unchanged"</w:t>
            </w:r>
          </w:p>
        </w:tc>
      </w:tr>
      <w:tr>
        <w:tc>
          <w:tcPr>
            <w:tcW w:type="dxa" w:w="2592"/>
          </w:tcPr>
          <w:p>
            <w:r/>
            <w:r>
              <w:rPr>
                <w:sz w:val="17"/>
              </w:rPr>
              <w:t>Active gameplay</w:t>
            </w:r>
          </w:p>
        </w:tc>
        <w:tc>
          <w:tcPr>
            <w:tcW w:type="dxa" w:w="2592"/>
          </w:tcPr>
          <w:p>
            <w:r>
              <w:rPr>
                <w:sz w:val="17"/>
              </w:rPr>
              <w:t>18.38 minutes (Batch 01); 23.35 minutes in total</w:t>
            </w:r>
          </w:p>
        </w:tc>
        <w:tc>
          <w:tcPr>
            <w:tcW w:type="dxa" w:w="4176"/>
          </w:tcPr>
          <w:p>
            <w:r/>
            <w:r>
              <w:rPr>
                <w:sz w:val="17"/>
              </w:rPr>
              <w:t>"Logged activity, not total visit elapsed time"</w:t>
            </w:r>
          </w:p>
        </w:tc>
      </w:tr>
      <w:tr>
        <w:tc>
          <w:tcPr>
            <w:tcW w:type="dxa" w:w="2592"/>
          </w:tcPr>
          <w:p>
            <w:r/>
            <w:r>
              <w:rPr>
                <w:sz w:val="17"/>
              </w:rPr>
              <w:t>Run version stamps</w:t>
            </w:r>
          </w:p>
        </w:tc>
        <w:tc>
          <w:tcPr>
            <w:tcW w:type="dxa" w:w="2592"/>
          </w:tcPr>
          <w:p>
            <w:r>
              <w:rPr>
                <w:sz w:val="17"/>
              </w:rPr>
              <w:t>38 runs v4.1; 4 runs v4.1.1 (P8P2Z9 visit 4); later exports: PFWU9V 6 runs v4.1, PXG3R9 5 runs v4.1.1</w:t>
            </w:r>
          </w:p>
        </w:tc>
        <w:tc>
          <w:tcPr>
            <w:tcW w:type="dxa" w:w="4176"/>
          </w:tcPr>
          <w:p>
            <w:r/>
            <w:r>
              <w:rPr>
                <w:sz w:val="17"/>
              </w:rPr>
              <w:t>Deposited HTML is stamped v4.1; the v4.1.1 file is not on record</w:t>
            </w:r>
          </w:p>
        </w:tc>
      </w:tr>
      <w:tr>
        <w:tc>
          <w:tcPr>
            <w:tcW w:type="dxa" w:w="2592"/>
          </w:tcPr>
          <w:p>
            <w:r/>
            <w:r>
              <w:rPr>
                <w:sz w:val="17"/>
              </w:rPr>
              <w:t>Obstacle reconciliation</w:t>
            </w:r>
          </w:p>
        </w:tc>
        <w:tc>
          <w:tcPr>
            <w:tcW w:type="dxa" w:w="2592"/>
          </w:tcPr>
          <w:p>
            <w:r>
              <w:rPr>
                <w:sz w:val="17"/>
              </w:rPr>
              <w:t>932 encountered obstacles, 51 hits (Batch 01); 1,118 and 68 in total</w:t>
            </w:r>
          </w:p>
        </w:tc>
        <w:tc>
          <w:tcPr>
            <w:tcW w:type="dxa" w:w="4176"/>
          </w:tcPr>
          <w:p>
            <w:r/>
            <w:r>
              <w:rPr>
                <w:sz w:val="17"/>
              </w:rPr>
              <w:t>"reconcile to the per-obstacle telemetry" (source-consistency check)</w:t>
            </w:r>
          </w:p>
        </w:tc>
      </w:tr>
    </w:tbl>
    <w:p>
      <w:pPr/>
      <w:r/>
    </w:p>
    <w:p>
      <w:pPr>
        <w:pStyle w:val="FigureCaption"/>
      </w:pPr>
      <w:r>
        <w:t>Table I.6. Record-level coverage per stored code (Batch 01 codes as reported; PFWU9V and PXG3R9 from their raw exports).</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215"/>
          </w:tcPr>
          <w:p>
            <w:r/>
            <w:r>
              <w:rPr>
                <w:b/>
                <w:sz w:val="17"/>
              </w:rPr>
              <w:t>Code</w:t>
            </w:r>
          </w:p>
        </w:tc>
        <w:tc>
          <w:tcPr>
            <w:tcW w:type="dxa" w:w="1215"/>
          </w:tcPr>
          <w:p>
            <w:r/>
            <w:r>
              <w:rPr>
                <w:b/>
                <w:sz w:val="17"/>
              </w:rPr>
              <w:t>Visits</w:t>
            </w:r>
          </w:p>
        </w:tc>
        <w:tc>
          <w:tcPr>
            <w:tcW w:type="dxa" w:w="1215"/>
          </w:tcPr>
          <w:p>
            <w:r/>
            <w:r>
              <w:rPr>
                <w:b/>
                <w:sz w:val="17"/>
              </w:rPr>
              <w:t>Runs</w:t>
            </w:r>
          </w:p>
        </w:tc>
        <w:tc>
          <w:tcPr>
            <w:tcW w:type="dxa" w:w="1215"/>
          </w:tcPr>
          <w:p>
            <w:r/>
            <w:r>
              <w:rPr>
                <w:b/>
                <w:sz w:val="17"/>
              </w:rPr>
              <w:t>Practice runs</w:t>
            </w:r>
          </w:p>
        </w:tc>
        <w:tc>
          <w:tcPr>
            <w:tcW w:type="dxa" w:w="1215"/>
          </w:tcPr>
          <w:p>
            <w:r/>
            <w:r>
              <w:rPr>
                <w:b/>
                <w:sz w:val="17"/>
              </w:rPr>
              <w:t>Opening–closing pairs</w:t>
            </w:r>
          </w:p>
        </w:tc>
        <w:tc>
          <w:tcPr>
            <w:tcW w:type="dxa" w:w="1215"/>
          </w:tcPr>
          <w:p>
            <w:r/>
            <w:r>
              <w:rPr>
                <w:b/>
                <w:sz w:val="17"/>
              </w:rPr>
              <w:t>Decisions</w:t>
            </w:r>
          </w:p>
        </w:tc>
        <w:tc>
          <w:tcPr>
            <w:tcW w:type="dxa" w:w="1215"/>
          </w:tcPr>
          <w:p>
            <w:r/>
            <w:r>
              <w:rPr>
                <w:b/>
                <w:sz w:val="17"/>
              </w:rPr>
              <w:t>Input mode (as recorded)</w:t>
            </w:r>
          </w:p>
        </w:tc>
      </w:tr>
      <w:tr>
        <w:tc>
          <w:tcPr>
            <w:tcW w:type="dxa" w:w="1215"/>
          </w:tcPr>
          <w:p>
            <w:r/>
            <w:r>
              <w:rPr>
                <w:sz w:val="17"/>
              </w:rPr>
              <w:t>P8P2Z9</w:t>
            </w:r>
          </w:p>
        </w:tc>
        <w:tc>
          <w:tcPr>
            <w:tcW w:type="dxa" w:w="1215"/>
          </w:tcPr>
          <w:p>
            <w:r/>
            <w:r>
              <w:rPr>
                <w:sz w:val="17"/>
              </w:rPr>
              <w:t>4</w:t>
            </w:r>
          </w:p>
        </w:tc>
        <w:tc>
          <w:tcPr>
            <w:tcW w:type="dxa" w:w="1215"/>
          </w:tcPr>
          <w:p>
            <w:r/>
            <w:r>
              <w:rPr>
                <w:sz w:val="17"/>
              </w:rPr>
              <w:t>18</w:t>
            </w:r>
          </w:p>
        </w:tc>
        <w:tc>
          <w:tcPr>
            <w:tcW w:type="dxa" w:w="1215"/>
          </w:tcPr>
          <w:p>
            <w:r/>
            <w:r>
              <w:rPr>
                <w:sz w:val="17"/>
              </w:rPr>
              <w:t>9</w:t>
            </w:r>
          </w:p>
        </w:tc>
        <w:tc>
          <w:tcPr>
            <w:tcW w:type="dxa" w:w="1215"/>
          </w:tcPr>
          <w:p>
            <w:r/>
            <w:r>
              <w:rPr>
                <w:sz w:val="17"/>
              </w:rPr>
              <w:t>2</w:t>
            </w:r>
          </w:p>
        </w:tc>
        <w:tc>
          <w:tcPr>
            <w:tcW w:type="dxa" w:w="1215"/>
          </w:tcPr>
          <w:p>
            <w:r/>
            <w:r>
              <w:rPr>
                <w:sz w:val="17"/>
              </w:rPr>
              <w:t>6</w:t>
            </w:r>
          </w:p>
        </w:tc>
        <w:tc>
          <w:tcPr>
            <w:tcW w:type="dxa" w:w="1215"/>
          </w:tcPr>
          <w:p>
            <w:r/>
            <w:r>
              <w:rPr>
                <w:sz w:val="17"/>
              </w:rPr>
              <w:t>touch</w:t>
            </w:r>
          </w:p>
        </w:tc>
      </w:tr>
      <w:tr>
        <w:tc>
          <w:tcPr>
            <w:tcW w:type="dxa" w:w="1215"/>
          </w:tcPr>
          <w:p>
            <w:r/>
            <w:r>
              <w:rPr>
                <w:sz w:val="17"/>
              </w:rPr>
              <w:t>PT8FJC</w:t>
            </w:r>
          </w:p>
        </w:tc>
        <w:tc>
          <w:tcPr>
            <w:tcW w:type="dxa" w:w="1215"/>
          </w:tcPr>
          <w:p>
            <w:r/>
            <w:r>
              <w:rPr>
                <w:sz w:val="17"/>
              </w:rPr>
              <w:t>1</w:t>
            </w:r>
          </w:p>
        </w:tc>
        <w:tc>
          <w:tcPr>
            <w:tcW w:type="dxa" w:w="1215"/>
          </w:tcPr>
          <w:p>
            <w:r/>
            <w:r>
              <w:rPr>
                <w:sz w:val="17"/>
              </w:rPr>
              <w:t>8</w:t>
            </w:r>
          </w:p>
        </w:tc>
        <w:tc>
          <w:tcPr>
            <w:tcW w:type="dxa" w:w="1215"/>
          </w:tcPr>
          <w:p>
            <w:r/>
            <w:r>
              <w:rPr>
                <w:sz w:val="17"/>
              </w:rPr>
              <w:t>5</w:t>
            </w:r>
          </w:p>
        </w:tc>
        <w:tc>
          <w:tcPr>
            <w:tcW w:type="dxa" w:w="1215"/>
          </w:tcPr>
          <w:p>
            <w:r/>
            <w:r>
              <w:rPr>
                <w:sz w:val="17"/>
              </w:rPr>
              <w:t>1</w:t>
            </w:r>
          </w:p>
        </w:tc>
        <w:tc>
          <w:tcPr>
            <w:tcW w:type="dxa" w:w="1215"/>
          </w:tcPr>
          <w:p>
            <w:r/>
            <w:r>
              <w:rPr>
                <w:sz w:val="17"/>
              </w:rPr>
              <w:t>4</w:t>
            </w:r>
          </w:p>
        </w:tc>
        <w:tc>
          <w:tcPr>
            <w:tcW w:type="dxa" w:w="1215"/>
          </w:tcPr>
          <w:p>
            <w:r/>
            <w:r>
              <w:rPr>
                <w:sz w:val="17"/>
              </w:rPr>
              <w:t>touch</w:t>
            </w:r>
          </w:p>
        </w:tc>
      </w:tr>
      <w:tr>
        <w:tc>
          <w:tcPr>
            <w:tcW w:type="dxa" w:w="1215"/>
          </w:tcPr>
          <w:p>
            <w:r/>
            <w:r>
              <w:rPr>
                <w:sz w:val="17"/>
              </w:rPr>
              <w:t>PEVNZ8</w:t>
            </w:r>
          </w:p>
        </w:tc>
        <w:tc>
          <w:tcPr>
            <w:tcW w:type="dxa" w:w="1215"/>
          </w:tcPr>
          <w:p>
            <w:r/>
            <w:r>
              <w:rPr>
                <w:sz w:val="17"/>
              </w:rPr>
              <w:t>3</w:t>
            </w:r>
          </w:p>
        </w:tc>
        <w:tc>
          <w:tcPr>
            <w:tcW w:type="dxa" w:w="1215"/>
          </w:tcPr>
          <w:p>
            <w:r/>
            <w:r>
              <w:rPr>
                <w:sz w:val="17"/>
              </w:rPr>
              <w:t>7</w:t>
            </w:r>
          </w:p>
        </w:tc>
        <w:tc>
          <w:tcPr>
            <w:tcW w:type="dxa" w:w="1215"/>
          </w:tcPr>
          <w:p>
            <w:r/>
            <w:r>
              <w:rPr>
                <w:sz w:val="17"/>
              </w:rPr>
              <w:t>1</w:t>
            </w:r>
          </w:p>
        </w:tc>
        <w:tc>
          <w:tcPr>
            <w:tcW w:type="dxa" w:w="1215"/>
          </w:tcPr>
          <w:p>
            <w:r/>
            <w:r>
              <w:rPr>
                <w:sz w:val="17"/>
              </w:rPr>
              <w:t>1</w:t>
            </w:r>
          </w:p>
        </w:tc>
        <w:tc>
          <w:tcPr>
            <w:tcW w:type="dxa" w:w="1215"/>
          </w:tcPr>
          <w:p>
            <w:r/>
            <w:r>
              <w:rPr>
                <w:sz w:val="17"/>
              </w:rPr>
              <w:t>0</w:t>
            </w:r>
          </w:p>
        </w:tc>
        <w:tc>
          <w:tcPr>
            <w:tcW w:type="dxa" w:w="1215"/>
          </w:tcPr>
          <w:p>
            <w:r/>
            <w:r>
              <w:rPr>
                <w:sz w:val="17"/>
              </w:rPr>
              <w:t>touch; one stopped run 'none'</w:t>
            </w:r>
          </w:p>
        </w:tc>
      </w:tr>
      <w:tr>
        <w:tc>
          <w:tcPr>
            <w:tcW w:type="dxa" w:w="1215"/>
          </w:tcPr>
          <w:p>
            <w:r/>
            <w:r>
              <w:rPr>
                <w:sz w:val="17"/>
              </w:rPr>
              <w:t>PZTPCG</w:t>
            </w:r>
          </w:p>
        </w:tc>
        <w:tc>
          <w:tcPr>
            <w:tcW w:type="dxa" w:w="1215"/>
          </w:tcPr>
          <w:p>
            <w:r/>
            <w:r>
              <w:rPr>
                <w:sz w:val="17"/>
              </w:rPr>
              <w:t>1</w:t>
            </w:r>
          </w:p>
        </w:tc>
        <w:tc>
          <w:tcPr>
            <w:tcW w:type="dxa" w:w="1215"/>
          </w:tcPr>
          <w:p>
            <w:r/>
            <w:r>
              <w:rPr>
                <w:sz w:val="17"/>
              </w:rPr>
              <w:t>4</w:t>
            </w:r>
          </w:p>
        </w:tc>
        <w:tc>
          <w:tcPr>
            <w:tcW w:type="dxa" w:w="1215"/>
          </w:tcPr>
          <w:p>
            <w:r/>
            <w:r>
              <w:rPr>
                <w:sz w:val="17"/>
              </w:rPr>
              <w:t>1</w:t>
            </w:r>
          </w:p>
        </w:tc>
        <w:tc>
          <w:tcPr>
            <w:tcW w:type="dxa" w:w="1215"/>
          </w:tcPr>
          <w:p>
            <w:r/>
            <w:r>
              <w:rPr>
                <w:sz w:val="17"/>
              </w:rPr>
              <w:t>1</w:t>
            </w:r>
          </w:p>
        </w:tc>
        <w:tc>
          <w:tcPr>
            <w:tcW w:type="dxa" w:w="1215"/>
          </w:tcPr>
          <w:p>
            <w:r/>
            <w:r>
              <w:rPr>
                <w:sz w:val="17"/>
              </w:rPr>
              <w:t>0</w:t>
            </w:r>
          </w:p>
        </w:tc>
        <w:tc>
          <w:tcPr>
            <w:tcW w:type="dxa" w:w="1215"/>
          </w:tcPr>
          <w:p>
            <w:r/>
            <w:r>
              <w:rPr>
                <w:sz w:val="17"/>
              </w:rPr>
              <w:t>keyboard</w:t>
            </w:r>
          </w:p>
        </w:tc>
      </w:tr>
      <w:tr>
        <w:tc>
          <w:tcPr>
            <w:tcW w:type="dxa" w:w="1215"/>
          </w:tcPr>
          <w:p>
            <w:r/>
            <w:r>
              <w:rPr>
                <w:sz w:val="17"/>
              </w:rPr>
              <w:t>PU5K58</w:t>
            </w:r>
          </w:p>
        </w:tc>
        <w:tc>
          <w:tcPr>
            <w:tcW w:type="dxa" w:w="1215"/>
          </w:tcPr>
          <w:p>
            <w:r/>
            <w:r>
              <w:rPr>
                <w:sz w:val="17"/>
              </w:rPr>
              <w:t>3</w:t>
            </w:r>
          </w:p>
        </w:tc>
        <w:tc>
          <w:tcPr>
            <w:tcW w:type="dxa" w:w="1215"/>
          </w:tcPr>
          <w:p>
            <w:r/>
            <w:r>
              <w:rPr>
                <w:sz w:val="17"/>
              </w:rPr>
              <w:t>5</w:t>
            </w:r>
          </w:p>
        </w:tc>
        <w:tc>
          <w:tcPr>
            <w:tcW w:type="dxa" w:w="1215"/>
          </w:tcPr>
          <w:p>
            <w:r/>
            <w:r>
              <w:rPr>
                <w:sz w:val="17"/>
              </w:rPr>
              <w:t>1</w:t>
            </w:r>
          </w:p>
        </w:tc>
        <w:tc>
          <w:tcPr>
            <w:tcW w:type="dxa" w:w="1215"/>
          </w:tcPr>
          <w:p>
            <w:r/>
            <w:r>
              <w:rPr>
                <w:sz w:val="17"/>
              </w:rPr>
              <w:t>0</w:t>
            </w:r>
          </w:p>
        </w:tc>
        <w:tc>
          <w:tcPr>
            <w:tcW w:type="dxa" w:w="1215"/>
          </w:tcPr>
          <w:p>
            <w:r/>
            <w:r>
              <w:rPr>
                <w:sz w:val="17"/>
              </w:rPr>
              <w:t>0</w:t>
            </w:r>
          </w:p>
        </w:tc>
        <w:tc>
          <w:tcPr>
            <w:tcW w:type="dxa" w:w="1215"/>
          </w:tcPr>
          <w:p>
            <w:r/>
            <w:r>
              <w:rPr>
                <w:sz w:val="17"/>
              </w:rPr>
              <w:t>touch</w:t>
            </w:r>
          </w:p>
        </w:tc>
      </w:tr>
      <w:tr>
        <w:tc>
          <w:tcPr>
            <w:tcW w:type="dxa" w:w="1215"/>
          </w:tcPr>
          <w:p>
            <w:r>
              <w:rPr>
                <w:sz w:val="17"/>
              </w:rPr>
              <w:t>PFWU9V</w:t>
            </w:r>
          </w:p>
        </w:tc>
        <w:tc>
          <w:tcPr>
            <w:tcW w:type="dxa" w:w="1215"/>
          </w:tcPr>
          <w:p>
            <w:r>
              <w:rPr>
                <w:sz w:val="17"/>
              </w:rPr>
              <w:t>1</w:t>
            </w:r>
          </w:p>
        </w:tc>
        <w:tc>
          <w:tcPr>
            <w:tcW w:type="dxa" w:w="1215"/>
          </w:tcPr>
          <w:p>
            <w:r>
              <w:rPr>
                <w:sz w:val="17"/>
              </w:rPr>
              <w:t>6</w:t>
            </w:r>
          </w:p>
        </w:tc>
        <w:tc>
          <w:tcPr>
            <w:tcW w:type="dxa" w:w="1215"/>
          </w:tcPr>
          <w:p>
            <w:r>
              <w:rPr>
                <w:sz w:val="17"/>
              </w:rPr>
              <w:t>3</w:t>
            </w:r>
          </w:p>
        </w:tc>
        <w:tc>
          <w:tcPr>
            <w:tcW w:type="dxa" w:w="1215"/>
          </w:tcPr>
          <w:p>
            <w:r>
              <w:rPr>
                <w:sz w:val="17"/>
              </w:rPr>
              <w:t>1</w:t>
            </w:r>
          </w:p>
        </w:tc>
        <w:tc>
          <w:tcPr>
            <w:tcW w:type="dxa" w:w="1215"/>
          </w:tcPr>
          <w:p>
            <w:r>
              <w:rPr>
                <w:sz w:val="17"/>
              </w:rPr>
              <w:t>2</w:t>
            </w:r>
          </w:p>
        </w:tc>
        <w:tc>
          <w:tcPr>
            <w:tcW w:type="dxa" w:w="1215"/>
          </w:tcPr>
          <w:p>
            <w:r>
              <w:rPr>
                <w:sz w:val="17"/>
              </w:rPr>
              <w:t>touch</w:t>
            </w:r>
          </w:p>
        </w:tc>
      </w:tr>
      <w:tr>
        <w:tc>
          <w:tcPr>
            <w:tcW w:type="dxa" w:w="1215"/>
          </w:tcPr>
          <w:p>
            <w:r>
              <w:rPr>
                <w:sz w:val="17"/>
              </w:rPr>
              <w:t>PXG3R9</w:t>
            </w:r>
          </w:p>
        </w:tc>
        <w:tc>
          <w:tcPr>
            <w:tcW w:type="dxa" w:w="1215"/>
          </w:tcPr>
          <w:p>
            <w:r>
              <w:rPr>
                <w:sz w:val="17"/>
              </w:rPr>
              <w:t>3</w:t>
            </w:r>
          </w:p>
        </w:tc>
        <w:tc>
          <w:tcPr>
            <w:tcW w:type="dxa" w:w="1215"/>
          </w:tcPr>
          <w:p>
            <w:r>
              <w:rPr>
                <w:sz w:val="17"/>
              </w:rPr>
              <w:t>5</w:t>
            </w:r>
          </w:p>
        </w:tc>
        <w:tc>
          <w:tcPr>
            <w:tcW w:type="dxa" w:w="1215"/>
          </w:tcPr>
          <w:p>
            <w:r>
              <w:rPr>
                <w:sz w:val="17"/>
              </w:rPr>
              <w:t>1</w:t>
            </w:r>
          </w:p>
        </w:tc>
        <w:tc>
          <w:tcPr>
            <w:tcW w:type="dxa" w:w="1215"/>
          </w:tcPr>
          <w:p>
            <w:r>
              <w:rPr>
                <w:sz w:val="17"/>
              </w:rPr>
              <w:t>0</w:t>
            </w:r>
          </w:p>
        </w:tc>
        <w:tc>
          <w:tcPr>
            <w:tcW w:type="dxa" w:w="1215"/>
          </w:tcPr>
          <w:p>
            <w:r>
              <w:rPr>
                <w:sz w:val="17"/>
              </w:rPr>
              <w:t>0</w:t>
            </w:r>
          </w:p>
        </w:tc>
        <w:tc>
          <w:tcPr>
            <w:tcW w:type="dxa" w:w="1215"/>
          </w:tcPr>
          <w:p>
            <w:r>
              <w:rPr>
                <w:sz w:val="17"/>
              </w:rPr>
              <w:t>touch</w:t>
            </w:r>
          </w:p>
        </w:tc>
      </w:tr>
      <w:tr>
        <w:tc>
          <w:tcPr>
            <w:tcW w:type="dxa" w:w="1215"/>
          </w:tcPr>
          <w:p>
            <w:r>
              <w:rPr>
                <w:sz w:val="17"/>
              </w:rPr>
              <w:t>Total, seven codes</w:t>
            </w:r>
          </w:p>
        </w:tc>
        <w:tc>
          <w:tcPr>
            <w:tcW w:type="dxa" w:w="1215"/>
          </w:tcPr>
          <w:p>
            <w:r>
              <w:rPr>
                <w:sz w:val="17"/>
              </w:rPr>
              <w:t>16</w:t>
            </w:r>
          </w:p>
        </w:tc>
        <w:tc>
          <w:tcPr>
            <w:tcW w:type="dxa" w:w="1215"/>
          </w:tcPr>
          <w:p>
            <w:r>
              <w:rPr>
                <w:sz w:val="17"/>
              </w:rPr>
              <w:t>53</w:t>
            </w:r>
          </w:p>
        </w:tc>
        <w:tc>
          <w:tcPr>
            <w:tcW w:type="dxa" w:w="1215"/>
          </w:tcPr>
          <w:p>
            <w:r>
              <w:rPr>
                <w:sz w:val="17"/>
              </w:rPr>
              <w:t>21</w:t>
            </w:r>
          </w:p>
        </w:tc>
        <w:tc>
          <w:tcPr>
            <w:tcW w:type="dxa" w:w="1215"/>
          </w:tcPr>
          <w:p>
            <w:r>
              <w:rPr>
                <w:sz w:val="17"/>
              </w:rPr>
              <w:t>6</w:t>
            </w:r>
          </w:p>
        </w:tc>
        <w:tc>
          <w:tcPr>
            <w:tcW w:type="dxa" w:w="1215"/>
          </w:tcPr>
          <w:p>
            <w:r>
              <w:rPr>
                <w:sz w:val="17"/>
              </w:rPr>
              <w:t>12</w:t>
            </w:r>
          </w:p>
        </w:tc>
        <w:tc>
          <w:tcPr>
            <w:tcW w:type="dxa" w:w="1215"/>
          </w:tcPr>
          <w:p>
            <w:r>
              <w:rPr>
                <w:sz w:val="17"/>
              </w:rPr>
              <w:t>—</w:t>
            </w:r>
          </w:p>
        </w:tc>
      </w:tr>
    </w:tbl>
    <w:p>
      <w:pPr/>
      <w:r/>
    </w:p>
    <w:p>
      <w:pPr>
        <w:pStyle w:val="FigureCaption"/>
      </w:pPr>
      <w:r>
        <w:t>Table I.7. Visit-by-visit routes (W = warm-up; Pre/Post = opening/closing fixed-course check; P = practice). The Research Review states that the five visits without a practice run must not be treated as completed adaptive-learning sequences; with PXG3R9, seven of sixteen visits contain no practice run.</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152"/>
          </w:tcPr>
          <w:p>
            <w:r/>
            <w:r>
              <w:rPr>
                <w:b/>
                <w:sz w:val="17"/>
              </w:rPr>
              <w:t>Code</w:t>
            </w:r>
          </w:p>
        </w:tc>
        <w:tc>
          <w:tcPr>
            <w:tcW w:type="dxa" w:w="720"/>
          </w:tcPr>
          <w:p>
            <w:r/>
            <w:r>
              <w:rPr>
                <w:b/>
                <w:sz w:val="17"/>
              </w:rPr>
              <w:t>Visit</w:t>
            </w:r>
          </w:p>
        </w:tc>
        <w:tc>
          <w:tcPr>
            <w:tcW w:type="dxa" w:w="1728"/>
          </w:tcPr>
          <w:p>
            <w:r/>
            <w:r>
              <w:rPr>
                <w:b/>
                <w:sz w:val="17"/>
              </w:rPr>
              <w:t>Start (UTC, MM-DD HH:MM)</w:t>
            </w:r>
          </w:p>
        </w:tc>
        <w:tc>
          <w:tcPr>
            <w:tcW w:type="dxa" w:w="2448"/>
          </w:tcPr>
          <w:p>
            <w:r/>
            <w:r>
              <w:rPr>
                <w:b/>
                <w:sz w:val="17"/>
              </w:rPr>
              <w:t>Recorded route</w:t>
            </w:r>
          </w:p>
        </w:tc>
        <w:tc>
          <w:tcPr>
            <w:tcW w:type="dxa" w:w="1584"/>
          </w:tcPr>
          <w:p>
            <w:r/>
            <w:r>
              <w:rPr>
                <w:b/>
                <w:sz w:val="17"/>
              </w:rPr>
              <w:t>Gap from prior end</w:t>
            </w:r>
          </w:p>
        </w:tc>
        <w:tc>
          <w:tcPr>
            <w:tcW w:type="dxa" w:w="1728"/>
          </w:tcPr>
          <w:p>
            <w:r/>
            <w:r>
              <w:rPr>
                <w:b/>
                <w:sz w:val="17"/>
              </w:rPr>
              <w:t>Measurement status</w:t>
            </w:r>
          </w:p>
        </w:tc>
      </w:tr>
      <w:tr>
        <w:tc>
          <w:tcPr>
            <w:tcW w:type="dxa" w:w="1152"/>
          </w:tcPr>
          <w:p>
            <w:r/>
            <w:r>
              <w:rPr>
                <w:sz w:val="17"/>
              </w:rPr>
              <w:t>P8P2Z9</w:t>
            </w:r>
          </w:p>
        </w:tc>
        <w:tc>
          <w:tcPr>
            <w:tcW w:type="dxa" w:w="720"/>
          </w:tcPr>
          <w:p>
            <w:r/>
            <w:r>
              <w:rPr>
                <w:sz w:val="17"/>
              </w:rPr>
              <w:t>1</w:t>
            </w:r>
          </w:p>
        </w:tc>
        <w:tc>
          <w:tcPr>
            <w:tcW w:type="dxa" w:w="1728"/>
          </w:tcPr>
          <w:p>
            <w:r/>
            <w:r>
              <w:rPr>
                <w:sz w:val="17"/>
              </w:rPr>
              <w:t>09-19 07:25</w:t>
            </w:r>
          </w:p>
        </w:tc>
        <w:tc>
          <w:tcPr>
            <w:tcW w:type="dxa" w:w="2448"/>
          </w:tcPr>
          <w:p>
            <w:r/>
            <w:r>
              <w:rPr>
                <w:sz w:val="17"/>
              </w:rPr>
              <w:t>W 1 / Pre 1 / P 7 / Post 1</w:t>
            </w:r>
          </w:p>
        </w:tc>
        <w:tc>
          <w:tcPr>
            <w:tcW w:type="dxa" w:w="1584"/>
          </w:tcPr>
          <w:p>
            <w:r/>
            <w:r>
              <w:rPr>
                <w:sz w:val="17"/>
              </w:rPr>
              <w:t>first recorded</w:t>
            </w:r>
          </w:p>
        </w:tc>
        <w:tc>
          <w:tcPr>
            <w:tcW w:type="dxa" w:w="1728"/>
          </w:tcPr>
          <w:p>
            <w:r/>
            <w:r>
              <w:rPr>
                <w:sz w:val="17"/>
              </w:rPr>
              <w:t>paired checks</w:t>
            </w:r>
          </w:p>
        </w:tc>
      </w:tr>
      <w:tr>
        <w:tc>
          <w:tcPr>
            <w:tcW w:type="dxa" w:w="1152"/>
          </w:tcPr>
          <w:p>
            <w:r>
              <w:rPr>
                <w:sz w:val="17"/>
              </w:rPr>
              <w:t>PFWU9V</w:t>
            </w:r>
          </w:p>
        </w:tc>
        <w:tc>
          <w:tcPr>
            <w:tcW w:type="dxa" w:w="720"/>
          </w:tcPr>
          <w:p>
            <w:r>
              <w:rPr>
                <w:sz w:val="17"/>
              </w:rPr>
              <w:t>1</w:t>
            </w:r>
          </w:p>
        </w:tc>
        <w:tc>
          <w:tcPr>
            <w:tcW w:type="dxa" w:w="1728"/>
          </w:tcPr>
          <w:p>
            <w:r>
              <w:rPr>
                <w:sz w:val="17"/>
              </w:rPr>
              <w:t>09-19 10:22</w:t>
            </w:r>
          </w:p>
        </w:tc>
        <w:tc>
          <w:tcPr>
            <w:tcW w:type="dxa" w:w="2448"/>
          </w:tcPr>
          <w:p>
            <w:r>
              <w:rPr>
                <w:sz w:val="17"/>
              </w:rPr>
              <w:t>W 1 / Pre 1 / P 3 / Post 1</w:t>
            </w:r>
          </w:p>
        </w:tc>
        <w:tc>
          <w:tcPr>
            <w:tcW w:type="dxa" w:w="1584"/>
          </w:tcPr>
          <w:p>
            <w:r>
              <w:rPr>
                <w:sz w:val="17"/>
              </w:rPr>
              <w:t>first recorded</w:t>
            </w:r>
          </w:p>
        </w:tc>
        <w:tc>
          <w:tcPr>
            <w:tcW w:type="dxa" w:w="1728"/>
          </w:tcPr>
          <w:p>
            <w:r>
              <w:rPr>
                <w:sz w:val="17"/>
              </w:rPr>
              <w:t>paired checks</w:t>
            </w:r>
          </w:p>
        </w:tc>
      </w:tr>
      <w:tr>
        <w:tc>
          <w:tcPr>
            <w:tcW w:type="dxa" w:w="1152"/>
          </w:tcPr>
          <w:p>
            <w:r/>
            <w:r>
              <w:rPr>
                <w:sz w:val="17"/>
              </w:rPr>
              <w:t>PT8FJC</w:t>
            </w:r>
          </w:p>
        </w:tc>
        <w:tc>
          <w:tcPr>
            <w:tcW w:type="dxa" w:w="720"/>
          </w:tcPr>
          <w:p>
            <w:r/>
            <w:r>
              <w:rPr>
                <w:sz w:val="17"/>
              </w:rPr>
              <w:t>1</w:t>
            </w:r>
          </w:p>
        </w:tc>
        <w:tc>
          <w:tcPr>
            <w:tcW w:type="dxa" w:w="1728"/>
          </w:tcPr>
          <w:p>
            <w:r/>
            <w:r>
              <w:rPr>
                <w:sz w:val="17"/>
              </w:rPr>
              <w:t>09-19 10:33</w:t>
            </w:r>
          </w:p>
        </w:tc>
        <w:tc>
          <w:tcPr>
            <w:tcW w:type="dxa" w:w="2448"/>
          </w:tcPr>
          <w:p>
            <w:r/>
            <w:r>
              <w:rPr>
                <w:sz w:val="17"/>
              </w:rPr>
              <w:t>W 1 / Pre 1 / P 5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PEVNZ8</w:t>
            </w:r>
          </w:p>
        </w:tc>
        <w:tc>
          <w:tcPr>
            <w:tcW w:type="dxa" w:w="720"/>
          </w:tcPr>
          <w:p>
            <w:r/>
            <w:r>
              <w:rPr>
                <w:sz w:val="17"/>
              </w:rPr>
              <w:t>1</w:t>
            </w:r>
          </w:p>
        </w:tc>
        <w:tc>
          <w:tcPr>
            <w:tcW w:type="dxa" w:w="1728"/>
          </w:tcPr>
          <w:p>
            <w:r/>
            <w:r>
              <w:rPr>
                <w:sz w:val="17"/>
              </w:rPr>
              <w:t>09-19 14:12</w:t>
            </w:r>
          </w:p>
        </w:tc>
        <w:tc>
          <w:tcPr>
            <w:tcW w:type="dxa" w:w="2448"/>
          </w:tcPr>
          <w:p>
            <w:r/>
            <w:r>
              <w:rPr>
                <w:sz w:val="17"/>
              </w:rPr>
              <w:t>W 1 / Pre 1 / P 1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PEVNZ8</w:t>
            </w:r>
          </w:p>
        </w:tc>
        <w:tc>
          <w:tcPr>
            <w:tcW w:type="dxa" w:w="720"/>
          </w:tcPr>
          <w:p>
            <w:r/>
            <w:r>
              <w:rPr>
                <w:sz w:val="17"/>
              </w:rPr>
              <w:t>2</w:t>
            </w:r>
          </w:p>
        </w:tc>
        <w:tc>
          <w:tcPr>
            <w:tcW w:type="dxa" w:w="1728"/>
          </w:tcPr>
          <w:p>
            <w:r/>
            <w:r>
              <w:rPr>
                <w:sz w:val="17"/>
              </w:rPr>
              <w:t>09-19 14:15</w:t>
            </w:r>
          </w:p>
        </w:tc>
        <w:tc>
          <w:tcPr>
            <w:tcW w:type="dxa" w:w="2448"/>
          </w:tcPr>
          <w:p>
            <w:r/>
            <w:r>
              <w:rPr>
                <w:sz w:val="17"/>
              </w:rPr>
              <w:t>W 0 / Pre 0 / P 0 / Post 1</w:t>
            </w:r>
          </w:p>
        </w:tc>
        <w:tc>
          <w:tcPr>
            <w:tcW w:type="dxa" w:w="1584"/>
          </w:tcPr>
          <w:p>
            <w:r/>
            <w:r>
              <w:rPr>
                <w:sz w:val="17"/>
              </w:rPr>
              <w:t>9.48 s</w:t>
            </w:r>
          </w:p>
        </w:tc>
        <w:tc>
          <w:tcPr>
            <w:tcW w:type="dxa" w:w="1728"/>
          </w:tcPr>
          <w:p>
            <w:r/>
            <w:r>
              <w:rPr>
                <w:sz w:val="17"/>
              </w:rPr>
              <w:t>no practice</w:t>
            </w:r>
          </w:p>
        </w:tc>
      </w:tr>
      <w:tr>
        <w:tc>
          <w:tcPr>
            <w:tcW w:type="dxa" w:w="1152"/>
          </w:tcPr>
          <w:p>
            <w:r/>
            <w:r>
              <w:rPr>
                <w:sz w:val="17"/>
              </w:rPr>
              <w:t>PEVNZ8</w:t>
            </w:r>
          </w:p>
        </w:tc>
        <w:tc>
          <w:tcPr>
            <w:tcW w:type="dxa" w:w="720"/>
          </w:tcPr>
          <w:p>
            <w:r/>
            <w:r>
              <w:rPr>
                <w:sz w:val="17"/>
              </w:rPr>
              <w:t>3</w:t>
            </w:r>
          </w:p>
        </w:tc>
        <w:tc>
          <w:tcPr>
            <w:tcW w:type="dxa" w:w="1728"/>
          </w:tcPr>
          <w:p>
            <w:r/>
            <w:r>
              <w:rPr>
                <w:sz w:val="17"/>
              </w:rPr>
              <w:t>09-19 14:16</w:t>
            </w:r>
          </w:p>
        </w:tc>
        <w:tc>
          <w:tcPr>
            <w:tcW w:type="dxa" w:w="2448"/>
          </w:tcPr>
          <w:p>
            <w:r/>
            <w:r>
              <w:rPr>
                <w:sz w:val="17"/>
              </w:rPr>
              <w:t>W 1 / Pre 0 / P 0 / Post 1</w:t>
            </w:r>
          </w:p>
        </w:tc>
        <w:tc>
          <w:tcPr>
            <w:tcW w:type="dxa" w:w="1584"/>
          </w:tcPr>
          <w:p>
            <w:r/>
            <w:r>
              <w:rPr>
                <w:sz w:val="17"/>
              </w:rPr>
              <w:t>3.39 s</w:t>
            </w:r>
          </w:p>
        </w:tc>
        <w:tc>
          <w:tcPr>
            <w:tcW w:type="dxa" w:w="1728"/>
          </w:tcPr>
          <w:p>
            <w:r/>
            <w:r>
              <w:rPr>
                <w:sz w:val="17"/>
              </w:rPr>
              <w:t>no practice</w:t>
            </w:r>
          </w:p>
        </w:tc>
      </w:tr>
      <w:tr>
        <w:tc>
          <w:tcPr>
            <w:tcW w:type="dxa" w:w="1152"/>
          </w:tcPr>
          <w:p>
            <w:r/>
            <w:r>
              <w:rPr>
                <w:sz w:val="17"/>
              </w:rPr>
              <w:t>PZTPCG</w:t>
            </w:r>
          </w:p>
        </w:tc>
        <w:tc>
          <w:tcPr>
            <w:tcW w:type="dxa" w:w="720"/>
          </w:tcPr>
          <w:p>
            <w:r/>
            <w:r>
              <w:rPr>
                <w:sz w:val="17"/>
              </w:rPr>
              <w:t>1</w:t>
            </w:r>
          </w:p>
        </w:tc>
        <w:tc>
          <w:tcPr>
            <w:tcW w:type="dxa" w:w="1728"/>
          </w:tcPr>
          <w:p>
            <w:r/>
            <w:r>
              <w:rPr>
                <w:sz w:val="17"/>
              </w:rPr>
              <w:t>09-19 14:20</w:t>
            </w:r>
          </w:p>
        </w:tc>
        <w:tc>
          <w:tcPr>
            <w:tcW w:type="dxa" w:w="2448"/>
          </w:tcPr>
          <w:p>
            <w:r/>
            <w:r>
              <w:rPr>
                <w:sz w:val="17"/>
              </w:rPr>
              <w:t>W 1 / Pre 1 / P 1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P8P2Z9</w:t>
            </w:r>
          </w:p>
        </w:tc>
        <w:tc>
          <w:tcPr>
            <w:tcW w:type="dxa" w:w="720"/>
          </w:tcPr>
          <w:p>
            <w:r/>
            <w:r>
              <w:rPr>
                <w:sz w:val="17"/>
              </w:rPr>
              <w:t>2</w:t>
            </w:r>
          </w:p>
        </w:tc>
        <w:tc>
          <w:tcPr>
            <w:tcW w:type="dxa" w:w="1728"/>
          </w:tcPr>
          <w:p>
            <w:r/>
            <w:r>
              <w:rPr>
                <w:sz w:val="17"/>
              </w:rPr>
              <w:t>09-19 15:21</w:t>
            </w:r>
          </w:p>
        </w:tc>
        <w:tc>
          <w:tcPr>
            <w:tcW w:type="dxa" w:w="2448"/>
          </w:tcPr>
          <w:p>
            <w:r/>
            <w:r>
              <w:rPr>
                <w:sz w:val="17"/>
              </w:rPr>
              <w:t>W 0 / Pre 0 / P 0 / Post 1</w:t>
            </w:r>
          </w:p>
        </w:tc>
        <w:tc>
          <w:tcPr>
            <w:tcW w:type="dxa" w:w="1584"/>
          </w:tcPr>
          <w:p>
            <w:r/>
            <w:r>
              <w:rPr>
                <w:sz w:val="17"/>
              </w:rPr>
              <w:t>468.9 min</w:t>
            </w:r>
          </w:p>
        </w:tc>
        <w:tc>
          <w:tcPr>
            <w:tcW w:type="dxa" w:w="1728"/>
          </w:tcPr>
          <w:p>
            <w:r/>
            <w:r>
              <w:rPr>
                <w:sz w:val="17"/>
              </w:rPr>
              <w:t>no practice</w:t>
            </w:r>
          </w:p>
        </w:tc>
      </w:tr>
      <w:tr>
        <w:tc>
          <w:tcPr>
            <w:tcW w:type="dxa" w:w="1152"/>
          </w:tcPr>
          <w:p>
            <w:r/>
            <w:r>
              <w:rPr>
                <w:sz w:val="17"/>
              </w:rPr>
              <w:t>P8P2Z9</w:t>
            </w:r>
          </w:p>
        </w:tc>
        <w:tc>
          <w:tcPr>
            <w:tcW w:type="dxa" w:w="720"/>
          </w:tcPr>
          <w:p>
            <w:r/>
            <w:r>
              <w:rPr>
                <w:sz w:val="17"/>
              </w:rPr>
              <w:t>3</w:t>
            </w:r>
          </w:p>
        </w:tc>
        <w:tc>
          <w:tcPr>
            <w:tcW w:type="dxa" w:w="1728"/>
          </w:tcPr>
          <w:p>
            <w:r/>
            <w:r>
              <w:rPr>
                <w:sz w:val="17"/>
              </w:rPr>
              <w:t>09-19 16:02</w:t>
            </w:r>
          </w:p>
        </w:tc>
        <w:tc>
          <w:tcPr>
            <w:tcW w:type="dxa" w:w="2448"/>
          </w:tcPr>
          <w:p>
            <w:r/>
            <w:r>
              <w:rPr>
                <w:sz w:val="17"/>
              </w:rPr>
              <w:t>W 1 / Pre 1 / P 1 / Post 0</w:t>
            </w:r>
          </w:p>
        </w:tc>
        <w:tc>
          <w:tcPr>
            <w:tcW w:type="dxa" w:w="1584"/>
          </w:tcPr>
          <w:p>
            <w:r/>
            <w:r>
              <w:rPr>
                <w:sz w:val="17"/>
              </w:rPr>
              <w:t>40.2 min</w:t>
            </w:r>
          </w:p>
        </w:tc>
        <w:tc>
          <w:tcPr>
            <w:tcW w:type="dxa" w:w="1728"/>
          </w:tcPr>
          <w:p>
            <w:r/>
            <w:r>
              <w:rPr>
                <w:sz w:val="17"/>
              </w:rPr>
              <w:t>no closing check</w:t>
            </w:r>
          </w:p>
        </w:tc>
      </w:tr>
      <w:tr>
        <w:tc>
          <w:tcPr>
            <w:tcW w:type="dxa" w:w="1152"/>
          </w:tcPr>
          <w:p>
            <w:r/>
            <w:r>
              <w:rPr>
                <w:sz w:val="17"/>
              </w:rPr>
              <w:t>PU5K58</w:t>
            </w:r>
          </w:p>
        </w:tc>
        <w:tc>
          <w:tcPr>
            <w:tcW w:type="dxa" w:w="720"/>
          </w:tcPr>
          <w:p>
            <w:r/>
            <w:r>
              <w:rPr>
                <w:sz w:val="17"/>
              </w:rPr>
              <w:t>1</w:t>
            </w:r>
          </w:p>
        </w:tc>
        <w:tc>
          <w:tcPr>
            <w:tcW w:type="dxa" w:w="1728"/>
          </w:tcPr>
          <w:p>
            <w:r/>
            <w:r>
              <w:rPr>
                <w:sz w:val="17"/>
              </w:rPr>
              <w:t>09-19 16:07</w:t>
            </w:r>
          </w:p>
        </w:tc>
        <w:tc>
          <w:tcPr>
            <w:tcW w:type="dxa" w:w="2448"/>
          </w:tcPr>
          <w:p>
            <w:r/>
            <w:r>
              <w:rPr>
                <w:sz w:val="17"/>
              </w:rPr>
              <w:t>W 0 / Pre 0 / P 0 / Post 1</w:t>
            </w:r>
          </w:p>
        </w:tc>
        <w:tc>
          <w:tcPr>
            <w:tcW w:type="dxa" w:w="1584"/>
          </w:tcPr>
          <w:p>
            <w:r/>
            <w:r>
              <w:rPr>
                <w:sz w:val="17"/>
              </w:rPr>
              <w:t>first recorded</w:t>
            </w:r>
          </w:p>
        </w:tc>
        <w:tc>
          <w:tcPr>
            <w:tcW w:type="dxa" w:w="1728"/>
          </w:tcPr>
          <w:p>
            <w:r/>
            <w:r>
              <w:rPr>
                <w:sz w:val="17"/>
              </w:rPr>
              <w:t>no practice</w:t>
            </w:r>
          </w:p>
        </w:tc>
      </w:tr>
      <w:tr>
        <w:tc>
          <w:tcPr>
            <w:tcW w:type="dxa" w:w="1152"/>
          </w:tcPr>
          <w:p>
            <w:r/>
            <w:r>
              <w:rPr>
                <w:sz w:val="17"/>
              </w:rPr>
              <w:t>PU5K58</w:t>
            </w:r>
          </w:p>
        </w:tc>
        <w:tc>
          <w:tcPr>
            <w:tcW w:type="dxa" w:w="720"/>
          </w:tcPr>
          <w:p>
            <w:r/>
            <w:r>
              <w:rPr>
                <w:sz w:val="17"/>
              </w:rPr>
              <w:t>2</w:t>
            </w:r>
          </w:p>
        </w:tc>
        <w:tc>
          <w:tcPr>
            <w:tcW w:type="dxa" w:w="1728"/>
          </w:tcPr>
          <w:p>
            <w:r/>
            <w:r>
              <w:rPr>
                <w:sz w:val="17"/>
              </w:rPr>
              <w:t>09-19 17:31</w:t>
            </w:r>
          </w:p>
        </w:tc>
        <w:tc>
          <w:tcPr>
            <w:tcW w:type="dxa" w:w="2448"/>
          </w:tcPr>
          <w:p>
            <w:r/>
            <w:r>
              <w:rPr>
                <w:sz w:val="17"/>
              </w:rPr>
              <w:t>W 0 / Pre 0 / P 0 / Post 1</w:t>
            </w:r>
          </w:p>
        </w:tc>
        <w:tc>
          <w:tcPr>
            <w:tcW w:type="dxa" w:w="1584"/>
          </w:tcPr>
          <w:p>
            <w:r/>
            <w:r>
              <w:rPr>
                <w:sz w:val="17"/>
              </w:rPr>
              <w:t>83.1 min</w:t>
            </w:r>
          </w:p>
        </w:tc>
        <w:tc>
          <w:tcPr>
            <w:tcW w:type="dxa" w:w="1728"/>
          </w:tcPr>
          <w:p>
            <w:r/>
            <w:r>
              <w:rPr>
                <w:sz w:val="17"/>
              </w:rPr>
              <w:t>no practice</w:t>
            </w:r>
          </w:p>
        </w:tc>
      </w:tr>
      <w:tr>
        <w:tc>
          <w:tcPr>
            <w:tcW w:type="dxa" w:w="1152"/>
          </w:tcPr>
          <w:p>
            <w:r/>
            <w:r>
              <w:rPr>
                <w:sz w:val="17"/>
              </w:rPr>
              <w:t>PU5K58</w:t>
            </w:r>
          </w:p>
        </w:tc>
        <w:tc>
          <w:tcPr>
            <w:tcW w:type="dxa" w:w="720"/>
          </w:tcPr>
          <w:p>
            <w:r/>
            <w:r>
              <w:rPr>
                <w:sz w:val="17"/>
              </w:rPr>
              <w:t>3</w:t>
            </w:r>
          </w:p>
        </w:tc>
        <w:tc>
          <w:tcPr>
            <w:tcW w:type="dxa" w:w="1728"/>
          </w:tcPr>
          <w:p>
            <w:r/>
            <w:r>
              <w:rPr>
                <w:sz w:val="17"/>
              </w:rPr>
              <w:t>09-19 17:33</w:t>
            </w:r>
          </w:p>
        </w:tc>
        <w:tc>
          <w:tcPr>
            <w:tcW w:type="dxa" w:w="2448"/>
          </w:tcPr>
          <w:p>
            <w:r/>
            <w:r>
              <w:rPr>
                <w:sz w:val="17"/>
              </w:rPr>
              <w:t>W 1 / Pre 1 / P 1 / Post 0</w:t>
            </w:r>
          </w:p>
        </w:tc>
        <w:tc>
          <w:tcPr>
            <w:tcW w:type="dxa" w:w="1584"/>
          </w:tcPr>
          <w:p>
            <w:r/>
            <w:r>
              <w:rPr>
                <w:sz w:val="17"/>
              </w:rPr>
              <w:t>75.11 s</w:t>
            </w:r>
          </w:p>
        </w:tc>
        <w:tc>
          <w:tcPr>
            <w:tcW w:type="dxa" w:w="1728"/>
          </w:tcPr>
          <w:p>
            <w:r/>
            <w:r>
              <w:rPr>
                <w:sz w:val="17"/>
              </w:rPr>
              <w:t>no closing check</w:t>
            </w:r>
          </w:p>
        </w:tc>
      </w:tr>
      <w:tr>
        <w:tc>
          <w:tcPr>
            <w:tcW w:type="dxa" w:w="1152"/>
          </w:tcPr>
          <w:p>
            <w:r/>
            <w:r>
              <w:rPr>
                <w:sz w:val="17"/>
              </w:rPr>
              <w:t>P8P2Z9</w:t>
            </w:r>
          </w:p>
        </w:tc>
        <w:tc>
          <w:tcPr>
            <w:tcW w:type="dxa" w:w="720"/>
          </w:tcPr>
          <w:p>
            <w:r/>
            <w:r>
              <w:rPr>
                <w:sz w:val="17"/>
              </w:rPr>
              <w:t>4</w:t>
            </w:r>
          </w:p>
        </w:tc>
        <w:tc>
          <w:tcPr>
            <w:tcW w:type="dxa" w:w="1728"/>
          </w:tcPr>
          <w:p>
            <w:r/>
            <w:r>
              <w:rPr>
                <w:sz w:val="17"/>
              </w:rPr>
              <w:t>09-20 03:18</w:t>
            </w:r>
          </w:p>
        </w:tc>
        <w:tc>
          <w:tcPr>
            <w:tcW w:type="dxa" w:w="2448"/>
          </w:tcPr>
          <w:p>
            <w:r/>
            <w:r>
              <w:rPr>
                <w:sz w:val="17"/>
              </w:rPr>
              <w:t>W 1 / Pre 1 / P 1 / Post 1</w:t>
            </w:r>
          </w:p>
        </w:tc>
        <w:tc>
          <w:tcPr>
            <w:tcW w:type="dxa" w:w="1584"/>
          </w:tcPr>
          <w:p>
            <w:r/>
            <w:r>
              <w:rPr>
                <w:sz w:val="17"/>
              </w:rPr>
              <w:t>674.1 min</w:t>
            </w:r>
          </w:p>
        </w:tc>
        <w:tc>
          <w:tcPr>
            <w:tcW w:type="dxa" w:w="1728"/>
          </w:tcPr>
          <w:p>
            <w:r/>
            <w:r>
              <w:rPr>
                <w:sz w:val="17"/>
              </w:rPr>
              <w:t>paired checks</w:t>
            </w:r>
          </w:p>
        </w:tc>
      </w:tr>
      <w:tr>
        <w:tc>
          <w:tcPr>
            <w:tcW w:type="dxa" w:w="1152"/>
          </w:tcPr>
          <w:p>
            <w:r>
              <w:rPr>
                <w:sz w:val="17"/>
              </w:rPr>
              <w:t>PXG3R9</w:t>
            </w:r>
          </w:p>
        </w:tc>
        <w:tc>
          <w:tcPr>
            <w:tcW w:type="dxa" w:w="720"/>
          </w:tcPr>
          <w:p>
            <w:r>
              <w:rPr>
                <w:sz w:val="17"/>
              </w:rPr>
              <w:t>1</w:t>
            </w:r>
          </w:p>
        </w:tc>
        <w:tc>
          <w:tcPr>
            <w:tcW w:type="dxa" w:w="1728"/>
          </w:tcPr>
          <w:p>
            <w:r>
              <w:rPr>
                <w:sz w:val="17"/>
              </w:rPr>
              <w:t>09-20 03:47</w:t>
            </w:r>
          </w:p>
        </w:tc>
        <w:tc>
          <w:tcPr>
            <w:tcW w:type="dxa" w:w="2448"/>
          </w:tcPr>
          <w:p>
            <w:r>
              <w:rPr>
                <w:sz w:val="17"/>
              </w:rPr>
              <w:t>W 0 / Pre 0 / P 0 / Post 1</w:t>
            </w:r>
          </w:p>
        </w:tc>
        <w:tc>
          <w:tcPr>
            <w:tcW w:type="dxa" w:w="1584"/>
          </w:tcPr>
          <w:p>
            <w:r>
              <w:rPr>
                <w:sz w:val="17"/>
              </w:rPr>
              <w:t>first recorded</w:t>
            </w:r>
          </w:p>
        </w:tc>
        <w:tc>
          <w:tcPr>
            <w:tcW w:type="dxa" w:w="1728"/>
          </w:tcPr>
          <w:p>
            <w:r>
              <w:rPr>
                <w:sz w:val="17"/>
              </w:rPr>
              <w:t>no practice</w:t>
            </w:r>
          </w:p>
        </w:tc>
      </w:tr>
      <w:tr>
        <w:tc>
          <w:tcPr>
            <w:tcW w:type="dxa" w:w="1152"/>
          </w:tcPr>
          <w:p>
            <w:r>
              <w:rPr>
                <w:sz w:val="17"/>
              </w:rPr>
              <w:t>PXG3R9</w:t>
            </w:r>
          </w:p>
        </w:tc>
        <w:tc>
          <w:tcPr>
            <w:tcW w:type="dxa" w:w="720"/>
          </w:tcPr>
          <w:p>
            <w:r>
              <w:rPr>
                <w:sz w:val="17"/>
              </w:rPr>
              <w:t>2</w:t>
            </w:r>
          </w:p>
        </w:tc>
        <w:tc>
          <w:tcPr>
            <w:tcW w:type="dxa" w:w="1728"/>
          </w:tcPr>
          <w:p>
            <w:r>
              <w:rPr>
                <w:sz w:val="17"/>
              </w:rPr>
              <w:t>09-20 03:49</w:t>
            </w:r>
          </w:p>
        </w:tc>
        <w:tc>
          <w:tcPr>
            <w:tcW w:type="dxa" w:w="2448"/>
          </w:tcPr>
          <w:p>
            <w:r>
              <w:rPr>
                <w:sz w:val="17"/>
              </w:rPr>
              <w:t>W 0 / Pre 0 / P 0 / Post 1</w:t>
            </w:r>
          </w:p>
        </w:tc>
        <w:tc>
          <w:tcPr>
            <w:tcW w:type="dxa" w:w="1584"/>
          </w:tcPr>
          <w:p>
            <w:r>
              <w:rPr>
                <w:sz w:val="17"/>
              </w:rPr>
              <w:t>5.31 s</w:t>
            </w:r>
          </w:p>
        </w:tc>
        <w:tc>
          <w:tcPr>
            <w:tcW w:type="dxa" w:w="1728"/>
          </w:tcPr>
          <w:p>
            <w:r>
              <w:rPr>
                <w:sz w:val="17"/>
              </w:rPr>
              <w:t>no practice</w:t>
            </w:r>
          </w:p>
        </w:tc>
      </w:tr>
      <w:tr>
        <w:tc>
          <w:tcPr>
            <w:tcW w:type="dxa" w:w="1152"/>
          </w:tcPr>
          <w:p>
            <w:r>
              <w:rPr>
                <w:sz w:val="17"/>
              </w:rPr>
              <w:t>PXG3R9</w:t>
            </w:r>
          </w:p>
        </w:tc>
        <w:tc>
          <w:tcPr>
            <w:tcW w:type="dxa" w:w="720"/>
          </w:tcPr>
          <w:p>
            <w:r>
              <w:rPr>
                <w:sz w:val="17"/>
              </w:rPr>
              <w:t>3</w:t>
            </w:r>
          </w:p>
        </w:tc>
        <w:tc>
          <w:tcPr>
            <w:tcW w:type="dxa" w:w="1728"/>
          </w:tcPr>
          <w:p>
            <w:r>
              <w:rPr>
                <w:sz w:val="17"/>
              </w:rPr>
              <w:t>09-20 03:49</w:t>
            </w:r>
          </w:p>
        </w:tc>
        <w:tc>
          <w:tcPr>
            <w:tcW w:type="dxa" w:w="2448"/>
          </w:tcPr>
          <w:p>
            <w:r>
              <w:rPr>
                <w:sz w:val="17"/>
              </w:rPr>
              <w:t>W 1 / Pre 1 / P 1 / Post 0</w:t>
            </w:r>
          </w:p>
        </w:tc>
        <w:tc>
          <w:tcPr>
            <w:tcW w:type="dxa" w:w="1584"/>
          </w:tcPr>
          <w:p>
            <w:r>
              <w:rPr>
                <w:sz w:val="17"/>
              </w:rPr>
              <w:t>3.22 s</w:t>
            </w:r>
          </w:p>
        </w:tc>
        <w:tc>
          <w:tcPr>
            <w:tcW w:type="dxa" w:w="1728"/>
          </w:tcPr>
          <w:p>
            <w:r>
              <w:rPr>
                <w:sz w:val="17"/>
              </w:rPr>
              <w:t>no closing check</w:t>
            </w:r>
          </w:p>
        </w:tc>
      </w:tr>
    </w:tbl>
    <w:p>
      <w:pPr/>
      <w:r/>
    </w:p>
    <w:p>
      <w:pPr>
        <w:pStyle w:val="FigureCaption"/>
      </w:pPr>
      <w:r>
        <w:t>Table I.8. Decision audit: the twelve feedback → proposal → applied-settings chains (three stored codes; transition numbers are exported Session_No values, which include warm-ups and checks; pace values are multipliers).</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440"/>
          </w:tcPr>
          <w:p>
            <w:r/>
            <w:r>
              <w:rPr>
                <w:b/>
                <w:sz w:val="15"/>
              </w:rPr>
              <w:t>Code / transition (Session_No)</w:t>
            </w:r>
          </w:p>
        </w:tc>
        <w:tc>
          <w:tcPr>
            <w:tcW w:type="dxa" w:w="1872"/>
          </w:tcPr>
          <w:p>
            <w:r/>
            <w:r>
              <w:rPr>
                <w:b/>
                <w:sz w:val="15"/>
              </w:rPr>
              <w:t>Recorded feedback (difficulty; feeling; reason)</w:t>
            </w:r>
          </w:p>
        </w:tc>
        <w:tc>
          <w:tcPr>
            <w:tcW w:type="dxa" w:w="1728"/>
          </w:tcPr>
          <w:p>
            <w:r/>
            <w:r>
              <w:rPr>
                <w:b/>
                <w:sz w:val="15"/>
              </w:rPr>
              <w:t>Original offline proposal</w:t>
            </w:r>
          </w:p>
        </w:tc>
        <w:tc>
          <w:tcPr>
            <w:tcW w:type="dxa" w:w="1584"/>
          </w:tcPr>
          <w:p>
            <w:r/>
            <w:r>
              <w:rPr>
                <w:b/>
                <w:sz w:val="15"/>
              </w:rPr>
              <w:t>Final applied result</w:t>
            </w:r>
          </w:p>
        </w:tc>
        <w:tc>
          <w:tcPr>
            <w:tcW w:type="dxa" w:w="1296"/>
          </w:tcPr>
          <w:p>
            <w:r/>
            <w:r>
              <w:rPr>
                <w:b/>
                <w:sz w:val="15"/>
              </w:rPr>
              <w:t>Source of final decision</w:t>
            </w:r>
          </w:p>
        </w:tc>
        <w:tc>
          <w:tcPr>
            <w:tcW w:type="dxa" w:w="864"/>
          </w:tcPr>
          <w:p>
            <w:r/>
            <w:r>
              <w:rPr>
                <w:b/>
                <w:sz w:val="15"/>
              </w:rPr>
              <w:t>Chain checks</w:t>
            </w:r>
          </w:p>
        </w:tc>
      </w:tr>
      <w:tr>
        <w:tc>
          <w:tcPr>
            <w:tcW w:type="dxa" w:w="1440"/>
          </w:tcPr>
          <w:p>
            <w:r/>
            <w:r>
              <w:rPr>
                <w:sz w:val="15"/>
              </w:rPr>
              <w:t>P8P2Z9 3 → 4</w:t>
            </w:r>
          </w:p>
        </w:tc>
        <w:tc>
          <w:tcPr>
            <w:tcW w:type="dxa" w:w="1872"/>
          </w:tcPr>
          <w:p>
            <w:r/>
            <w:r>
              <w:rPr>
                <w:sz w:val="15"/>
              </w:rPr>
              <w:t>Hard; frustrated; speed</w:t>
            </w:r>
          </w:p>
        </w:tc>
        <w:tc>
          <w:tcPr>
            <w:tcW w:type="dxa" w:w="1728"/>
          </w:tcPr>
          <w:p>
            <w:r/>
            <w:r>
              <w:rPr>
                <w:sz w:val="15"/>
              </w:rPr>
              <w:t>Easier: 1.20 → 1.08</w:t>
            </w:r>
          </w:p>
        </w:tc>
        <w:tc>
          <w:tcPr>
            <w:tcW w:type="dxa" w:w="1584"/>
          </w:tcPr>
          <w:p>
            <w:r/>
            <w:r>
              <w:rPr>
                <w:sz w:val="15"/>
              </w:rPr>
              <w:t>1.08; look ahead</w:t>
            </w:r>
          </w:p>
        </w:tc>
        <w:tc>
          <w:tcPr>
            <w:tcW w:type="dxa" w:w="1296"/>
          </w:tcPr>
          <w:p>
            <w:r/>
            <w:r>
              <w:rPr>
                <w:sz w:val="15"/>
              </w:rPr>
              <w:t>local rule</w:t>
            </w:r>
          </w:p>
        </w:tc>
        <w:tc>
          <w:tcPr>
            <w:tcW w:type="dxa" w:w="864"/>
          </w:tcPr>
          <w:p>
            <w:r/>
            <w:r>
              <w:rPr>
                <w:sz w:val="15"/>
              </w:rPr>
              <w:t>pass</w:t>
            </w:r>
          </w:p>
        </w:tc>
      </w:tr>
      <w:tr>
        <w:tc>
          <w:tcPr>
            <w:tcW w:type="dxa" w:w="1440"/>
          </w:tcPr>
          <w:p>
            <w:r/>
            <w:r>
              <w:rPr>
                <w:sz w:val="15"/>
              </w:rPr>
              <w:t>P8P2Z9 4 → 5</w:t>
            </w:r>
          </w:p>
        </w:tc>
        <w:tc>
          <w:tcPr>
            <w:tcW w:type="dxa" w:w="1872"/>
          </w:tcPr>
          <w:p>
            <w:r/>
            <w:r>
              <w:rPr>
                <w:sz w:val="15"/>
              </w:rPr>
              <w:t>Right; okay; visibility</w:t>
            </w:r>
          </w:p>
        </w:tc>
        <w:tc>
          <w:tcPr>
            <w:tcW w:type="dxa" w:w="1728"/>
          </w:tcPr>
          <w:p>
            <w:r/>
            <w:r>
              <w:rPr>
                <w:sz w:val="15"/>
              </w:rPr>
              <w:t>Same pace + route guide</w:t>
            </w:r>
          </w:p>
        </w:tc>
        <w:tc>
          <w:tcPr>
            <w:tcW w:type="dxa" w:w="1584"/>
          </w:tcPr>
          <w:p>
            <w:r/>
            <w:r>
              <w:rPr>
                <w:sz w:val="15"/>
              </w:rPr>
              <w:t>1.08; route guide</w:t>
            </w:r>
          </w:p>
        </w:tc>
        <w:tc>
          <w:tcPr>
            <w:tcW w:type="dxa" w:w="1296"/>
          </w:tcPr>
          <w:p>
            <w:r/>
            <w:r>
              <w:rPr>
                <w:sz w:val="15"/>
              </w:rPr>
              <w:t>local rule</w:t>
            </w:r>
          </w:p>
        </w:tc>
        <w:tc>
          <w:tcPr>
            <w:tcW w:type="dxa" w:w="864"/>
          </w:tcPr>
          <w:p>
            <w:r/>
            <w:r>
              <w:rPr>
                <w:sz w:val="15"/>
              </w:rPr>
              <w:t>pass</w:t>
            </w:r>
          </w:p>
        </w:tc>
      </w:tr>
      <w:tr>
        <w:tc>
          <w:tcPr>
            <w:tcW w:type="dxa" w:w="1440"/>
          </w:tcPr>
          <w:p>
            <w:r/>
            <w:r>
              <w:rPr>
                <w:sz w:val="15"/>
              </w:rPr>
              <w:t>P8P2Z9 5 → 6</w:t>
            </w:r>
          </w:p>
        </w:tc>
        <w:tc>
          <w:tcPr>
            <w:tcW w:type="dxa" w:w="1872"/>
          </w:tcPr>
          <w:p>
            <w:r/>
            <w:r>
              <w:rPr>
                <w:sz w:val="15"/>
              </w:rPr>
              <w:t>Right; okay; turns</w:t>
            </w:r>
          </w:p>
        </w:tc>
        <w:tc>
          <w:tcPr>
            <w:tcW w:type="dxa" w:w="1728"/>
          </w:tcPr>
          <w:p>
            <w:r/>
            <w:r>
              <w:rPr>
                <w:sz w:val="15"/>
              </w:rPr>
              <w:t>Same: 1.08</w:t>
            </w:r>
          </w:p>
        </w:tc>
        <w:tc>
          <w:tcPr>
            <w:tcW w:type="dxa" w:w="1584"/>
          </w:tcPr>
          <w:p>
            <w:r/>
            <w:r>
              <w:rPr>
                <w:sz w:val="15"/>
              </w:rPr>
              <w:t>1.08;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P8P2Z9 6 → 7</w:t>
            </w:r>
          </w:p>
        </w:tc>
        <w:tc>
          <w:tcPr>
            <w:tcW w:type="dxa" w:w="1872"/>
          </w:tcPr>
          <w:p>
            <w:r/>
            <w:r>
              <w:rPr>
                <w:sz w:val="15"/>
              </w:rPr>
              <w:t>Easy; okay; turns</w:t>
            </w:r>
          </w:p>
        </w:tc>
        <w:tc>
          <w:tcPr>
            <w:tcW w:type="dxa" w:w="1728"/>
          </w:tcPr>
          <w:p>
            <w:r/>
            <w:r>
              <w:rPr>
                <w:sz w:val="15"/>
              </w:rPr>
              <w:t>Harder: 1.08 → 1.18</w:t>
            </w:r>
          </w:p>
        </w:tc>
        <w:tc>
          <w:tcPr>
            <w:tcW w:type="dxa" w:w="1584"/>
          </w:tcPr>
          <w:p>
            <w:r/>
            <w:r>
              <w:rPr>
                <w:sz w:val="15"/>
              </w:rPr>
              <w:t>1.18;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P8P2Z9 7 → 8</w:t>
            </w:r>
          </w:p>
        </w:tc>
        <w:tc>
          <w:tcPr>
            <w:tcW w:type="dxa" w:w="1872"/>
          </w:tcPr>
          <w:p>
            <w:r/>
            <w:r>
              <w:rPr>
                <w:sz w:val="15"/>
              </w:rPr>
              <w:t>Right; okay; visibility</w:t>
            </w:r>
          </w:p>
        </w:tc>
        <w:tc>
          <w:tcPr>
            <w:tcW w:type="dxa" w:w="1728"/>
          </w:tcPr>
          <w:p>
            <w:r/>
            <w:r>
              <w:rPr>
                <w:sz w:val="15"/>
              </w:rPr>
              <w:t>Same pace + route guide</w:t>
            </w:r>
          </w:p>
        </w:tc>
        <w:tc>
          <w:tcPr>
            <w:tcW w:type="dxa" w:w="1584"/>
          </w:tcPr>
          <w:p>
            <w:r/>
            <w:r>
              <w:rPr>
                <w:sz w:val="15"/>
              </w:rPr>
              <w:t>1.18; route guide</w:t>
            </w:r>
          </w:p>
        </w:tc>
        <w:tc>
          <w:tcPr>
            <w:tcW w:type="dxa" w:w="1296"/>
          </w:tcPr>
          <w:p>
            <w:r/>
            <w:r>
              <w:rPr>
                <w:sz w:val="15"/>
              </w:rPr>
              <w:t>local rule</w:t>
            </w:r>
          </w:p>
        </w:tc>
        <w:tc>
          <w:tcPr>
            <w:tcW w:type="dxa" w:w="864"/>
          </w:tcPr>
          <w:p>
            <w:r/>
            <w:r>
              <w:rPr>
                <w:sz w:val="15"/>
              </w:rPr>
              <w:t>pass</w:t>
            </w:r>
          </w:p>
        </w:tc>
      </w:tr>
      <w:tr>
        <w:tc>
          <w:tcPr>
            <w:tcW w:type="dxa" w:w="1440"/>
          </w:tcPr>
          <w:p>
            <w:r/>
            <w:r>
              <w:rPr>
                <w:sz w:val="15"/>
              </w:rPr>
              <w:t>P8P2Z9 8 → 9</w:t>
            </w:r>
          </w:p>
        </w:tc>
        <w:tc>
          <w:tcPr>
            <w:tcW w:type="dxa" w:w="1872"/>
          </w:tcPr>
          <w:p>
            <w:r/>
            <w:r>
              <w:rPr>
                <w:sz w:val="15"/>
              </w:rPr>
              <w:t>Hard; okay; turns</w:t>
            </w:r>
          </w:p>
        </w:tc>
        <w:tc>
          <w:tcPr>
            <w:tcW w:type="dxa" w:w="1728"/>
          </w:tcPr>
          <w:p>
            <w:r/>
            <w:r>
              <w:rPr>
                <w:sz w:val="15"/>
              </w:rPr>
              <w:t>Easier: 1.18 → 1.06</w:t>
            </w:r>
          </w:p>
        </w:tc>
        <w:tc>
          <w:tcPr>
            <w:tcW w:type="dxa" w:w="1584"/>
          </w:tcPr>
          <w:p>
            <w:r/>
            <w:r>
              <w:rPr>
                <w:sz w:val="15"/>
              </w:rPr>
              <w:t>1.06;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PT8FJC 3 → 4</w:t>
            </w:r>
          </w:p>
        </w:tc>
        <w:tc>
          <w:tcPr>
            <w:tcW w:type="dxa" w:w="1872"/>
          </w:tcPr>
          <w:p>
            <w:r/>
            <w:r>
              <w:rPr>
                <w:sz w:val="15"/>
              </w:rPr>
              <w:t>Right; okay; speed</w:t>
            </w:r>
          </w:p>
        </w:tc>
        <w:tc>
          <w:tcPr>
            <w:tcW w:type="dxa" w:w="1728"/>
          </w:tcPr>
          <w:p>
            <w:r/>
            <w:r>
              <w:rPr>
                <w:sz w:val="15"/>
              </w:rPr>
              <w:t>Easier: 1.20 → 1.08</w:t>
            </w:r>
          </w:p>
        </w:tc>
        <w:tc>
          <w:tcPr>
            <w:tcW w:type="dxa" w:w="1584"/>
          </w:tcPr>
          <w:p>
            <w:r/>
            <w:r>
              <w:rPr>
                <w:sz w:val="15"/>
              </w:rPr>
              <w:t>Player override: 1.30</w:t>
            </w:r>
          </w:p>
        </w:tc>
        <w:tc>
          <w:tcPr>
            <w:tcW w:type="dxa" w:w="1296"/>
          </w:tcPr>
          <w:p>
            <w:r/>
            <w:r>
              <w:rPr>
                <w:sz w:val="15"/>
              </w:rPr>
              <w:t>player override</w:t>
            </w:r>
          </w:p>
        </w:tc>
        <w:tc>
          <w:tcPr>
            <w:tcW w:type="dxa" w:w="864"/>
          </w:tcPr>
          <w:p>
            <w:r/>
            <w:r>
              <w:rPr>
                <w:sz w:val="15"/>
              </w:rPr>
              <w:t>pass</w:t>
            </w:r>
          </w:p>
        </w:tc>
      </w:tr>
      <w:tr>
        <w:tc>
          <w:tcPr>
            <w:tcW w:type="dxa" w:w="1440"/>
          </w:tcPr>
          <w:p>
            <w:r/>
            <w:r>
              <w:rPr>
                <w:sz w:val="15"/>
              </w:rPr>
              <w:t>PT8FJC 4 → 5</w:t>
            </w:r>
          </w:p>
        </w:tc>
        <w:tc>
          <w:tcPr>
            <w:tcW w:type="dxa" w:w="1872"/>
          </w:tcPr>
          <w:p>
            <w:r/>
            <w:r>
              <w:rPr>
                <w:sz w:val="15"/>
              </w:rPr>
              <w:t>Right; enjoying; coins</w:t>
            </w:r>
          </w:p>
        </w:tc>
        <w:tc>
          <w:tcPr>
            <w:tcW w:type="dxa" w:w="1728"/>
          </w:tcPr>
          <w:p>
            <w:r/>
            <w:r>
              <w:rPr>
                <w:sz w:val="15"/>
              </w:rPr>
              <w:t>Same: 1.30</w:t>
            </w:r>
          </w:p>
        </w:tc>
        <w:tc>
          <w:tcPr>
            <w:tcW w:type="dxa" w:w="1584"/>
          </w:tcPr>
          <w:p>
            <w:r/>
            <w:r>
              <w:rPr>
                <w:sz w:val="15"/>
              </w:rPr>
              <w:t>Player override: 1.40</w:t>
            </w:r>
          </w:p>
        </w:tc>
        <w:tc>
          <w:tcPr>
            <w:tcW w:type="dxa" w:w="1296"/>
          </w:tcPr>
          <w:p>
            <w:r/>
            <w:r>
              <w:rPr>
                <w:sz w:val="15"/>
              </w:rPr>
              <w:t>player override</w:t>
            </w:r>
          </w:p>
        </w:tc>
        <w:tc>
          <w:tcPr>
            <w:tcW w:type="dxa" w:w="864"/>
          </w:tcPr>
          <w:p>
            <w:r/>
            <w:r>
              <w:rPr>
                <w:sz w:val="15"/>
              </w:rPr>
              <w:t>pass</w:t>
            </w:r>
          </w:p>
        </w:tc>
      </w:tr>
      <w:tr>
        <w:tc>
          <w:tcPr>
            <w:tcW w:type="dxa" w:w="1440"/>
          </w:tcPr>
          <w:p>
            <w:r/>
            <w:r>
              <w:rPr>
                <w:sz w:val="15"/>
              </w:rPr>
              <w:t>PT8FJC 5 → 6</w:t>
            </w:r>
          </w:p>
        </w:tc>
        <w:tc>
          <w:tcPr>
            <w:tcW w:type="dxa" w:w="1872"/>
          </w:tcPr>
          <w:p>
            <w:r/>
            <w:r>
              <w:rPr>
                <w:sz w:val="15"/>
              </w:rPr>
              <w:t>Right; enjoying; more challenge</w:t>
            </w:r>
          </w:p>
        </w:tc>
        <w:tc>
          <w:tcPr>
            <w:tcW w:type="dxa" w:w="1728"/>
          </w:tcPr>
          <w:p>
            <w:r/>
            <w:r>
              <w:rPr>
                <w:sz w:val="15"/>
              </w:rPr>
              <w:t>Harder: 1.40 → 1.50</w:t>
            </w:r>
          </w:p>
        </w:tc>
        <w:tc>
          <w:tcPr>
            <w:tcW w:type="dxa" w:w="1584"/>
          </w:tcPr>
          <w:p>
            <w:r/>
            <w:r>
              <w:rPr>
                <w:sz w:val="15"/>
              </w:rPr>
              <w:t>1.50; safe coins</w:t>
            </w:r>
          </w:p>
        </w:tc>
        <w:tc>
          <w:tcPr>
            <w:tcW w:type="dxa" w:w="1296"/>
          </w:tcPr>
          <w:p>
            <w:r/>
            <w:r>
              <w:rPr>
                <w:sz w:val="15"/>
              </w:rPr>
              <w:t>local rule</w:t>
            </w:r>
          </w:p>
        </w:tc>
        <w:tc>
          <w:tcPr>
            <w:tcW w:type="dxa" w:w="864"/>
          </w:tcPr>
          <w:p>
            <w:r/>
            <w:r>
              <w:rPr>
                <w:sz w:val="15"/>
              </w:rPr>
              <w:t>pass</w:t>
            </w:r>
          </w:p>
        </w:tc>
      </w:tr>
      <w:tr>
        <w:tc>
          <w:tcPr>
            <w:tcW w:type="dxa" w:w="1440"/>
          </w:tcPr>
          <w:p>
            <w:r/>
            <w:r>
              <w:rPr>
                <w:sz w:val="15"/>
              </w:rPr>
              <w:t>PT8FJC 6 → 7</w:t>
            </w:r>
          </w:p>
        </w:tc>
        <w:tc>
          <w:tcPr>
            <w:tcW w:type="dxa" w:w="1872"/>
          </w:tcPr>
          <w:p>
            <w:r/>
            <w:r>
              <w:rPr>
                <w:sz w:val="15"/>
              </w:rPr>
              <w:t>Right; enjoying; coins</w:t>
            </w:r>
          </w:p>
        </w:tc>
        <w:tc>
          <w:tcPr>
            <w:tcW w:type="dxa" w:w="1728"/>
          </w:tcPr>
          <w:p>
            <w:r/>
            <w:r>
              <w:rPr>
                <w:sz w:val="15"/>
              </w:rPr>
              <w:t>Same: 1.50</w:t>
            </w:r>
          </w:p>
        </w:tc>
        <w:tc>
          <w:tcPr>
            <w:tcW w:type="dxa" w:w="1584"/>
          </w:tcPr>
          <w:p>
            <w:r/>
            <w:r>
              <w:rPr>
                <w:sz w:val="15"/>
              </w:rPr>
              <w:t>Player override: 1.60</w:t>
            </w:r>
          </w:p>
        </w:tc>
        <w:tc>
          <w:tcPr>
            <w:tcW w:type="dxa" w:w="1296"/>
          </w:tcPr>
          <w:p>
            <w:r/>
            <w:r>
              <w:rPr>
                <w:sz w:val="15"/>
              </w:rPr>
              <w:t>player override</w:t>
            </w:r>
          </w:p>
        </w:tc>
        <w:tc>
          <w:tcPr>
            <w:tcW w:type="dxa" w:w="864"/>
          </w:tcPr>
          <w:p>
            <w:r/>
            <w:r>
              <w:rPr>
                <w:sz w:val="15"/>
              </w:rPr>
              <w:t>pass</w:t>
            </w:r>
          </w:p>
        </w:tc>
      </w:tr>
      <w:tr>
        <w:tc>
          <w:tcPr>
            <w:tcW w:type="dxa" w:w="1440"/>
          </w:tcPr>
          <w:p>
            <w:r>
              <w:rPr>
                <w:sz w:val="15"/>
              </w:rPr>
              <w:t>PFWU9V 3 → 4</w:t>
            </w:r>
          </w:p>
        </w:tc>
        <w:tc>
          <w:tcPr>
            <w:tcW w:type="dxa" w:w="1872"/>
          </w:tcPr>
          <w:p>
            <w:r>
              <w:rPr>
                <w:sz w:val="15"/>
              </w:rPr>
              <w:t>Right; enjoying; speed</w:t>
            </w:r>
          </w:p>
        </w:tc>
        <w:tc>
          <w:tcPr>
            <w:tcW w:type="dxa" w:w="1728"/>
          </w:tcPr>
          <w:p>
            <w:r>
              <w:rPr>
                <w:sz w:val="15"/>
              </w:rPr>
              <w:t>Easier: 0.68 → 0.56</w:t>
            </w:r>
          </w:p>
        </w:tc>
        <w:tc>
          <w:tcPr>
            <w:tcW w:type="dxa" w:w="1584"/>
          </w:tcPr>
          <w:p>
            <w:r>
              <w:rPr>
                <w:sz w:val="15"/>
              </w:rPr>
              <w:t>0.56; look ahead</w:t>
            </w:r>
          </w:p>
        </w:tc>
        <w:tc>
          <w:tcPr>
            <w:tcW w:type="dxa" w:w="1296"/>
          </w:tcPr>
          <w:p>
            <w:r>
              <w:rPr>
                <w:sz w:val="15"/>
              </w:rPr>
              <w:t>local rule</w:t>
            </w:r>
          </w:p>
        </w:tc>
        <w:tc>
          <w:tcPr>
            <w:tcW w:type="dxa" w:w="864"/>
          </w:tcPr>
          <w:p>
            <w:r>
              <w:rPr>
                <w:sz w:val="15"/>
              </w:rPr>
              <w:t>pass</w:t>
            </w:r>
          </w:p>
        </w:tc>
      </w:tr>
      <w:tr>
        <w:tc>
          <w:tcPr>
            <w:tcW w:type="dxa" w:w="1440"/>
          </w:tcPr>
          <w:p>
            <w:r>
              <w:rPr>
                <w:sz w:val="15"/>
              </w:rPr>
              <w:t>PFWU9V 4 → 5</w:t>
            </w:r>
          </w:p>
        </w:tc>
        <w:tc>
          <w:tcPr>
            <w:tcW w:type="dxa" w:w="1872"/>
          </w:tcPr>
          <w:p>
            <w:r>
              <w:rPr>
                <w:sz w:val="15"/>
              </w:rPr>
              <w:t>Easy; okay; other</w:t>
            </w:r>
          </w:p>
        </w:tc>
        <w:tc>
          <w:tcPr>
            <w:tcW w:type="dxa" w:w="1728"/>
          </w:tcPr>
          <w:p>
            <w:r>
              <w:rPr>
                <w:sz w:val="15"/>
              </w:rPr>
              <w:t>Harder: 0.56 → 0.66</w:t>
            </w:r>
          </w:p>
        </w:tc>
        <w:tc>
          <w:tcPr>
            <w:tcW w:type="dxa" w:w="1584"/>
          </w:tcPr>
          <w:p>
            <w:r>
              <w:rPr>
                <w:sz w:val="15"/>
              </w:rPr>
              <w:t>0.66; look ahead</w:t>
            </w:r>
          </w:p>
        </w:tc>
        <w:tc>
          <w:tcPr>
            <w:tcW w:type="dxa" w:w="1296"/>
          </w:tcPr>
          <w:p>
            <w:r>
              <w:rPr>
                <w:sz w:val="15"/>
              </w:rPr>
              <w:t>local rule</w:t>
            </w:r>
          </w:p>
        </w:tc>
        <w:tc>
          <w:tcPr>
            <w:tcW w:type="dxa" w:w="864"/>
          </w:tcPr>
          <w:p>
            <w:r>
              <w:rPr>
                <w:sz w:val="15"/>
              </w:rPr>
              <w:t>pass</w:t>
            </w:r>
          </w:p>
        </w:tc>
      </w:tr>
    </w:tbl>
    <w:p>
      <w:pPr/>
      <w:r/>
    </w:p>
    <w:p>
      <w:pPr>
        <w:jc w:val="center"/>
      </w:pPr>
      <w:r>
        <w:drawing>
          <wp:inline>
            <wp:extent cx="5120640" cy="3138457"/>
            <wp:docPr id="42" name="Picture 42" descr="Figure I.2. Pace multiplier applied to successive practice runs after each feedback → proposal → decision chain (twelve chains, three codes, visit 1)."/>
            <wp:cNvGraphicFramePr>
              <a:graphicFrameLocks noChangeAspect="1"/>
            </wp:cNvGraphicFramePr>
            <a:graphic>
              <a:graphicData uri="http://schemas.openxmlformats.org/drawingml/2006/picture">
                <pic:pic>
                  <pic:nvPicPr>
                    <pic:cNvPr id="0" name="fig_I_2.png"/>
                    <pic:cNvPicPr/>
                  </pic:nvPicPr>
                  <pic:blipFill>
                    <a:blip r:embed="rId51"/>
                    <a:stretch>
                      <a:fillRect/>
                    </a:stretch>
                  </pic:blipFill>
                  <pic:spPr>
                    <a:xfrm>
                      <a:off x="0" y="0"/>
                      <a:ext cx="5120640" cy="3138457"/>
                    </a:xfrm>
                    <a:prstGeom prst="rect"/>
                  </pic:spPr>
                </pic:pic>
              </a:graphicData>
            </a:graphic>
          </wp:inline>
        </w:drawing>
      </w:r>
    </w:p>
    <w:p>
      <w:pPr>
        <w:pStyle w:val="FigureCaption"/>
      </w:pPr>
      <w:r>
        <w:t>Figure I.2. Pace multiplier applied to successive practice runs after each feedback → proposal → decision chain (twelve chains, three codes, visit 1). Filled markers: final decision from the local rule; open markers: player override. The PT8FJC progression from 1.20 to 1.60 comprises three player overrides and one local-rule increase; it is not four AI-selected increases. No external model was called.</w:t>
      </w:r>
    </w:p>
    <w:p>
      <w:pPr>
        <w:pStyle w:val="FigureCaption"/>
      </w:pPr>
      <w:r>
        <w:t>Table I.9. Paired fixed-course checks (opening → closing, within visit; pace ×0.85, 20 obstacles, 30-s planned duration, same input mode within each pair; course forms differ within each pair).</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417"/>
          </w:tcPr>
          <w:p>
            <w:r/>
            <w:r>
              <w:rPr>
                <w:b/>
                <w:sz w:val="17"/>
              </w:rPr>
              <w:t>Code / visit</w:t>
            </w:r>
          </w:p>
        </w:tc>
        <w:tc>
          <w:tcPr>
            <w:tcW w:type="dxa" w:w="1417"/>
          </w:tcPr>
          <w:p>
            <w:r/>
            <w:r>
              <w:rPr>
                <w:b/>
                <w:sz w:val="17"/>
              </w:rPr>
              <w:t>Course forms (opening → closing)</w:t>
            </w:r>
          </w:p>
        </w:tc>
        <w:tc>
          <w:tcPr>
            <w:tcW w:type="dxa" w:w="1417"/>
          </w:tcPr>
          <w:p>
            <w:r/>
            <w:r>
              <w:rPr>
                <w:b/>
                <w:sz w:val="17"/>
              </w:rPr>
              <w:t>Clearance opening → closing</w:t>
            </w:r>
          </w:p>
        </w:tc>
        <w:tc>
          <w:tcPr>
            <w:tcW w:type="dxa" w:w="1417"/>
          </w:tcPr>
          <w:p>
            <w:r/>
            <w:r>
              <w:rPr>
                <w:b/>
                <w:sz w:val="17"/>
              </w:rPr>
              <w:t>Change (pp)</w:t>
            </w:r>
          </w:p>
        </w:tc>
        <w:tc>
          <w:tcPr>
            <w:tcW w:type="dxa" w:w="1417"/>
          </w:tcPr>
          <w:p>
            <w:r/>
            <w:r>
              <w:rPr>
                <w:b/>
                <w:sz w:val="17"/>
              </w:rPr>
              <w:t>Coins opening → closing</w:t>
            </w:r>
          </w:p>
        </w:tc>
        <w:tc>
          <w:tcPr>
            <w:tcW w:type="dxa" w:w="1417"/>
          </w:tcPr>
          <w:p>
            <w:r/>
            <w:r>
              <w:rPr>
                <w:b/>
                <w:sz w:val="17"/>
              </w:rPr>
              <w:t>Build stamp</w:t>
            </w:r>
          </w:p>
        </w:tc>
      </w:tr>
      <w:tr>
        <w:tc>
          <w:tcPr>
            <w:tcW w:type="dxa" w:w="1417"/>
          </w:tcPr>
          <w:p>
            <w:r/>
            <w:r>
              <w:rPr>
                <w:sz w:val="17"/>
              </w:rPr>
              <w:t>P8P2Z9 / 1</w:t>
            </w:r>
          </w:p>
        </w:tc>
        <w:tc>
          <w:tcPr>
            <w:tcW w:type="dxa" w:w="1417"/>
          </w:tcPr>
          <w:p>
            <w:r/>
            <w:r>
              <w:rPr>
                <w:sz w:val="17"/>
              </w:rPr>
              <w:t>7043 → 7043m</w:t>
            </w:r>
          </w:p>
        </w:tc>
        <w:tc>
          <w:tcPr>
            <w:tcW w:type="dxa" w:w="1417"/>
          </w:tcPr>
          <w:p>
            <w:r/>
            <w:r>
              <w:rPr>
                <w:sz w:val="17"/>
              </w:rPr>
              <w:t>100% → 90%</w:t>
            </w:r>
          </w:p>
        </w:tc>
        <w:tc>
          <w:tcPr>
            <w:tcW w:type="dxa" w:w="1417"/>
          </w:tcPr>
          <w:p>
            <w:r/>
            <w:r>
              <w:rPr>
                <w:sz w:val="17"/>
              </w:rPr>
              <w:t>−10</w:t>
            </w:r>
          </w:p>
        </w:tc>
        <w:tc>
          <w:tcPr>
            <w:tcW w:type="dxa" w:w="1417"/>
          </w:tcPr>
          <w:p>
            <w:r/>
            <w:r>
              <w:rPr>
                <w:sz w:val="17"/>
              </w:rPr>
              <w:t>15 → 14</w:t>
            </w:r>
          </w:p>
        </w:tc>
        <w:tc>
          <w:tcPr>
            <w:tcW w:type="dxa" w:w="1417"/>
          </w:tcPr>
          <w:p>
            <w:r/>
            <w:r>
              <w:rPr>
                <w:sz w:val="17"/>
              </w:rPr>
              <w:t>v4.1</w:t>
            </w:r>
          </w:p>
        </w:tc>
      </w:tr>
      <w:tr>
        <w:tc>
          <w:tcPr>
            <w:tcW w:type="dxa" w:w="1417"/>
          </w:tcPr>
          <w:p>
            <w:r/>
            <w:r>
              <w:rPr>
                <w:sz w:val="17"/>
              </w:rPr>
              <w:t>PT8FJC / 1</w:t>
            </w:r>
          </w:p>
        </w:tc>
        <w:tc>
          <w:tcPr>
            <w:tcW w:type="dxa" w:w="1417"/>
          </w:tcPr>
          <w:p>
            <w:r/>
            <w:r>
              <w:rPr>
                <w:sz w:val="17"/>
              </w:rPr>
              <w:t>7043 → 7043m</w:t>
            </w:r>
          </w:p>
        </w:tc>
        <w:tc>
          <w:tcPr>
            <w:tcW w:type="dxa" w:w="1417"/>
          </w:tcPr>
          <w:p>
            <w:r/>
            <w:r>
              <w:rPr>
                <w:sz w:val="17"/>
              </w:rPr>
              <w:t>95% → 100%</w:t>
            </w:r>
          </w:p>
        </w:tc>
        <w:tc>
          <w:tcPr>
            <w:tcW w:type="dxa" w:w="1417"/>
          </w:tcPr>
          <w:p>
            <w:r/>
            <w:r>
              <w:rPr>
                <w:sz w:val="17"/>
              </w:rPr>
              <w:t>+5</w:t>
            </w:r>
          </w:p>
        </w:tc>
        <w:tc>
          <w:tcPr>
            <w:tcW w:type="dxa" w:w="1417"/>
          </w:tcPr>
          <w:p>
            <w:r/>
            <w:r>
              <w:rPr>
                <w:sz w:val="17"/>
              </w:rPr>
              <w:t>15 → 15</w:t>
            </w:r>
          </w:p>
        </w:tc>
        <w:tc>
          <w:tcPr>
            <w:tcW w:type="dxa" w:w="1417"/>
          </w:tcPr>
          <w:p>
            <w:r/>
            <w:r>
              <w:rPr>
                <w:sz w:val="17"/>
              </w:rPr>
              <w:t>v4.1</w:t>
            </w:r>
          </w:p>
        </w:tc>
      </w:tr>
      <w:tr>
        <w:tc>
          <w:tcPr>
            <w:tcW w:type="dxa" w:w="1417"/>
          </w:tcPr>
          <w:p>
            <w:r/>
            <w:r>
              <w:rPr>
                <w:sz w:val="17"/>
              </w:rPr>
              <w:t>PEVNZ8 / 1</w:t>
            </w:r>
          </w:p>
        </w:tc>
        <w:tc>
          <w:tcPr>
            <w:tcW w:type="dxa" w:w="1417"/>
          </w:tcPr>
          <w:p>
            <w:r/>
            <w:r>
              <w:rPr>
                <w:sz w:val="17"/>
              </w:rPr>
              <w:t>7043 → 7043m</w:t>
            </w:r>
          </w:p>
        </w:tc>
        <w:tc>
          <w:tcPr>
            <w:tcW w:type="dxa" w:w="1417"/>
          </w:tcPr>
          <w:p>
            <w:r/>
            <w:r>
              <w:rPr>
                <w:sz w:val="17"/>
              </w:rPr>
              <w:t>95% → 90%</w:t>
            </w:r>
          </w:p>
        </w:tc>
        <w:tc>
          <w:tcPr>
            <w:tcW w:type="dxa" w:w="1417"/>
          </w:tcPr>
          <w:p>
            <w:r/>
            <w:r>
              <w:rPr>
                <w:sz w:val="17"/>
              </w:rPr>
              <w:t>−5</w:t>
            </w:r>
          </w:p>
        </w:tc>
        <w:tc>
          <w:tcPr>
            <w:tcW w:type="dxa" w:w="1417"/>
          </w:tcPr>
          <w:p>
            <w:r/>
            <w:r>
              <w:rPr>
                <w:sz w:val="17"/>
              </w:rPr>
              <w:t>12 → 11</w:t>
            </w:r>
          </w:p>
        </w:tc>
        <w:tc>
          <w:tcPr>
            <w:tcW w:type="dxa" w:w="1417"/>
          </w:tcPr>
          <w:p>
            <w:r/>
            <w:r>
              <w:rPr>
                <w:sz w:val="17"/>
              </w:rPr>
              <w:t>v4.1</w:t>
            </w:r>
          </w:p>
        </w:tc>
      </w:tr>
      <w:tr>
        <w:tc>
          <w:tcPr>
            <w:tcW w:type="dxa" w:w="1417"/>
          </w:tcPr>
          <w:p>
            <w:r/>
            <w:r>
              <w:rPr>
                <w:sz w:val="17"/>
              </w:rPr>
              <w:t>PZTPCG / 1</w:t>
            </w:r>
          </w:p>
        </w:tc>
        <w:tc>
          <w:tcPr>
            <w:tcW w:type="dxa" w:w="1417"/>
          </w:tcPr>
          <w:p>
            <w:r/>
            <w:r>
              <w:rPr>
                <w:sz w:val="17"/>
              </w:rPr>
              <w:t>7043 → 7043m</w:t>
            </w:r>
          </w:p>
        </w:tc>
        <w:tc>
          <w:tcPr>
            <w:tcW w:type="dxa" w:w="1417"/>
          </w:tcPr>
          <w:p>
            <w:r/>
            <w:r>
              <w:rPr>
                <w:sz w:val="17"/>
              </w:rPr>
              <w:t>100% → 100%</w:t>
            </w:r>
          </w:p>
        </w:tc>
        <w:tc>
          <w:tcPr>
            <w:tcW w:type="dxa" w:w="1417"/>
          </w:tcPr>
          <w:p>
            <w:r/>
            <w:r>
              <w:rPr>
                <w:sz w:val="17"/>
              </w:rPr>
              <w:t>0</w:t>
            </w:r>
          </w:p>
        </w:tc>
        <w:tc>
          <w:tcPr>
            <w:tcW w:type="dxa" w:w="1417"/>
          </w:tcPr>
          <w:p>
            <w:r/>
            <w:r>
              <w:rPr>
                <w:sz w:val="17"/>
              </w:rPr>
              <w:t>14 → 15</w:t>
            </w:r>
          </w:p>
        </w:tc>
        <w:tc>
          <w:tcPr>
            <w:tcW w:type="dxa" w:w="1417"/>
          </w:tcPr>
          <w:p>
            <w:r/>
            <w:r>
              <w:rPr>
                <w:sz w:val="17"/>
              </w:rPr>
              <w:t>v4.1</w:t>
            </w:r>
          </w:p>
        </w:tc>
      </w:tr>
      <w:tr>
        <w:tc>
          <w:tcPr>
            <w:tcW w:type="dxa" w:w="1417"/>
          </w:tcPr>
          <w:p>
            <w:r/>
            <w:r>
              <w:rPr>
                <w:sz w:val="17"/>
              </w:rPr>
              <w:t>P8P2Z9 / 4</w:t>
            </w:r>
          </w:p>
        </w:tc>
        <w:tc>
          <w:tcPr>
            <w:tcW w:type="dxa" w:w="1417"/>
          </w:tcPr>
          <w:p>
            <w:r/>
            <w:r>
              <w:rPr>
                <w:sz w:val="17"/>
              </w:rPr>
              <w:t>7051m → 7051</w:t>
            </w:r>
          </w:p>
        </w:tc>
        <w:tc>
          <w:tcPr>
            <w:tcW w:type="dxa" w:w="1417"/>
          </w:tcPr>
          <w:p>
            <w:r/>
            <w:r>
              <w:rPr>
                <w:sz w:val="17"/>
              </w:rPr>
              <w:t>80% → 90%</w:t>
            </w:r>
          </w:p>
        </w:tc>
        <w:tc>
          <w:tcPr>
            <w:tcW w:type="dxa" w:w="1417"/>
          </w:tcPr>
          <w:p>
            <w:r/>
            <w:r>
              <w:rPr>
                <w:sz w:val="17"/>
              </w:rPr>
              <w:t>+10</w:t>
            </w:r>
          </w:p>
        </w:tc>
        <w:tc>
          <w:tcPr>
            <w:tcW w:type="dxa" w:w="1417"/>
          </w:tcPr>
          <w:p>
            <w:r/>
            <w:r>
              <w:rPr>
                <w:sz w:val="17"/>
              </w:rPr>
              <w:t>17 → 14</w:t>
            </w:r>
          </w:p>
        </w:tc>
        <w:tc>
          <w:tcPr>
            <w:tcW w:type="dxa" w:w="1417"/>
          </w:tcPr>
          <w:p>
            <w:r/>
            <w:r>
              <w:rPr>
                <w:sz w:val="17"/>
              </w:rPr>
              <w:t>v4.1.1</w:t>
            </w:r>
          </w:p>
        </w:tc>
      </w:tr>
      <w:tr>
        <w:tc>
          <w:tcPr>
            <w:tcW w:type="dxa" w:w="1417"/>
          </w:tcPr>
          <w:p>
            <w:r>
              <w:rPr>
                <w:sz w:val="17"/>
              </w:rPr>
              <w:t>PFWU9V / 1</w:t>
            </w:r>
          </w:p>
        </w:tc>
        <w:tc>
          <w:tcPr>
            <w:tcW w:type="dxa" w:w="1417"/>
          </w:tcPr>
          <w:p>
            <w:r>
              <w:rPr>
                <w:sz w:val="17"/>
              </w:rPr>
              <w:t>7043 → 7043m</w:t>
            </w:r>
          </w:p>
        </w:tc>
        <w:tc>
          <w:tcPr>
            <w:tcW w:type="dxa" w:w="1417"/>
          </w:tcPr>
          <w:p>
            <w:r>
              <w:rPr>
                <w:sz w:val="17"/>
              </w:rPr>
              <w:t>80% → 90%</w:t>
            </w:r>
          </w:p>
        </w:tc>
        <w:tc>
          <w:tcPr>
            <w:tcW w:type="dxa" w:w="1417"/>
          </w:tcPr>
          <w:p>
            <w:r>
              <w:rPr>
                <w:sz w:val="17"/>
              </w:rPr>
              <w:t>+10</w:t>
            </w:r>
          </w:p>
        </w:tc>
        <w:tc>
          <w:tcPr>
            <w:tcW w:type="dxa" w:w="1417"/>
          </w:tcPr>
          <w:p>
            <w:r>
              <w:rPr>
                <w:sz w:val="17"/>
              </w:rPr>
              <w:t>5 → 4</w:t>
            </w:r>
          </w:p>
        </w:tc>
        <w:tc>
          <w:tcPr>
            <w:tcW w:type="dxa" w:w="1417"/>
          </w:tcPr>
          <w:p>
            <w:r>
              <w:rPr>
                <w:sz w:val="17"/>
              </w:rPr>
              <w:t>v4.1</w:t>
            </w:r>
          </w:p>
        </w:tc>
      </w:tr>
    </w:tbl>
    <w:p>
      <w:pPr/>
      <w:r/>
    </w:p>
    <w:p>
      <w:pPr>
        <w:jc w:val="center"/>
      </w:pPr>
      <w:r>
        <w:drawing>
          <wp:inline>
            <wp:extent cx="4937760" cy="3504217"/>
            <wp:docPr id="43" name="Picture 43" descr="Figure I.3. Obstacle-clearance rate on the opening and closing fixed-course checks, Pro record (six pairs, five stored codes, including PFWU9V received on 29 September 2026; pace ×0.85, 20 obstacles, 30 s)."/>
            <wp:cNvGraphicFramePr>
              <a:graphicFrameLocks noChangeAspect="1"/>
            </wp:cNvGraphicFramePr>
            <a:graphic>
              <a:graphicData uri="http://schemas.openxmlformats.org/drawingml/2006/picture">
                <pic:pic>
                  <pic:nvPicPr>
                    <pic:cNvPr id="0" name="fig_I_1.png"/>
                    <pic:cNvPicPr/>
                  </pic:nvPicPr>
                  <pic:blipFill>
                    <a:blip r:embed="rId52"/>
                    <a:stretch>
                      <a:fillRect/>
                    </a:stretch>
                  </pic:blipFill>
                  <pic:spPr>
                    <a:xfrm>
                      <a:off x="0" y="0"/>
                      <a:ext cx="4937760" cy="3504217"/>
                    </a:xfrm>
                    <a:prstGeom prst="rect"/>
                  </pic:spPr>
                </pic:pic>
              </a:graphicData>
            </a:graphic>
          </wp:inline>
        </w:drawing>
      </w:r>
    </w:p>
    <w:p>
      <w:pPr>
        <w:pStyle w:val="FigureCaption"/>
      </w:pPr>
      <w:r>
        <w:t>Figure I.3. Obstacle-clearance rate on the opening and closing fixed-course checks, Pro record (six pairs, five stored codes, including PFWU9V received on 29 September 2026; pace ×0.85, 20 obstacles, 30 s). Opening and closing course forms differ (7043/7043m; 7051m/7051) and are not established as equivalent; two pairs belong to one code; two opening checks are at the 100% ceiling. Descriptive only: no learning inference is drawn.</w:t>
      </w:r>
    </w:p>
    <w:p>
      <w:pPr>
        <w:pStyle w:val="FigureCaption"/>
      </w:pPr>
      <w:r>
        <w:t>Table I.10. First-visit questionnaire, one record per stored code, seven codes (five-point scale, strongly disagree to strongly agree; as-administered wording from the deposited Pro v4.1 HTML).</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576"/>
          </w:tcPr>
          <w:p>
            <w:r/>
            <w:r>
              <w:rPr>
                <w:b/>
                <w:sz w:val="17"/>
              </w:rPr>
              <w:t>Item</w:t>
            </w:r>
          </w:p>
        </w:tc>
        <w:tc>
          <w:tcPr>
            <w:tcW w:type="dxa" w:w="3744"/>
          </w:tcPr>
          <w:p>
            <w:r/>
            <w:r>
              <w:rPr>
                <w:b/>
                <w:sz w:val="17"/>
              </w:rPr>
              <w:t>As-administered wording (Pro v4.1 HTML)</w:t>
            </w:r>
          </w:p>
        </w:tc>
        <w:tc>
          <w:tcPr>
            <w:tcW w:type="dxa" w:w="1296"/>
          </w:tcPr>
          <w:p>
            <w:r/>
            <w:r>
              <w:rPr>
                <w:b/>
                <w:sz w:val="17"/>
              </w:rPr>
              <w:t>Answered / missing</w:t>
            </w:r>
          </w:p>
        </w:tc>
        <w:tc>
          <w:tcPr>
            <w:tcW w:type="dxa" w:w="864"/>
          </w:tcPr>
          <w:p>
            <w:r/>
            <w:r>
              <w:rPr>
                <w:b/>
                <w:sz w:val="17"/>
              </w:rPr>
              <w:t>Median</w:t>
            </w:r>
          </w:p>
        </w:tc>
        <w:tc>
          <w:tcPr>
            <w:tcW w:type="dxa" w:w="864"/>
          </w:tcPr>
          <w:p>
            <w:r/>
            <w:r>
              <w:rPr>
                <w:b/>
                <w:sz w:val="17"/>
              </w:rPr>
              <w:t>Range</w:t>
            </w:r>
          </w:p>
        </w:tc>
        <w:tc>
          <w:tcPr>
            <w:tcW w:type="dxa" w:w="1296"/>
          </w:tcPr>
          <w:p>
            <w:r/>
            <w:r>
              <w:rPr>
                <w:b/>
                <w:sz w:val="17"/>
              </w:rPr>
              <w:t>Responses 4–5</w:t>
            </w:r>
          </w:p>
        </w:tc>
      </w:tr>
      <w:tr>
        <w:tc>
          <w:tcPr>
            <w:tcW w:type="dxa" w:w="576"/>
          </w:tcPr>
          <w:p>
            <w:r/>
            <w:r>
              <w:rPr>
                <w:sz w:val="17"/>
              </w:rPr>
              <w:t>D1</w:t>
            </w:r>
          </w:p>
        </w:tc>
        <w:tc>
          <w:tcPr>
            <w:tcW w:type="dxa" w:w="3744"/>
          </w:tcPr>
          <w:p>
            <w:r/>
            <w:r>
              <w:rPr>
                <w:sz w:val="17"/>
              </w:rPr>
              <w:t>The game was a good coordination challenge.</w:t>
            </w:r>
          </w:p>
        </w:tc>
        <w:tc>
          <w:tcPr>
            <w:tcW w:type="dxa" w:w="1296"/>
          </w:tcPr>
          <w:p>
            <w:r>
              <w:rPr>
                <w:sz w:val="17"/>
              </w:rPr>
              <w:t>7 / 0</w:t>
            </w:r>
          </w:p>
        </w:tc>
        <w:tc>
          <w:tcPr>
            <w:tcW w:type="dxa" w:w="864"/>
          </w:tcPr>
          <w:p>
            <w:r>
              <w:rPr>
                <w:sz w:val="17"/>
              </w:rPr>
              <w:t>4</w:t>
            </w:r>
          </w:p>
        </w:tc>
        <w:tc>
          <w:tcPr>
            <w:tcW w:type="dxa" w:w="864"/>
          </w:tcPr>
          <w:p>
            <w:r>
              <w:rPr>
                <w:sz w:val="17"/>
              </w:rPr>
              <w:t>3–5</w:t>
            </w:r>
          </w:p>
        </w:tc>
        <w:tc>
          <w:tcPr>
            <w:tcW w:type="dxa" w:w="1296"/>
          </w:tcPr>
          <w:p>
            <w:r>
              <w:rPr>
                <w:sz w:val="17"/>
              </w:rPr>
              <w:t>6/7</w:t>
            </w:r>
          </w:p>
        </w:tc>
      </w:tr>
      <w:tr>
        <w:tc>
          <w:tcPr>
            <w:tcW w:type="dxa" w:w="576"/>
          </w:tcPr>
          <w:p>
            <w:r/>
            <w:r>
              <w:rPr>
                <w:sz w:val="17"/>
              </w:rPr>
              <w:t>D2</w:t>
            </w:r>
          </w:p>
        </w:tc>
        <w:tc>
          <w:tcPr>
            <w:tcW w:type="dxa" w:w="3744"/>
          </w:tcPr>
          <w:p>
            <w:r/>
            <w:r>
              <w:rPr>
                <w:sz w:val="17"/>
              </w:rPr>
              <w:t>I would be willing to play this game regularly.</w:t>
            </w:r>
          </w:p>
        </w:tc>
        <w:tc>
          <w:tcPr>
            <w:tcW w:type="dxa" w:w="1296"/>
          </w:tcPr>
          <w:p>
            <w:r>
              <w:rPr>
                <w:sz w:val="17"/>
              </w:rPr>
              <w:t>7 / 0</w:t>
            </w:r>
          </w:p>
        </w:tc>
        <w:tc>
          <w:tcPr>
            <w:tcW w:type="dxa" w:w="864"/>
          </w:tcPr>
          <w:p>
            <w:r>
              <w:rPr>
                <w:sz w:val="17"/>
              </w:rPr>
              <w:t>4</w:t>
            </w:r>
          </w:p>
        </w:tc>
        <w:tc>
          <w:tcPr>
            <w:tcW w:type="dxa" w:w="864"/>
          </w:tcPr>
          <w:p>
            <w:r>
              <w:rPr>
                <w:sz w:val="17"/>
              </w:rPr>
              <w:t>3–4</w:t>
            </w:r>
          </w:p>
        </w:tc>
        <w:tc>
          <w:tcPr>
            <w:tcW w:type="dxa" w:w="1296"/>
          </w:tcPr>
          <w:p>
            <w:r>
              <w:rPr>
                <w:sz w:val="17"/>
              </w:rPr>
              <w:t>5/7</w:t>
            </w:r>
          </w:p>
        </w:tc>
      </w:tr>
      <w:tr>
        <w:tc>
          <w:tcPr>
            <w:tcW w:type="dxa" w:w="576"/>
          </w:tcPr>
          <w:p>
            <w:r/>
            <w:r>
              <w:rPr>
                <w:sz w:val="17"/>
              </w:rPr>
              <w:t>F1</w:t>
            </w:r>
          </w:p>
        </w:tc>
        <w:tc>
          <w:tcPr>
            <w:tcW w:type="dxa" w:w="3744"/>
          </w:tcPr>
          <w:p>
            <w:r/>
            <w:r>
              <w:rPr>
                <w:sz w:val="17"/>
              </w:rPr>
              <w:t>The game matched my ability.</w:t>
            </w:r>
          </w:p>
        </w:tc>
        <w:tc>
          <w:tcPr>
            <w:tcW w:type="dxa" w:w="1296"/>
          </w:tcPr>
          <w:p>
            <w:r>
              <w:rPr>
                <w:sz w:val="17"/>
              </w:rPr>
              <w:t>7 / 0</w:t>
            </w:r>
          </w:p>
        </w:tc>
        <w:tc>
          <w:tcPr>
            <w:tcW w:type="dxa" w:w="864"/>
          </w:tcPr>
          <w:p>
            <w:r>
              <w:rPr>
                <w:sz w:val="17"/>
              </w:rPr>
              <w:t>4</w:t>
            </w:r>
          </w:p>
        </w:tc>
        <w:tc>
          <w:tcPr>
            <w:tcW w:type="dxa" w:w="864"/>
          </w:tcPr>
          <w:p>
            <w:r>
              <w:rPr>
                <w:sz w:val="17"/>
              </w:rPr>
              <w:t>4–5</w:t>
            </w:r>
          </w:p>
        </w:tc>
        <w:tc>
          <w:tcPr>
            <w:tcW w:type="dxa" w:w="1296"/>
          </w:tcPr>
          <w:p>
            <w:r>
              <w:rPr>
                <w:sz w:val="17"/>
              </w:rPr>
              <w:t>7/7</w:t>
            </w:r>
          </w:p>
        </w:tc>
      </w:tr>
      <w:tr>
        <w:tc>
          <w:tcPr>
            <w:tcW w:type="dxa" w:w="576"/>
          </w:tcPr>
          <w:p>
            <w:r/>
            <w:r>
              <w:rPr>
                <w:sz w:val="17"/>
              </w:rPr>
              <w:t>F2</w:t>
            </w:r>
          </w:p>
        </w:tc>
        <w:tc>
          <w:tcPr>
            <w:tcW w:type="dxa" w:w="3744"/>
          </w:tcPr>
          <w:p>
            <w:r/>
            <w:r>
              <w:rPr>
                <w:sz w:val="17"/>
              </w:rPr>
              <w:t>Seeing my progress made me want to continue.</w:t>
            </w:r>
          </w:p>
        </w:tc>
        <w:tc>
          <w:tcPr>
            <w:tcW w:type="dxa" w:w="1296"/>
          </w:tcPr>
          <w:p>
            <w:r>
              <w:rPr>
                <w:sz w:val="17"/>
              </w:rPr>
              <w:t>7 / 0</w:t>
            </w:r>
          </w:p>
        </w:tc>
        <w:tc>
          <w:tcPr>
            <w:tcW w:type="dxa" w:w="864"/>
          </w:tcPr>
          <w:p>
            <w:r>
              <w:rPr>
                <w:sz w:val="17"/>
              </w:rPr>
              <w:t>4</w:t>
            </w:r>
          </w:p>
        </w:tc>
        <w:tc>
          <w:tcPr>
            <w:tcW w:type="dxa" w:w="864"/>
          </w:tcPr>
          <w:p>
            <w:r>
              <w:rPr>
                <w:sz w:val="17"/>
              </w:rPr>
              <w:t>3–5</w:t>
            </w:r>
          </w:p>
        </w:tc>
        <w:tc>
          <w:tcPr>
            <w:tcW w:type="dxa" w:w="1296"/>
          </w:tcPr>
          <w:p>
            <w:r>
              <w:rPr>
                <w:sz w:val="17"/>
              </w:rPr>
              <w:t>4/7</w:t>
            </w:r>
          </w:p>
        </w:tc>
      </w:tr>
      <w:tr>
        <w:tc>
          <w:tcPr>
            <w:tcW w:type="dxa" w:w="576"/>
          </w:tcPr>
          <w:p>
            <w:r/>
            <w:r>
              <w:rPr>
                <w:sz w:val="17"/>
              </w:rPr>
              <w:t>C1</w:t>
            </w:r>
          </w:p>
        </w:tc>
        <w:tc>
          <w:tcPr>
            <w:tcW w:type="dxa" w:w="3744"/>
          </w:tcPr>
          <w:p>
            <w:r/>
            <w:r>
              <w:rPr>
                <w:sz w:val="17"/>
              </w:rPr>
              <w:t>I felt I was getting better at this game.</w:t>
            </w:r>
          </w:p>
        </w:tc>
        <w:tc>
          <w:tcPr>
            <w:tcW w:type="dxa" w:w="1296"/>
          </w:tcPr>
          <w:p>
            <w:r>
              <w:rPr>
                <w:sz w:val="17"/>
              </w:rPr>
              <w:t>6 / 1</w:t>
            </w:r>
          </w:p>
        </w:tc>
        <w:tc>
          <w:tcPr>
            <w:tcW w:type="dxa" w:w="864"/>
          </w:tcPr>
          <w:p>
            <w:r>
              <w:rPr>
                <w:sz w:val="17"/>
              </w:rPr>
              <w:t>4</w:t>
            </w:r>
          </w:p>
        </w:tc>
        <w:tc>
          <w:tcPr>
            <w:tcW w:type="dxa" w:w="864"/>
          </w:tcPr>
          <w:p>
            <w:r>
              <w:rPr>
                <w:sz w:val="17"/>
              </w:rPr>
              <w:t>1–5</w:t>
            </w:r>
          </w:p>
        </w:tc>
        <w:tc>
          <w:tcPr>
            <w:tcW w:type="dxa" w:w="1296"/>
          </w:tcPr>
          <w:p>
            <w:r>
              <w:rPr>
                <w:sz w:val="17"/>
              </w:rPr>
              <w:t>5/6</w:t>
            </w:r>
          </w:p>
        </w:tc>
      </w:tr>
      <w:tr>
        <w:tc>
          <w:tcPr>
            <w:tcW w:type="dxa" w:w="576"/>
          </w:tcPr>
          <w:p>
            <w:r/>
            <w:r>
              <w:rPr>
                <w:sz w:val="17"/>
              </w:rPr>
              <w:t>T1</w:t>
            </w:r>
          </w:p>
        </w:tc>
        <w:tc>
          <w:tcPr>
            <w:tcW w:type="dxa" w:w="3744"/>
          </w:tcPr>
          <w:p>
            <w:r/>
            <w:r>
              <w:rPr>
                <w:sz w:val="17"/>
              </w:rPr>
              <w:t>I felt I was being tested or judged while playing.</w:t>
            </w:r>
          </w:p>
        </w:tc>
        <w:tc>
          <w:tcPr>
            <w:tcW w:type="dxa" w:w="1296"/>
          </w:tcPr>
          <w:p>
            <w:r>
              <w:rPr>
                <w:sz w:val="17"/>
              </w:rPr>
              <w:t>7 / 0</w:t>
            </w:r>
          </w:p>
        </w:tc>
        <w:tc>
          <w:tcPr>
            <w:tcW w:type="dxa" w:w="864"/>
          </w:tcPr>
          <w:p>
            <w:r>
              <w:rPr>
                <w:sz w:val="17"/>
              </w:rPr>
              <w:t>3</w:t>
            </w:r>
          </w:p>
        </w:tc>
        <w:tc>
          <w:tcPr>
            <w:tcW w:type="dxa" w:w="864"/>
          </w:tcPr>
          <w:p>
            <w:r>
              <w:rPr>
                <w:sz w:val="17"/>
              </w:rPr>
              <w:t>2–3</w:t>
            </w:r>
          </w:p>
        </w:tc>
        <w:tc>
          <w:tcPr>
            <w:tcW w:type="dxa" w:w="1296"/>
          </w:tcPr>
          <w:p>
            <w:r>
              <w:rPr>
                <w:sz w:val="17"/>
              </w:rPr>
              <w:t>0/7</w:t>
            </w:r>
          </w:p>
        </w:tc>
      </w:tr>
    </w:tbl>
    <w:p>
      <w:pPr/>
      <w:r/>
    </w:p>
    <w:p>
      <w:pPr>
        <w:pStyle w:val="FigureCaption"/>
      </w:pPr>
      <w:r>
        <w:t>Table I.11. Exploratory paired statistics reproduced from the Learning Measurement addendum (conditional calculations; assumptions not verified; not confirmatory evidence of an effect or of its absence).</w:t>
      </w:r>
    </w:p>
    <w:tbl>
      <w:tblPr>
        <w:tblStyle w:val="TableGrid"/>
        <w:tblW w:type="auto" w:w="0"/>
        <w:tblLook w:firstColumn="1" w:firstRow="1" w:lastColumn="0" w:lastRow="0" w:noHBand="0" w:noVBand="1" w:val="04A0"/>
      </w:tblPr>
      <w:tblGrid>
        <w:gridCol w:w="2835"/>
        <w:gridCol w:w="2835"/>
        <w:gridCol w:w="2835"/>
      </w:tblGrid>
      <w:tr>
        <w:tc>
          <w:tcPr>
            <w:tcW w:type="dxa" w:w="2880"/>
          </w:tcPr>
          <w:p>
            <w:r/>
            <w:r>
              <w:rPr>
                <w:b/>
                <w:sz w:val="17"/>
              </w:rPr>
              <w:t>Statistic</w:t>
            </w:r>
          </w:p>
        </w:tc>
        <w:tc>
          <w:tcPr>
            <w:tcW w:type="dxa" w:w="2592"/>
          </w:tcPr>
          <w:p>
            <w:r/>
            <w:r>
              <w:rPr>
                <w:b/>
                <w:sz w:val="17"/>
              </w:rPr>
              <w:t>Value</w:t>
            </w:r>
          </w:p>
        </w:tc>
        <w:tc>
          <w:tcPr>
            <w:tcW w:type="dxa" w:w="3888"/>
          </w:tcPr>
          <w:p>
            <w:r/>
            <w:r>
              <w:rPr>
                <w:b/>
                <w:sz w:val="17"/>
              </w:rPr>
              <w:t>Basis / assumption stated in the source</w:t>
            </w:r>
          </w:p>
        </w:tc>
      </w:tr>
      <w:tr>
        <w:tc>
          <w:tcPr>
            <w:tcW w:type="dxa" w:w="2880"/>
          </w:tcPr>
          <w:p>
            <w:r/>
            <w:r>
              <w:rPr>
                <w:sz w:val="17"/>
              </w:rPr>
              <w:t>Codes with a complete pair (earliest pair per code)</w:t>
            </w:r>
          </w:p>
        </w:tc>
        <w:tc>
          <w:tcPr>
            <w:tcW w:type="dxa" w:w="2592"/>
          </w:tcPr>
          <w:p>
            <w:r/>
            <w:r>
              <w:rPr>
                <w:sz w:val="17"/>
              </w:rPr>
              <w:t>4 (P8P2Z9 v1, PT8FJC v1, PEVNZ8 v1, PZTPCG v1)</w:t>
            </w:r>
          </w:p>
        </w:tc>
        <w:tc>
          <w:tcPr>
            <w:tcW w:type="dxa" w:w="3888"/>
          </w:tcPr>
          <w:p>
            <w:r/>
            <w:r>
              <w:rPr>
                <w:sz w:val="17"/>
              </w:rPr>
              <w:t>PU5K58 has no complete pair and is not assigned a post-score</w:t>
            </w:r>
          </w:p>
        </w:tc>
      </w:tr>
      <w:tr>
        <w:tc>
          <w:tcPr>
            <w:tcW w:type="dxa" w:w="2880"/>
          </w:tcPr>
          <w:p>
            <w:r/>
            <w:r>
              <w:rPr>
                <w:sz w:val="17"/>
              </w:rPr>
              <w:t>Opening mean → closing mean</w:t>
            </w:r>
          </w:p>
        </w:tc>
        <w:tc>
          <w:tcPr>
            <w:tcW w:type="dxa" w:w="2592"/>
          </w:tcPr>
          <w:p>
            <w:r/>
            <w:r>
              <w:rPr>
                <w:sz w:val="17"/>
              </w:rPr>
              <w:t>97.50% → 95.00%</w:t>
            </w:r>
          </w:p>
        </w:tc>
        <w:tc>
          <w:tcPr>
            <w:tcW w:type="dxa" w:w="3888"/>
          </w:tcPr>
          <w:p>
            <w:r/>
            <w:r>
              <w:rPr>
                <w:sz w:val="17"/>
              </w:rPr>
              <w:t>Two of four opening checks at 100% (ceiling); one obstacle = 5 pp</w:t>
            </w:r>
          </w:p>
        </w:tc>
      </w:tr>
      <w:tr>
        <w:tc>
          <w:tcPr>
            <w:tcW w:type="dxa" w:w="2880"/>
          </w:tcPr>
          <w:p>
            <w:r/>
            <w:r>
              <w:rPr>
                <w:sz w:val="17"/>
              </w:rPr>
              <w:t>Mean change; median change</w:t>
            </w:r>
          </w:p>
        </w:tc>
        <w:tc>
          <w:tcPr>
            <w:tcW w:type="dxa" w:w="2592"/>
          </w:tcPr>
          <w:p>
            <w:r/>
            <w:r>
              <w:rPr>
                <w:sz w:val="17"/>
              </w:rPr>
              <w:t>−2.50 pp; −2.50 pp</w:t>
            </w:r>
          </w:p>
        </w:tc>
        <w:tc>
          <w:tcPr>
            <w:tcW w:type="dxa" w:w="3888"/>
          </w:tcPr>
          <w:p>
            <w:r/>
            <w:r>
              <w:rPr>
                <w:sz w:val="17"/>
              </w:rPr>
              <w:t>Percentage points of clearance</w:t>
            </w:r>
          </w:p>
        </w:tc>
      </w:tr>
      <w:tr>
        <w:tc>
          <w:tcPr>
            <w:tcW w:type="dxa" w:w="2880"/>
          </w:tcPr>
          <w:p>
            <w:r/>
            <w:r>
              <w:rPr>
                <w:sz w:val="17"/>
              </w:rPr>
              <w:t>SD of paired differences</w:t>
            </w:r>
          </w:p>
        </w:tc>
        <w:tc>
          <w:tcPr>
            <w:tcW w:type="dxa" w:w="2592"/>
          </w:tcPr>
          <w:p>
            <w:r/>
            <w:r>
              <w:rPr>
                <w:sz w:val="17"/>
              </w:rPr>
              <w:t>6.45 pp</w:t>
            </w:r>
          </w:p>
        </w:tc>
        <w:tc>
          <w:tcPr>
            <w:tcW w:type="dxa" w:w="3888"/>
          </w:tcPr>
          <w:p>
            <w:r/>
            <w:r>
              <w:rPr>
                <w:sz w:val="17"/>
              </w:rPr>
              <w:t>—</w:t>
            </w:r>
          </w:p>
        </w:tc>
      </w:tr>
      <w:tr>
        <w:tc>
          <w:tcPr>
            <w:tcW w:type="dxa" w:w="2880"/>
          </w:tcPr>
          <w:p>
            <w:r/>
            <w:r>
              <w:rPr>
                <w:sz w:val="17"/>
              </w:rPr>
              <w:t>Conditional 95% t interval</w:t>
            </w:r>
          </w:p>
        </w:tc>
        <w:tc>
          <w:tcPr>
            <w:tcW w:type="dxa" w:w="2592"/>
          </w:tcPr>
          <w:p>
            <w:r/>
            <w:r>
              <w:rPr>
                <w:sz w:val="17"/>
              </w:rPr>
              <w:t>−12.77 to +7.77 pp</w:t>
            </w:r>
          </w:p>
        </w:tc>
        <w:tc>
          <w:tcPr>
            <w:tcW w:type="dxa" w:w="3888"/>
          </w:tcPr>
          <w:p>
            <w:r/>
            <w:r>
              <w:rPr>
                <w:sz w:val="17"/>
              </w:rPr>
              <w:t>mean(d) ± t(.975, 3) × SD(d)/√4</w:t>
            </w:r>
          </w:p>
        </w:tc>
      </w:tr>
      <w:tr>
        <w:tc>
          <w:tcPr>
            <w:tcW w:type="dxa" w:w="2880"/>
          </w:tcPr>
          <w:p>
            <w:r/>
            <w:r>
              <w:rPr>
                <w:sz w:val="17"/>
              </w:rPr>
              <w:t>Paired t test</w:t>
            </w:r>
          </w:p>
        </w:tc>
        <w:tc>
          <w:tcPr>
            <w:tcW w:type="dxa" w:w="2592"/>
          </w:tcPr>
          <w:p>
            <w:r/>
            <w:r>
              <w:rPr>
                <w:sz w:val="17"/>
              </w:rPr>
              <w:t>t(3) = −0.775; two-sided p = .495</w:t>
            </w:r>
          </w:p>
        </w:tc>
        <w:tc>
          <w:tcPr>
            <w:tcW w:type="dxa" w:w="3888"/>
          </w:tcPr>
          <w:p>
            <w:r/>
            <w:r>
              <w:rPr>
                <w:sz w:val="17"/>
              </w:rPr>
              <w:t>Assumes independent comparable code-level pairs and normality; not verified</w:t>
            </w:r>
          </w:p>
        </w:tc>
      </w:tr>
      <w:tr>
        <w:tc>
          <w:tcPr>
            <w:tcW w:type="dxa" w:w="2880"/>
          </w:tcPr>
          <w:p>
            <w:r/>
            <w:r>
              <w:rPr>
                <w:sz w:val="17"/>
              </w:rPr>
              <w:t>Paired standardised change dz</w:t>
            </w:r>
          </w:p>
        </w:tc>
        <w:tc>
          <w:tcPr>
            <w:tcW w:type="dxa" w:w="2592"/>
          </w:tcPr>
          <w:p>
            <w:r/>
            <w:r>
              <w:rPr>
                <w:sz w:val="17"/>
              </w:rPr>
              <w:t>−0.387</w:t>
            </w:r>
          </w:p>
        </w:tc>
        <w:tc>
          <w:tcPr>
            <w:tcW w:type="dxa" w:w="3888"/>
          </w:tcPr>
          <w:p>
            <w:r/>
            <w:r>
              <w:rPr>
                <w:sz w:val="17"/>
              </w:rPr>
              <w:t>mean(d)/SD(d)</w:t>
            </w:r>
          </w:p>
        </w:tc>
      </w:tr>
      <w:tr>
        <w:tc>
          <w:tcPr>
            <w:tcW w:type="dxa" w:w="2880"/>
          </w:tcPr>
          <w:p>
            <w:r/>
            <w:r>
              <w:rPr>
                <w:sz w:val="17"/>
              </w:rPr>
              <w:t>Exact sign test</w:t>
            </w:r>
          </w:p>
        </w:tc>
        <w:tc>
          <w:tcPr>
            <w:tcW w:type="dxa" w:w="2592"/>
          </w:tcPr>
          <w:p>
            <w:r/>
            <w:r>
              <w:rPr>
                <w:sz w:val="17"/>
              </w:rPr>
              <w:t>1 improvement, 2 declines, 1 tie; p = 1.000</w:t>
            </w:r>
          </w:p>
        </w:tc>
        <w:tc>
          <w:tcPr>
            <w:tcW w:type="dxa" w:w="3888"/>
          </w:tcPr>
          <w:p>
            <w:r/>
            <w:r>
              <w:rPr>
                <w:sz w:val="17"/>
              </w:rPr>
              <w:t>Discards magnitudes</w:t>
            </w:r>
          </w:p>
        </w:tc>
      </w:tr>
      <w:tr>
        <w:tc>
          <w:tcPr>
            <w:tcW w:type="dxa" w:w="2880"/>
          </w:tcPr>
          <w:p>
            <w:r/>
            <w:r>
              <w:rPr>
                <w:sz w:val="17"/>
              </w:rPr>
              <w:t>Exact Wilcoxon signed-rank</w:t>
            </w:r>
          </w:p>
        </w:tc>
        <w:tc>
          <w:tcPr>
            <w:tcW w:type="dxa" w:w="2592"/>
          </w:tcPr>
          <w:p>
            <w:r/>
            <w:r>
              <w:rPr>
                <w:sz w:val="17"/>
              </w:rPr>
              <w:t>W = 1.5; two-sided p = .750</w:t>
            </w:r>
          </w:p>
        </w:tc>
        <w:tc>
          <w:tcPr>
            <w:tcW w:type="dxa" w:w="3888"/>
          </w:tcPr>
          <w:p>
            <w:r/>
            <w:r>
              <w:rPr>
                <w:sz w:val="17"/>
              </w:rPr>
              <w:t>Zero omitted; midranks; all eight sign allocations enumerated; checked against SciPy</w:t>
            </w:r>
          </w:p>
        </w:tc>
      </w:tr>
      <w:tr>
        <w:tc>
          <w:tcPr>
            <w:tcW w:type="dxa" w:w="2880"/>
          </w:tcPr>
          <w:p>
            <w:r/>
            <w:r>
              <w:rPr>
                <w:sz w:val="17"/>
              </w:rPr>
              <w:t>All five visit-pairs (descriptive)</w:t>
            </w:r>
          </w:p>
        </w:tc>
        <w:tc>
          <w:tcPr>
            <w:tcW w:type="dxa" w:w="2592"/>
          </w:tcPr>
          <w:p>
            <w:r/>
            <w:r>
              <w:rPr>
                <w:sz w:val="17"/>
              </w:rPr>
              <w:t>mean 0.0 pp; 2 up, 2 down, 1 tie; median 0 pp</w:t>
            </w:r>
          </w:p>
        </w:tc>
        <w:tc>
          <w:tcPr>
            <w:tcW w:type="dxa" w:w="3888"/>
          </w:tcPr>
          <w:p>
            <w:r/>
            <w:r>
              <w:rPr>
                <w:sz w:val="17"/>
              </w:rPr>
              <w:t>One code supplies two pairs (not independent)</w:t>
            </w:r>
          </w:p>
        </w:tc>
      </w:tr>
      <w:tr>
        <w:tc>
          <w:tcPr>
            <w:tcW w:type="dxa" w:w="2880"/>
          </w:tcPr>
          <w:p>
            <w:r/>
            <w:r>
              <w:rPr>
                <w:sz w:val="17"/>
              </w:rPr>
              <w:t>Within-code means, then across codes</w:t>
            </w:r>
          </w:p>
        </w:tc>
        <w:tc>
          <w:tcPr>
            <w:tcW w:type="dxa" w:w="2592"/>
          </w:tcPr>
          <w:p>
            <w:r/>
            <w:r>
              <w:rPr>
                <w:sz w:val="17"/>
              </w:rPr>
              <w:t>0, +5, −5, 0 → 0.0 pp</w:t>
            </w:r>
          </w:p>
        </w:tc>
        <w:tc>
          <w:tcPr>
            <w:tcW w:type="dxa" w:w="3888"/>
          </w:tcPr>
          <w:p>
            <w:r/>
            <w:r>
              <w:rPr>
                <w:sz w:val="17"/>
              </w:rPr>
              <w:t>Answers a different question from first-visit change</w:t>
            </w:r>
          </w:p>
        </w:tc>
      </w:tr>
      <w:tr>
        <w:tc>
          <w:tcPr>
            <w:tcW w:type="dxa" w:w="2880"/>
          </w:tcPr>
          <w:p>
            <w:r/>
            <w:r>
              <w:rPr>
                <w:sz w:val="17"/>
              </w:rPr>
              <w:t>Supplementary indicators, first pair per code</w:t>
            </w:r>
          </w:p>
        </w:tc>
        <w:tc>
          <w:tcPr>
            <w:tcW w:type="dxa" w:w="2592"/>
          </w:tcPr>
          <w:p>
            <w:r/>
            <w:r>
              <w:rPr>
                <w:sz w:val="17"/>
              </w:rPr>
              <w:t>coins −0.25; edge time −3.21 pp; game composite −0.90</w:t>
            </w:r>
          </w:p>
        </w:tc>
        <w:tc>
          <w:tcPr>
            <w:tcW w:type="dxa" w:w="3888"/>
          </w:tcPr>
          <w:p>
            <w:r/>
            <w:r>
              <w:rPr>
                <w:sz w:val="17"/>
              </w:rPr>
              <w:t>Not skill measures; composite explicitly not clinical balance</w:t>
            </w:r>
          </w:p>
        </w:tc>
      </w:tr>
      <w:tr>
        <w:tc>
          <w:tcPr>
            <w:tcW w:type="dxa" w:w="2880"/>
          </w:tcPr>
          <w:p>
            <w:r/>
            <w:r>
              <w:rPr>
                <w:sz w:val="17"/>
              </w:rPr>
              <w:t>Analysis environment</w:t>
            </w:r>
          </w:p>
        </w:tc>
        <w:tc>
          <w:tcPr>
            <w:tcW w:type="dxa" w:w="2592"/>
          </w:tcPr>
          <w:p>
            <w:r/>
            <w:r>
              <w:rPr>
                <w:sz w:val="17"/>
              </w:rPr>
              <w:t>Python 3.13.5; NumPy 2.3.5; SciPy 1.17.0</w:t>
            </w:r>
          </w:p>
        </w:tc>
        <w:tc>
          <w:tcPr>
            <w:tcW w:type="dxa" w:w="3888"/>
          </w:tcPr>
          <w:p>
            <w:r/>
            <w:r>
              <w:rPr>
                <w:sz w:val="17"/>
              </w:rPr>
              <w:t>No network or model call in the analysis script</w:t>
            </w:r>
          </w:p>
        </w:tc>
      </w:tr>
    </w:tbl>
    <w:p>
      <w:pPr/>
      <w:r/>
    </w:p>
    <w:p>
      <w:pPr>
        <w:pStyle w:val="Heading3"/>
      </w:pPr>
      <w:r>
        <w:t>I.6 · Why the Learning Measurement Was Not Articulated to Adaptive Learning, and What a Later Study Needs</w:t>
      </w:r>
    </w:p>
    <w:p>
      <w:pPr/>
      <w:r>
        <w:t>The Chapter 7 framework proposes adaptive learning as a change in the user's capability that is credible under task or controller changes and persists beyond the assisted session. The measurements available in the Stage 3B record do not reach that construct, for reasons that are properties of the record rather than of any analysis choice. First, the fixed-course checks measure immediate task performance under assisted conditions; performance and learning are distinct, and temporary support or easier conditions can change performance without establishing durable skill (Soderstrom &amp; Bjork, 2015, as cited in the addendum). Second, the checks are at ceiling: two of the four selected opening checks were already at 100%, the mean opening clearance was 97.5%, and one obstacle corresponds to five percentage points, so the measure has little headroom and low sensitivity. Third, the opening and closing course forms differ within each pair (mirrored and base forms of course identifiers 7043 and 7051); matching nominal settings is, in the words of the Pro v4.1 package README, "an engineering grouping, not proof that the randomly generated courses are psychometrically equivalent", so a within-visit change cannot be attributed to the player rather than to the form. Fourth, in the study design the adaptive arm combines difficulty adjustment with coaching and a trajectory display, so the pre-specified contrast estimates an adaptive-support package rather than difficulty adjustment alone, and the Pro build adds practice focus cues and player choice; capability change cannot be separated from easier tasks, additional coaching or changed scoring in these records. Fifth, assignment in the study build is drawn per participant at first enrolment and persisted per browser profile, and the software edition differs between the August deployment, the 15 September re-send and the frozen edition, so the version a participant first experienced is a confound that the record can describe but not remove. Sixth, the only performance series on record comes from a researcher self-test batch whose exports are labelled self-test, whose player identities are unverified, and whose two-pair code is not two people; the one verified field return and three of the five clean-run returns are single 30-second runs, and the other two hold two and three such runs on one day. Seventh, there is no retention or transfer measure anywhere in the record: no delayed unassisted test, no different task, and no baseline established before practice under equated conditions. For these reasons (Table I.12) the Stage 3B learning measurement was not articulated to the adaptive-learning construct, and the author's decision of 26 September 2026 withdrew Stage 3B from that role.</w:t>
      </w:r>
    </w:p>
    <w:p>
      <w:pPr/>
      <w:r>
        <w:t>A later, separately specified and separately approved study would need, before data collection: one named target skill (the addendum's candidate is task-specific steering and route selection, not clinical balance); assessment conditions that are fixed or empirically equated, with course-form equivalence checked; a baseline established before practice; an unassisted delayed test, administered before any re-warm-up when retention is the aim, or with the re-warm-up written into the estimand; an appropriately different task if transfer is claimed; a pre-specified interval, primary outcome and minimal meaningful-change criterion; a comparison condition that isolates the adaptation component from coaching and scoring; verified independent participants with a preserved enrolled/randomised denominator; and version control of task and controller across the whole study. Repeated-measures modelling becomes a candidate only when there are enough verified people and repeated comparable tasks, and it would still estimate an association unless the comparison design identifies the adaptation effect.</w:t>
      </w:r>
    </w:p>
    <w:p>
      <w:pPr>
        <w:pStyle w:val="FigureCaption"/>
      </w:pPr>
      <w:r>
        <w:t>Table I.12. Gap between the recorded measurement and the adaptive-learning construct.</w:t>
      </w:r>
    </w:p>
    <w:tbl>
      <w:tblPr>
        <w:tblStyle w:val="TableGrid"/>
        <w:tblW w:type="auto" w:w="0"/>
        <w:tblLook w:firstColumn="1" w:firstRow="1" w:lastColumn="0" w:lastRow="0" w:noHBand="0" w:noVBand="1" w:val="04A0"/>
      </w:tblPr>
      <w:tblGrid>
        <w:gridCol w:w="2835"/>
        <w:gridCol w:w="2835"/>
        <w:gridCol w:w="2835"/>
      </w:tblGrid>
      <w:tr>
        <w:tc>
          <w:tcPr>
            <w:tcW w:type="dxa" w:w="2448"/>
          </w:tcPr>
          <w:p>
            <w:r/>
            <w:r>
              <w:rPr>
                <w:b/>
                <w:sz w:val="17"/>
              </w:rPr>
              <w:t>Requirement for a learning claim</w:t>
            </w:r>
          </w:p>
        </w:tc>
        <w:tc>
          <w:tcPr>
            <w:tcW w:type="dxa" w:w="4176"/>
          </w:tcPr>
          <w:p>
            <w:r/>
            <w:r>
              <w:rPr>
                <w:b/>
                <w:sz w:val="17"/>
              </w:rPr>
              <w:t>What the Stage 3B record holds</w:t>
            </w:r>
          </w:p>
        </w:tc>
        <w:tc>
          <w:tcPr>
            <w:tcW w:type="dxa" w:w="2736"/>
          </w:tcPr>
          <w:p>
            <w:r/>
            <w:r>
              <w:rPr>
                <w:b/>
                <w:sz w:val="17"/>
              </w:rPr>
              <w:t>Consequence</w:t>
            </w:r>
          </w:p>
        </w:tc>
      </w:tr>
      <w:tr>
        <w:tc>
          <w:tcPr>
            <w:tcW w:type="dxa" w:w="2448"/>
          </w:tcPr>
          <w:p>
            <w:r/>
            <w:r>
              <w:rPr>
                <w:sz w:val="17"/>
              </w:rPr>
              <w:t>Durable capability, not immediate performance</w:t>
            </w:r>
          </w:p>
        </w:tc>
        <w:tc>
          <w:tcPr>
            <w:tcW w:type="dxa" w:w="4176"/>
          </w:tcPr>
          <w:p>
            <w:r/>
            <w:r>
              <w:rPr>
                <w:sz w:val="17"/>
              </w:rPr>
              <w:t>Immediate fixed-course clearance within the same visit under assisted practice</w:t>
            </w:r>
          </w:p>
        </w:tc>
        <w:tc>
          <w:tcPr>
            <w:tcW w:type="dxa" w:w="2736"/>
          </w:tcPr>
          <w:p>
            <w:r/>
            <w:r>
              <w:rPr>
                <w:sz w:val="17"/>
              </w:rPr>
              <w:t>Performance ≠ learning; no durable-learning inference</w:t>
            </w:r>
          </w:p>
        </w:tc>
      </w:tr>
      <w:tr>
        <w:tc>
          <w:tcPr>
            <w:tcW w:type="dxa" w:w="2448"/>
          </w:tcPr>
          <w:p>
            <w:r/>
            <w:r>
              <w:rPr>
                <w:sz w:val="17"/>
              </w:rPr>
              <w:t>Sensitive measure with headroom</w:t>
            </w:r>
          </w:p>
        </w:tc>
        <w:tc>
          <w:tcPr>
            <w:tcW w:type="dxa" w:w="4176"/>
          </w:tcPr>
          <w:p>
            <w:r/>
            <w:r>
              <w:rPr>
                <w:sz w:val="17"/>
              </w:rPr>
              <w:t>Opening checks 100%, 95%, 95%, 100%, 80%, 80%; mean of the addendum's selected openings 97.5%; 1 obstacle = 5 pp</w:t>
            </w:r>
          </w:p>
        </w:tc>
        <w:tc>
          <w:tcPr>
            <w:tcW w:type="dxa" w:w="2736"/>
          </w:tcPr>
          <w:p>
            <w:r/>
            <w:r>
              <w:rPr>
                <w:sz w:val="17"/>
              </w:rPr>
              <w:t>Ceiling; low sensitivity</w:t>
            </w:r>
          </w:p>
        </w:tc>
      </w:tr>
      <w:tr>
        <w:tc>
          <w:tcPr>
            <w:tcW w:type="dxa" w:w="2448"/>
          </w:tcPr>
          <w:p>
            <w:r/>
            <w:r>
              <w:rPr>
                <w:sz w:val="17"/>
              </w:rPr>
              <w:t>Equated assessment forms</w:t>
            </w:r>
          </w:p>
        </w:tc>
        <w:tc>
          <w:tcPr>
            <w:tcW w:type="dxa" w:w="4176"/>
          </w:tcPr>
          <w:p>
            <w:r/>
            <w:r>
              <w:rPr>
                <w:sz w:val="17"/>
              </w:rPr>
              <w:t>Opening/closing forms differ (7043 vs 7043m; 7051m vs 7051); equivalence not established</w:t>
            </w:r>
          </w:p>
        </w:tc>
        <w:tc>
          <w:tcPr>
            <w:tcW w:type="dxa" w:w="2736"/>
          </w:tcPr>
          <w:p>
            <w:r/>
            <w:r>
              <w:rPr>
                <w:sz w:val="17"/>
              </w:rPr>
              <w:t>Change confounded with form</w:t>
            </w:r>
          </w:p>
        </w:tc>
      </w:tr>
      <w:tr>
        <w:tc>
          <w:tcPr>
            <w:tcW w:type="dxa" w:w="2448"/>
          </w:tcPr>
          <w:p>
            <w:r/>
            <w:r>
              <w:rPr>
                <w:sz w:val="17"/>
              </w:rPr>
              <w:t>Isolated adaptation component</w:t>
            </w:r>
          </w:p>
        </w:tc>
        <w:tc>
          <w:tcPr>
            <w:tcW w:type="dxa" w:w="4176"/>
          </w:tcPr>
          <w:p>
            <w:r/>
            <w:r>
              <w:rPr>
                <w:sz w:val="17"/>
              </w:rPr>
              <w:t>Adaptive arm = rule agent + coaching + trajectory display; Pro build adds focus cues and player choice</w:t>
            </w:r>
          </w:p>
        </w:tc>
        <w:tc>
          <w:tcPr>
            <w:tcW w:type="dxa" w:w="2736"/>
          </w:tcPr>
          <w:p>
            <w:r/>
            <w:r>
              <w:rPr>
                <w:sz w:val="17"/>
              </w:rPr>
              <w:t>Contrast estimates a support package</w:t>
            </w:r>
          </w:p>
        </w:tc>
      </w:tr>
      <w:tr>
        <w:tc>
          <w:tcPr>
            <w:tcW w:type="dxa" w:w="2448"/>
          </w:tcPr>
          <w:p>
            <w:r/>
            <w:r>
              <w:rPr>
                <w:sz w:val="17"/>
              </w:rPr>
              <w:t>Stable instrument and unit of assignment</w:t>
            </w:r>
          </w:p>
        </w:tc>
        <w:tc>
          <w:tcPr>
            <w:tcW w:type="dxa" w:w="4176"/>
          </w:tcPr>
          <w:p>
            <w:r/>
            <w:r>
              <w:rPr>
                <w:sz w:val="17"/>
              </w:rPr>
              <w:t>Three editions (9 Aug, 13 Aug, FROZEN20260915); assignment per browser at first enrolment; scores not comparable across editions</w:t>
            </w:r>
          </w:p>
        </w:tc>
        <w:tc>
          <w:tcPr>
            <w:tcW w:type="dxa" w:w="2736"/>
          </w:tcPr>
          <w:p>
            <w:r/>
            <w:r>
              <w:rPr>
                <w:sz w:val="17"/>
              </w:rPr>
              <w:t>Version/first-exposure confound</w:t>
            </w:r>
          </w:p>
        </w:tc>
      </w:tr>
      <w:tr>
        <w:tc>
          <w:tcPr>
            <w:tcW w:type="dxa" w:w="2448"/>
          </w:tcPr>
          <w:p>
            <w:r/>
            <w:r>
              <w:rPr>
                <w:sz w:val="17"/>
              </w:rPr>
              <w:t>Verified independent participants</w:t>
            </w:r>
          </w:p>
        </w:tc>
        <w:tc>
          <w:tcPr>
            <w:tcW w:type="dxa" w:w="4176"/>
          </w:tcPr>
          <w:p>
            <w:r/>
            <w:r>
              <w:rPr>
                <w:sz w:val="17"/>
              </w:rPr>
              <w:t>Pro exports (seven codes) labelled researcher self-test; played, by the author's account, by volunteers and their families or friends; individual identities unverified; one code supplies two pairs; one verified field return in one cell</w:t>
            </w:r>
          </w:p>
        </w:tc>
        <w:tc>
          <w:tcPr>
            <w:tcW w:type="dxa" w:w="2736"/>
          </w:tcPr>
          <w:p>
            <w:r/>
            <w:r>
              <w:rPr>
                <w:sz w:val="17"/>
              </w:rPr>
              <w:t>No population inference</w:t>
            </w:r>
          </w:p>
        </w:tc>
      </w:tr>
      <w:tr>
        <w:tc>
          <w:tcPr>
            <w:tcW w:type="dxa" w:w="2448"/>
          </w:tcPr>
          <w:p>
            <w:r/>
            <w:r>
              <w:rPr>
                <w:sz w:val="17"/>
              </w:rPr>
              <w:t>Retention or transfer test</w:t>
            </w:r>
          </w:p>
        </w:tc>
        <w:tc>
          <w:tcPr>
            <w:tcW w:type="dxa" w:w="4176"/>
          </w:tcPr>
          <w:p>
            <w:r/>
            <w:r>
              <w:rPr>
                <w:sz w:val="17"/>
              </w:rPr>
              <w:t>None: no delayed unassisted test, no different task, no pre-practice baseline under equated conditions</w:t>
            </w:r>
          </w:p>
        </w:tc>
        <w:tc>
          <w:tcPr>
            <w:tcW w:type="dxa" w:w="2736"/>
          </w:tcPr>
          <w:p>
            <w:r/>
            <w:r>
              <w:rPr>
                <w:sz w:val="17"/>
              </w:rPr>
              <w:t>No retention/transfer claim</w:t>
            </w:r>
          </w:p>
        </w:tc>
      </w:tr>
    </w:tbl>
    <w:p>
      <w:pPr/>
      <w:r/>
    </w:p>
    <w:p>
      <w:pPr>
        <w:pStyle w:val="Heading3"/>
      </w:pPr>
      <w:r>
        <w:t>I.7 · Ethics, Scope and Outstanding Author Records</w:t>
      </w:r>
    </w:p>
    <w:p>
      <w:pPr/>
      <w:r>
        <w:t>What is on record. The programme's ethics approval (HSEARS20260805008) was granted on 6 August 2026 for the period 16 June 2024 to 30 October 2026, covering the Stage 3B window; the approval memo is a one-page project-level approval and, as §3.4 states, an explicit itemised institutional determination on the individual consent arrangements is not part of the record at 30 September 2026. The Stage 3B build records consent in-build: the consent screen cites the approval reference, requires an explicit tap, and writes the consent timestamp into every export; the anonymous participant code is the only identifier the build generates, and the distribution instructions state that no names are to be recorded. The chronology alone, however, establishes neither approval nor non-approval, so the scope must be verified against the approved protocol or an amendment. Whether the Stage-3B collection falls within the approved scope or requires an amendment is therefore recorded as an open item of the ethics record (§3.4), and no clarification or amendment is on file at 30 September 2026. The supervisor's sign-off of the Stage 3B protocol is listed as an external gate and is not recorded as closed; the situation evaluation of 13 September 2026 records the sign-off status at recruitment start as unrecorded. The Pro v4.1 build is a researcher self-test with participant release disabled; its record states that no participant may use it until the approval is confirmed to cover a variant that can send player reports to a third-party model service and the supervisor approves; all Pro exports carry self-test metadata with participant release false or not asserted. By the author's account of 30 September 2026 the seven codes were nonetheless played by volunteers and their families or friends recruited for selected age groups; that use falls within the open ethics-scope item stated above. Two of the five excluded returns arrived with personal names in their file names (resolved in the verification record as distributor labels, not player identities), contrary to the anonymous protocol; the names are not reproduced in the thesis; the archive copies retain the file names as received.</w:t>
      </w:r>
    </w:p>
    <w:p>
      <w:pPr/>
      <w:r>
        <w:t>What remains an author record. The mapping of distributor tags D01–D20 to distributors is, by design, an author-held private list that does not enter the archive; the count of tags actually issued and the dates are not on record. The clean-run log (which distributors received copies or links, and any returns) is not on record; the per-session distributor log sheet was retired for normal use. The August deployment's distributor and recipient counts (about 20 and about 100) are author-reported and unverified. The raw exports for all seven Pro codes are archived as received with SHA-256; the derived workbooks and the extraction scripts named in the two reports are not deposited; the two reports themselves are archived as received (26 September 2026; item G.13). The identity of the sender of the verified return relative to the DEV2 distributor is not on record; this does not affect the return's authenticity. The synthetic demonstration dataset under docs/thesis/stage3b/demo/ is watermarked SYNTHETIC and is never evidence.</w:t>
      </w:r>
    </w:p>
    <w:p>
      <w:pPr/>
      <w:r>
        <w:t>Deposits and author records not on file at 30 September 2026: the derived logbook and analysis workbooks and the extraction scripts named in the two reports; the v4.1.1 build file behind the four P8P2Z9 visit-4 runs and the remaining Pro v4.1 package files; a code-level note of which volunteer group played each stored code and on which device (the author's account of 30 September 2026 names the groups, not the assignment per code); a dated statement of how many distributor tags were issued, to how many distributors and on which dates (the tag-to-distributor list itself stays outside the archive); a clean-run log at the 30 September 2026 cut-off, stating which distributor copies produced the returns in Table I.4 and how each was transmitted; the supervisor's protocol sign-off record for Stage 3B, or a dated statement of what was agreed instead; the institutional clarification of Stage-3B scope described above; and the renamed archive copies of the two excluded returns whose file names carry personal names.</w:t>
      </w:r>
    </w:p>
    <w:sectPr w:rsidR="0062437E" w:rsidSect="00034616">
      <w:footerReference w:type="default" r:id="rId22"/>
      <w:pgSz w:w="11906" w:h="16838"/>
      <w:pgMar w:top="1417" w:right="1417" w:bottom="1417" w:left="1984" w:header="720" w:footer="720" w:gutter="0"/>
      <w:pgNumType w:fmt="decimal"/>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V39 revision" w:initials="V39" w:date="2026-09-09T08:19:53Z">
    <w:p>
      <w:pPr>
        <w:pStyle w:val="CommentText"/>
      </w:pPr>
      <w:r>
        <w:rPr>
          <w:rStyle w:val="CommentReference"/>
        </w:rPr>
        <w:annotationRef/>
      </w:r>
      <w:r>
        <w:t>V39: the supplied thesis title is restored as the actual title; the adaptive system is presented as a proposed means of pursuing that subject.</w:t>
      </w:r>
    </w:p>
  </w:comment>
  <w:comment w:id="1" w:author="V39 revision" w:initials="V39" w:date="2026-09-09T08:19:53Z">
    <w:p>
      <w:pPr>
        <w:pStyle w:val="CommentText"/>
      </w:pPr>
      <w:r>
        <w:rPr>
          <w:rStyle w:val="CommentReference"/>
        </w:rPr>
        <w:annotationRef/>
      </w:r>
      <w:r>
        <w:t>V39: separates observed findings, candidate explanations and the unevaluated adaptive framework.</w:t>
      </w:r>
    </w:p>
  </w:comment>
  <w:comment w:id="2" w:author="V39 revision" w:initials="V39" w:date="2026-09-09T08:19:53Z">
    <w:p>
      <w:pPr>
        <w:pStyle w:val="CommentText"/>
      </w:pPr>
      <w:r>
        <w:rPr>
          <w:rStyle w:val="CommentReference"/>
        </w:rPr>
        <w:annotationRef/>
      </w:r>
      <w:r>
        <w:t>V39: aim and research questions explicitly connect gamification, proactive support and evaluation of innovation.</w:t>
      </w:r>
    </w:p>
  </w:comment>
  <w:comment w:id="3" w:author="V39 revision" w:initials="V39" w:date="2026-09-09T08:19:53Z">
    <w:p>
      <w:pPr>
        <w:pStyle w:val="CommentText"/>
      </w:pPr>
      <w:r>
        <w:rPr>
          <w:rStyle w:val="CommentReference"/>
        </w:rPr>
        <w:annotationRef/>
      </w:r>
      <w:r>
        <w:t>V39: three principles are a selected, testable design decomposition, not a uniquely necessary or proven architecture.</w:t>
      </w:r>
    </w:p>
  </w:comment>
  <w:comment w:id="4" w:author="V39 revision" w:initials="V39" w:date="2026-09-09T08:19:53Z">
    <w:p>
      <w:pPr>
        <w:pStyle w:val="CommentText"/>
      </w:pPr>
      <w:r>
        <w:rPr>
          <w:rStyle w:val="CommentReference"/>
        </w:rPr>
        <w:annotationRef/>
      </w:r>
      <w:r>
        <w:t>V39: added condition-specific progress, comparable reference checks, assistance/version labels and visible phase boundaries.</w:t>
      </w:r>
    </w:p>
  </w:comment>
  <w:comment w:id="5" w:author="V39 revision" w:initials="V39" w:date="2026-09-09T08:19:53Z">
    <w:p>
      <w:pPr>
        <w:pStyle w:val="CommentText"/>
      </w:pPr>
      <w:r>
        <w:rPr>
          <w:rStyle w:val="CommentReference"/>
        </w:rPr>
        <w:annotationRef/>
      </w:r>
      <w:r>
        <w:t>V39: distinguishes participant support from system redesign so adapting a task is not itself claimed as improvement.</w:t>
      </w:r>
    </w:p>
  </w:comment>
  <w:comment w:id="6" w:author="V39 revision" w:initials="V39" w:date="2026-09-09T08:19:53Z">
    <w:p>
      <w:pPr>
        <w:pStyle w:val="CommentText"/>
      </w:pPr>
      <w:r>
        <w:rPr>
          <w:rStyle w:val="CommentReference"/>
        </w:rPr>
        <w:annotationRef/>
      </w:r>
      <w:r>
        <w:t>V39: unsuccessful iterations can support design learning; implemented innovation and demonstrated benefit remain separate claims.</w:t>
      </w:r>
    </w:p>
  </w:comment>
  <w:comment w:id="7" w:author="V39 revision" w:initials="V39" w:date="2026-09-09T08:19:53Z">
    <w:p>
      <w:pPr>
        <w:pStyle w:val="CommentText"/>
      </w:pPr>
      <w:r>
        <w:rPr>
          <w:rStyle w:val="CommentReference"/>
        </w:rPr>
        <w:annotationRef/>
      </w:r>
      <w:r>
        <w:t>V39: scope wording calibrated without changing the ethics documentary records.</w:t>
      </w:r>
    </w:p>
  </w:comment>
  <w:comment w:id="8" w:author="V39 revision" w:initials="V39" w:date="2026-09-09T08:19:53Z">
    <w:p>
      <w:pPr>
        <w:pStyle w:val="CommentText"/>
      </w:pPr>
      <w:r>
        <w:rPr>
          <w:rStyle w:val="CommentReference"/>
        </w:rPr>
        <w:annotationRef/>
      </w:r>
      <w:r>
        <w:t>V39: contribution language aligned with the title and bounded by the achieved evidence.</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5D08E88" w14:textId="77777777" w:rsidR="00774E59" w:rsidRDefault="00774E59">
      <w:pPr>
        <w:spacing w:after="0" w:line="240" w:lineRule="auto"/>
      </w:pPr>
      <w:r>
        <w:separator/>
      </w:r>
    </w:p>
  </w:endnote>
  <w:endnote w:type="continuationSeparator" w:id="0">
    <w:p w14:paraId="52E47403" w14:textId="77777777" w:rsidR="00774E59" w:rsidRDefault="00774E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AA3C57" w14:textId="77777777" w:rsidR="0062437E" w:rsidRDefault="00000000">
    <w:pPr>
      <w:pStyle w:val="Footer"/>
      <w:jc w:val="center"/>
    </w:pPr>
    <w:r>
      <w:fldChar w:fldCharType="begin"/>
    </w:r>
    <w:r>
      <w:instrText>PAGE</w:instrText>
    </w:r>
    <w:r>
      <w:fldChar w:fldCharType="separate"/>
    </w:r>
    <w:r w:rsidR="00FD5D21">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D79A0B" w14:textId="77777777" w:rsidR="0062437E" w:rsidRDefault="00000000">
    <w:pPr>
      <w:pStyle w:val="Footer"/>
      <w:jc w:val="center"/>
    </w:pPr>
    <w:r>
      <w:fldChar w:fldCharType="begin"/>
    </w:r>
    <w:r>
      <w:instrText>PAGE</w:instrText>
    </w:r>
    <w:r>
      <w:fldChar w:fldCharType="separate"/>
    </w:r>
    <w:r w:rsidR="00FD5D2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14330E1" w14:textId="77777777" w:rsidR="00774E59" w:rsidRDefault="00774E59">
      <w:pPr>
        <w:spacing w:after="0" w:line="240" w:lineRule="auto"/>
      </w:pPr>
      <w:r>
        <w:separator/>
      </w:r>
    </w:p>
  </w:footnote>
  <w:footnote w:type="continuationSeparator" w:id="0">
    <w:p w14:paraId="41CF025F" w14:textId="77777777" w:rsidR="00774E59" w:rsidRDefault="00774E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3231026">
    <w:abstractNumId w:val="8"/>
  </w:num>
  <w:num w:numId="2" w16cid:durableId="542638574">
    <w:abstractNumId w:val="6"/>
  </w:num>
  <w:num w:numId="3" w16cid:durableId="2050493114">
    <w:abstractNumId w:val="5"/>
  </w:num>
  <w:num w:numId="4" w16cid:durableId="1213074893">
    <w:abstractNumId w:val="4"/>
  </w:num>
  <w:num w:numId="5" w16cid:durableId="682978599">
    <w:abstractNumId w:val="7"/>
  </w:num>
  <w:num w:numId="6" w16cid:durableId="666904215">
    <w:abstractNumId w:val="3"/>
  </w:num>
  <w:num w:numId="7" w16cid:durableId="1113286804">
    <w:abstractNumId w:val="2"/>
  </w:num>
  <w:num w:numId="8" w16cid:durableId="1057320539">
    <w:abstractNumId w:val="1"/>
  </w:num>
  <w:num w:numId="9" w16cid:durableId="115881032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779B5"/>
    <w:rsid w:val="003A02D6"/>
    <w:rsid w:val="005035F7"/>
    <w:rsid w:val="0051775F"/>
    <w:rsid w:val="00587308"/>
    <w:rsid w:val="0062437E"/>
    <w:rsid w:val="006D68FE"/>
    <w:rsid w:val="00774E59"/>
    <w:rsid w:val="008922DE"/>
    <w:rsid w:val="00910A95"/>
    <w:rsid w:val="00966A63"/>
    <w:rsid w:val="009F703F"/>
    <w:rsid w:val="00AA1D8D"/>
    <w:rsid w:val="00B47730"/>
    <w:rsid w:val="00BB08F0"/>
    <w:rsid w:val="00CB0664"/>
    <w:rsid w:val="00EE7E37"/>
    <w:rsid w:val="00F005D3"/>
    <w:rsid w:val="00FB18EC"/>
    <w:rsid w:val="00FB5F84"/>
    <w:rsid w:val="00FC693F"/>
    <w:rsid w:val="00FD5D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D12CF8"/>
  <w14:defaultImageDpi w14:val="300"/>
  <w15:docId w15:val="{4B136B64-CF25-6445-A71E-7815F0BB9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imes New Roman" w:hAnsi="Times New Roman"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imes New Roman" w:hAnsi="Times New Roman"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imes New Roman" w:hAnsi="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Caption"/>
    <w:pPr>
      <w:spacing w:before="80"/>
    </w:pPr>
    <w:rPr>
      <w:rFonts w:ascii="Times New Roman" w:hAnsi="Times New Roman"/>
      <w:i/>
    </w:rPr>
  </w:style>
  <w:style w:type="paragraph" w:customStyle="1" w:styleId="TableCaption">
    <w:name w:val="TableCaption"/>
    <w:pPr>
      <w:spacing w:before="80"/>
    </w:pPr>
    <w:rPr>
      <w:rFonts w:ascii="Times New Roman" w:hAnsi="Times New Roman"/>
      <w:i/>
    </w:rPr>
  </w:style>
  <w:style w:type="paragraph" w:styleId="TOC1">
    <w:name w:val="toc 1"/>
    <w:basedOn w:val="Normal"/>
    <w:next w:val="Normal"/>
    <w:autoRedefine/>
    <w:uiPriority w:val="39"/>
    <w:unhideWhenUsed/>
    <w:rsid w:val="00FD5D21"/>
    <w:pPr>
      <w:spacing w:after="100"/>
    </w:pPr>
  </w:style>
  <w:style w:type="paragraph" w:styleId="TOC2">
    <w:name w:val="toc 2"/>
    <w:basedOn w:val="Normal"/>
    <w:next w:val="Normal"/>
    <w:autoRedefine/>
    <w:uiPriority w:val="39"/>
    <w:unhideWhenUsed/>
    <w:rsid w:val="00FD5D21"/>
    <w:pPr>
      <w:spacing w:after="100"/>
      <w:ind w:left="240"/>
    </w:pPr>
  </w:style>
  <w:style w:type="paragraph" w:styleId="TOC3">
    <w:name w:val="toc 3"/>
    <w:basedOn w:val="Normal"/>
    <w:next w:val="Normal"/>
    <w:autoRedefine/>
    <w:uiPriority w:val="39"/>
    <w:unhideWhenUsed/>
    <w:rsid w:val="00FD5D21"/>
    <w:pPr>
      <w:spacing w:after="100"/>
      <w:ind w:left="480"/>
    </w:pPr>
  </w:style>
  <w:style w:type="paragraph" w:styleId="TOC4">
    <w:name w:val="toc 4"/>
    <w:basedOn w:val="Normal"/>
    <w:next w:val="Normal"/>
    <w:autoRedefine/>
    <w:uiPriority w:val="39"/>
    <w:unhideWhenUsed/>
    <w:rsid w:val="00FD5D21"/>
    <w:pPr>
      <w:spacing w:after="100" w:line="278" w:lineRule="auto"/>
      <w:ind w:left="720"/>
    </w:pPr>
    <w:rPr>
      <w:rFonts w:asciiTheme="minorHAnsi" w:hAnsiTheme="minorHAnsi"/>
      <w:kern w:val="2"/>
      <w:szCs w:val="24"/>
      <w:lang w:val="en-HK" w:eastAsia="zh-CN"/>
      <w14:ligatures w14:val="standardContextual"/>
    </w:rPr>
  </w:style>
  <w:style w:type="paragraph" w:styleId="TOC5">
    <w:name w:val="toc 5"/>
    <w:basedOn w:val="Normal"/>
    <w:next w:val="Normal"/>
    <w:autoRedefine/>
    <w:uiPriority w:val="39"/>
    <w:unhideWhenUsed/>
    <w:rsid w:val="00FD5D21"/>
    <w:pPr>
      <w:spacing w:after="100" w:line="278" w:lineRule="auto"/>
      <w:ind w:left="960"/>
    </w:pPr>
    <w:rPr>
      <w:rFonts w:asciiTheme="minorHAnsi" w:hAnsiTheme="minorHAnsi"/>
      <w:kern w:val="2"/>
      <w:szCs w:val="24"/>
      <w:lang w:val="en-HK" w:eastAsia="zh-CN"/>
      <w14:ligatures w14:val="standardContextual"/>
    </w:rPr>
  </w:style>
  <w:style w:type="paragraph" w:styleId="TOC6">
    <w:name w:val="toc 6"/>
    <w:basedOn w:val="Normal"/>
    <w:next w:val="Normal"/>
    <w:autoRedefine/>
    <w:uiPriority w:val="39"/>
    <w:unhideWhenUsed/>
    <w:rsid w:val="00FD5D21"/>
    <w:pPr>
      <w:spacing w:after="100" w:line="278" w:lineRule="auto"/>
      <w:ind w:left="1200"/>
    </w:pPr>
    <w:rPr>
      <w:rFonts w:asciiTheme="minorHAnsi" w:hAnsiTheme="minorHAnsi"/>
      <w:kern w:val="2"/>
      <w:szCs w:val="24"/>
      <w:lang w:val="en-HK" w:eastAsia="zh-CN"/>
      <w14:ligatures w14:val="standardContextual"/>
    </w:rPr>
  </w:style>
  <w:style w:type="paragraph" w:styleId="TOC7">
    <w:name w:val="toc 7"/>
    <w:basedOn w:val="Normal"/>
    <w:next w:val="Normal"/>
    <w:autoRedefine/>
    <w:uiPriority w:val="39"/>
    <w:unhideWhenUsed/>
    <w:rsid w:val="00FD5D21"/>
    <w:pPr>
      <w:spacing w:after="100" w:line="278" w:lineRule="auto"/>
      <w:ind w:left="1440"/>
    </w:pPr>
    <w:rPr>
      <w:rFonts w:asciiTheme="minorHAnsi" w:hAnsiTheme="minorHAnsi"/>
      <w:kern w:val="2"/>
      <w:szCs w:val="24"/>
      <w:lang w:val="en-HK" w:eastAsia="zh-CN"/>
      <w14:ligatures w14:val="standardContextual"/>
    </w:rPr>
  </w:style>
  <w:style w:type="paragraph" w:styleId="TOC8">
    <w:name w:val="toc 8"/>
    <w:basedOn w:val="Normal"/>
    <w:next w:val="Normal"/>
    <w:autoRedefine/>
    <w:uiPriority w:val="39"/>
    <w:unhideWhenUsed/>
    <w:rsid w:val="00FD5D21"/>
    <w:pPr>
      <w:spacing w:after="100" w:line="278" w:lineRule="auto"/>
      <w:ind w:left="1680"/>
    </w:pPr>
    <w:rPr>
      <w:rFonts w:asciiTheme="minorHAnsi" w:hAnsiTheme="minorHAnsi"/>
      <w:kern w:val="2"/>
      <w:szCs w:val="24"/>
      <w:lang w:val="en-HK" w:eastAsia="zh-CN"/>
      <w14:ligatures w14:val="standardContextual"/>
    </w:rPr>
  </w:style>
  <w:style w:type="paragraph" w:styleId="TOC9">
    <w:name w:val="toc 9"/>
    <w:basedOn w:val="Normal"/>
    <w:next w:val="Normal"/>
    <w:autoRedefine/>
    <w:uiPriority w:val="39"/>
    <w:unhideWhenUsed/>
    <w:rsid w:val="00FD5D21"/>
    <w:pPr>
      <w:spacing w:after="100" w:line="278" w:lineRule="auto"/>
      <w:ind w:left="1920"/>
    </w:pPr>
    <w:rPr>
      <w:rFonts w:asciiTheme="minorHAnsi" w:hAnsiTheme="minorHAnsi"/>
      <w:kern w:val="2"/>
      <w:szCs w:val="24"/>
      <w:lang w:val="en-HK" w:eastAsia="zh-CN"/>
      <w14:ligatures w14:val="standardContextual"/>
    </w:rPr>
  </w:style>
  <w:style w:type="character" w:styleId="Hyperlink">
    <w:name w:val="Hyperlink"/>
    <w:basedOn w:val="DefaultParagraphFont"/>
    <w:uiPriority w:val="99"/>
    <w:unhideWhenUsed/>
    <w:rsid w:val="00FD5D21"/>
    <w:rPr>
      <w:color w:val="0000FF" w:themeColor="hyperlink"/>
      <w:u w:val="single"/>
    </w:rPr>
  </w:style>
  <w:style w:type="character" w:styleId="UnresolvedMention">
    <w:name w:val="Unresolved Mention"/>
    <w:basedOn w:val="DefaultParagraphFont"/>
    <w:uiPriority w:val="99"/>
    <w:semiHidden/>
    <w:unhideWhenUsed/>
    <w:rsid w:val="00FD5D21"/>
    <w:rPr>
      <w:color w:val="605E5C"/>
      <w:shd w:val="clear" w:color="auto" w:fill="E1DFDD"/>
    </w:rPr>
  </w:style>
  <w:style w:type="paragraph" w:customStyle="1" w:styleId="AuthorAction">
    <w:name w:val="Author Action"/>
    <w:pPr>
      <w:spacing w:before="80" w:after="80"/>
    </w:pPr>
    <w:rPr>
      <w:rFonts w:ascii="Arial" w:hAnsi="Arial"/>
      <w:b/>
      <w:color w:val="9C2F2F"/>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footer" Target="footer2.xml"/><Relationship Id="rId23" Type="http://schemas.openxmlformats.org/officeDocument/2006/relationships/fontTable" Target="fontTable.xml"/><Relationship Id="rId24" Type="http://schemas.openxmlformats.org/officeDocument/2006/relationships/theme" Target="theme/theme1.xml"/><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jpg"/><Relationship Id="rId40" Type="http://schemas.openxmlformats.org/officeDocument/2006/relationships/image" Target="media/image29.jpg"/><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 Id="rId45" Type="http://schemas.openxmlformats.org/officeDocument/2006/relationships/image" Target="media/image34.png"/><Relationship Id="rId46" Type="http://schemas.openxmlformats.org/officeDocument/2006/relationships/image" Target="media/image35.png"/><Relationship Id="rId47" Type="http://schemas.openxmlformats.org/officeDocument/2006/relationships/image" Target="media/image36.png"/><Relationship Id="rId48" Type="http://schemas.openxmlformats.org/officeDocument/2006/relationships/comments" Target="comments.xml"/><Relationship Id="rId49" Type="http://schemas.openxmlformats.org/officeDocument/2006/relationships/image" Target="media/image37.png"/><Relationship Id="rId50" Type="http://schemas.openxmlformats.org/officeDocument/2006/relationships/image" Target="media/image38.png"/><Relationship Id="rId51" Type="http://schemas.openxmlformats.org/officeDocument/2006/relationships/image" Target="media/image39.png"/><Relationship Id="rId52"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127</Pages>
  <Words>35846</Words>
  <Characters>204328</Characters>
  <Application>Microsoft Office Word</Application>
  <DocSecurity>0</DocSecurity>
  <Lines>1702</Lines>
  <Paragraphs>479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239695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Gamification as Proactive Approach for Continuous Improvement and Innovation Enhancement</dc:title>
  <dc:subject>Gamification, continuous improvement and innovation enhancement</dc:subject>
  <dc:creator>python-docx</dc:creator>
  <cp:keywords/>
  <dc:description>V45 - 29 September 2026: author's account of Stage-3 distribution and devices mirrored from Paper 3 R7.</dc:description>
  <cp:lastModifiedBy>TAM, Sidney [Student]</cp:lastModifiedBy>
  <cp:revision>6</cp:revision>
  <cp:lastPrinted>2026-07-11T05:43:00Z</cp:lastPrinted>
  <dcterms:created xsi:type="dcterms:W3CDTF">2026-07-03T09:50:00Z</dcterms:created>
  <dcterms:modified xsi:type="dcterms:W3CDTF">2026-09-29T12:00:00Z</dcterms:modified>
  <cp:category/>
  <cp:version>39</cp:version>
</cp:coreProperties>
</file>