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arranged through the facility therapists because the game was coupled to the FRA: each player was invited after the games and interviewed as they could be reached (twenty-nine of thirty), the nine who accepted being the nine sustained participants, some interviewed by telephone —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pPr>
        <w:jc w:val="both"/>
      </w:pPr>
      <w:r>
        <w:t>The qualitative record on the persistence side comprises the post-deployment interviews with the nine sustained participants, together with three centre-manager interviews. The interviews were arranged through the facility therapists — required because the game was coupled to the FRA — and completed over August–September 2025: each player was invited to an interview after the games, a very few were interviewed immediately, and the others as they could be reached (all thirty were sought; twenty-nine could be reached);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researcher did not directly observe the interviews; their individual timing rests on the dated forms and the therapists' report that all interviews were completed.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F4-cluster participants were interviewed within three to five days of the abandoned session about whether the decision to stop was immediate or deliberate. Table 9 shows the nine-question protocol; questions 3 and 4 test H2 and H3, question 7 tests H4, and question 9 probes domain reframing.</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