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Gamification as a Proactive Approach: A Study of Elderly Failure-Induced Abandonment in Gamified Fall Risk Assessment</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t>Fall Risk Assessment (FRA) systems can assess balance and support fall prevention as clinical devices, but rarely achieve sustained elderly user engagement. This study examines the factors associated with low engagement and rapid, permanent dropout in a gamified, AI-assisted FRA among elderly residents after their first adverse user experience. An action-research approach was employed at a residential care facility in Southern China. An AI-assisted skiing game was developed on the FRA system's weight-shifting foot pressure panel, allowing elderly individuals to undergo balance measurement while steering a skier on a display. Thirty residents (aged 62-84; mean 71.1 ± 5.9) participated over eight weeks. Seventy per cent (21 of 30; 95% CI 52.1-83.3%) disengaged at or before three game cycles, 26.7% (8 of 30; 95% CI 14.2-44.4%) exited after a single session, and no disengaged participant re-engaged within the study window (0 of 21; 95% CI 0.0-15.5%). Among the nine sustained participants the recorded FRA index improved by +6.9 points (95% CI 4.5-9.3; paired dz = 2.22, 95% CI 0.95-3.46); across all thirty, the paired change was +4.0 points (95% CI 0.5-7.6; dz = 0.42, 95% CI 0.05-0.79). Satisfaction was strongly associated with sustained engagement (9/9 versus 11/21; Fisher's exact p = 0.013). Most strikingly, three participants whose recorded index improved during their only session still never returned. The study did not seek engineering excellence in game design; its findings concern the behavioural context beneath the play. We carry two working hypotheses of failure response: Failure-Induced Dropout (FIDS), associated with self-efficacy collapse at first failure, and Failure-Induced Abandonment (FIAS), associated with loss aversion when negative feedback is read as evidence of declining function. Four falsifiable predictions (H1-H4) and a domain-reframing hypothesis (H5) are specified for a pre-registered three-arm confirmatory study.</w:t>
      </w:r>
    </w:p>
    <w:p>
      <w:r>
        <w:t>Keywords: fall risk assessment, gamification, elderly technology adoption, failure-induced abandonment, loss aversion, eHealth attrition, action research.</w:t>
      </w:r>
    </w:p>
    <w:p>
      <w:pPr>
        <w:pStyle w:val="Heading1"/>
      </w:pPr>
      <w:r>
        <w:t>I. Introduction</w:t>
      </w:r>
    </w:p>
    <w:p>
      <w:r>
        <w:t>Falls are the leading cause of injury-related hospitalisation in adults aged 65 or older [1], [2].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[46].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[3], [4], partly through low self-efficacy and a growing perception of age-related limitation [5], [6]. Eysenbach argued that abandonment is the most common outcome of digital health interventions and called for a 'science of attrition' [7]. The adoption frameworks in wide use — TAM and its extensions — concern what makes people start using a system and have little to say about what happens after a user fails [8], [9].</w:t>
      </w:r>
    </w:p>
    <w:p>
      <w:r>
        <w:t>Gamification has been proposed as one route to better engagement among older adults [10]. An, Cheung and Willoughby reported that a gamified learning system lifted perceived usefulness, ease of use and behavioural intention among older participants within a single session [11], while noting that their design could not show whether people return after experiencing failure, and calling for work on post-adoption obstacles. That call motivated the present study.</w:t>
      </w:r>
    </w:p>
    <w:p>
      <w:pPr>
        <w:pStyle w:val="Heading2"/>
      </w:pPr>
      <w:r>
        <w:t>A. Industrial Problem</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B. Research Questions</w:t>
      </w:r>
    </w:p>
    <w:p>
      <w:r>
        <w:t>RQ1: Does gamified exercise enhance both clinical outcomes measured via FRA and user acceptance among frail elderly residents in residential care? RQ2: What explains rapid and permanent attrition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1"/>
      </w:pPr>
      <w:r>
        <w:t>II. Literature Review</w:t>
      </w:r>
    </w:p>
    <w:p>
      <w:pPr>
        <w:pStyle w:val="Heading2"/>
      </w:pPr>
      <w:r>
        <w:t>A. Elderly Technology Adoption</w:t>
      </w:r>
    </w:p>
    <w:p>
      <w:r>
        <w:t>Guner and Acarturk found that TAM remains useful in predicting which technologies older adults choose to use [3]. Wildenbos et al. organised ageing barriers into cognitive, physical, perceptual and motivational types, with motivational aspects the least addressed [4]. Hawthorn observed that many elderly people read their age as evidence against their ability to learn new technologies [5], and Tsai et al. found technology anxiety peaking at first use [6]. Lee and Coughlin noted that older adults respond better to training structured around explicit goals [14], and reviews report that reluctance toward health technologies is often driven by perceived threats to autonomy and independence [15].</w:t>
      </w:r>
    </w:p>
    <w:p>
      <w:pPr>
        <w:pStyle w:val="Heading2"/>
      </w:pPr>
      <w:r>
        <w:t>B. Positioning Against the Science of Attrition</w:t>
      </w:r>
    </w:p>
    <w:p>
      <w:r>
        <w:t>Eysenbach's 'law of attrition' distinguished usage attrition from research dropout [7]; the users in this study fall into the former group. Kelders et al. found persuasive features and human involvement the strongest indicators of long-term adherence [12]; Christensen et al. noted that the psychological mechanisms beneath adherence remain poorly understood [13]. None of this literature explains why, specifically among frail older adults using FRA systems, abandonment after first failure is rapid, persistent and immune to redesign. FIAS is intended to fill this gap.</w:t>
      </w:r>
    </w:p>
    <w:p>
      <w:pPr>
        <w:pStyle w:val="Heading2"/>
      </w:pPr>
      <w:r>
        <w:t>C. Fear of Falling</w:t>
      </w:r>
    </w:p>
    <w:p>
      <w:r>
        <w:t>Fear of falling denotes persistent fear that results in activity avoidance even when the person is physically capable [16], [18]. Yardley et al. developed the Falls Efficacy Scale-International (FES-I), capturing falls-related self-efficacy across sixteen everyday activities [17].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permanent abandonment (H1).</w:t>
      </w:r>
    </w:p>
    <w:p>
      <w:pPr>
        <w:pStyle w:val="Heading2"/>
      </w:pPr>
      <w:r>
        <w:t>D. Gamification and Elderly Health Technology</w:t>
      </w:r>
    </w:p>
    <w:p>
      <w:r>
        <w:t>Gamification applies game-design elements in non-game contexts [10]; work with older adults has concentrated on physical activity and cognitive training [11], [19]. An et al. is the closest precedent: improvements in perceived usefulness, ease of use and behavioural intention among 115 participants aged 50-75, with gamification effectiveness the strongest predictor of ease of use [11]. Their design covered a single session and could not capture what happens when a person fails; the present eight-week longitudinal study responds directly to that limitation.</w:t>
      </w:r>
    </w:p>
    <w:p>
      <w:pPr>
        <w:pStyle w:val="Heading2"/>
      </w:pPr>
      <w:r>
        <w:t>E. Theoretical Frameworks</w:t>
      </w:r>
    </w:p>
    <w:p>
      <w:r>
        <w:t>TAM predicts adoption from perceived usefulness and ease of use [8]; UTAUT adds social influence and facilitating conditions [9]; STAM extends these for older users with gerontechnology self-efficacy and anxiety [20]; and the Octalysis framework describes eight core drives of engagement with game designs [21]. None of these frameworks addresses the response to failure: all treat engagement as continuous or increasing under appropriate design.</w:t>
      </w:r>
    </w:p>
    <w:p>
      <w:pPr>
        <w:pStyle w:val="Heading2"/>
      </w:pPr>
      <w:r>
        <w:t>F. Self-Efficacy, Prospect Theory, and the FIDS-FIAS Transition</w:t>
      </w:r>
    </w:p>
    <w:p>
      <w:r>
        <w:t>Bandura's work indicates that self-efficacy determines effort and persistence in the face of adversity [22], and computer self-efficacy shapes system use [23]. A frail older adult who fails an FRA task may experience a collapse of technology self-efficacy leading to disengagement — the mechanism denoted FIDS. Prospect Theory explains why re-engagement may not follow [24], [25]: people evaluate outcomes relative to a reference point, and losses loom roughly twice as large as commensurate gains. For an elderly person, the reference point is their sense of their own physical capability; failure delivers unwelcome news about it, and returning risks more. The psychological cost outweighs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2"/>
      </w:pPr>
      <w:r>
        <w:t>G. Motivation Crowding and the FRA-Game Coupling</w:t>
      </w:r>
    </w:p>
    <w:p>
      <w:r>
        <w:t>Frey and Jegen's motivation-crowding effect names the erosion of intrinsic motivation by external evaluation [26]; Deci and Ryan's basic needs — autonomy, competence, relatedness — ground intrinsic motivation [27]. When a game is linked directly to health evaluation, play becomes assessment. For older adults already carrying low self-efficacy and high health anxiety, the coupling not only lowers interest but can produce an identity-driven negative reaction.</w:t>
      </w:r>
    </w:p>
    <w:p>
      <w:pPr>
        <w:pStyle w:val="Heading2"/>
      </w:pPr>
      <w:r>
        <w:t>H. Behaviour-Change Lens: COM-B</w:t>
      </w:r>
    </w:p>
    <w:p>
      <w:r>
        <w:t>In COM-B terms [28], the adaptive difficulty engine manages capability and on-site deployment provides opportunity; the FIAS pattern lives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2"/>
      </w:pPr>
      <w:r>
        <w:t>I. Information Entropy as a Conceptual Lens</w:t>
      </w:r>
    </w:p>
    <w:p>
      <w:r>
        <w:t>Shannon entropy, H(p) = −Σ pᵢ log₂ pᵢ [29], is used here as a conceptual lens, not a quantitative model. At the start of a session an elderly participant typically holds an open belief state about what the outcome might mean (high entropy). A failure can collapse that state toward a single conviction — 'this technology is not for me' (low entropy) — after which positive feedback must travel through a channel already dominated by negative information, including negative accounts circulating among residents. No entropy quantities are computed in this study; the confirmatory study will elicit outcome probability distributions before and after sessions so that entropy over those distributions can serve as a measure of belief openness.</w:t>
      </w:r>
    </w:p>
    <w:p>
      <w:pPr>
        <w:pStyle w:val="Heading2"/>
      </w:pPr>
      <w:r>
        <w:t>J. Research Gap</w:t>
      </w:r>
    </w:p>
    <w:p>
      <w:r>
        <w:t>No existing framework covers the full arc from initial adoption through failure to permanent abandonment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the fear-of-falling literature supplies instruments not yet applied to gamified FRA; and COM-B maps design choices without the underlying theory. This study addresses that gap.</w:t>
      </w:r>
    </w:p>
    <w:p>
      <w:pPr>
        <w:pStyle w:val="Heading1"/>
      </w:pPr>
      <w:r>
        <w:t>III. Original Contribution Statement</w:t>
      </w:r>
    </w:p>
    <w:p>
      <w:r>
        <w:t>This paper makes three original contributions. First, it documents empirical evidence of a pattern in which older users permanently abandon a gamified FRA after first failure: 70.0% low engagement (95% CI 52.1-83.3%), 26.7% single-session exit (95% CI 14.2-44.4%), and zero re-engagement among all 21 disengaged participants (95% CI 0.0-15.5%) over eight weeks — including three participants whose recorded balance index improved in their only session. Second, it offers a mechanistic account linking self-efficacy collapse at first failure with subsequent permanent abandonment driven by loss aversion, with four falsifiable predictions (H1-H4). Third, it presents a framework for failure-aware coaching in health-assessment gamification, including an entropy-constraint concept, observable risk signals and an intervention specification congruent with COM-B. The Discussion develops an extended argument from the endowment-effect and stereotype-threat literatures, generating the domain-reframing hypothesis (H5). The extended claims go beyond the present evidence and are offered as directions for the pre-registered three-arm confirmatory study, not as findings.</w:t>
      </w:r>
    </w:p>
    <w:p>
      <w:pPr>
        <w:pStyle w:val="Heading1"/>
      </w:pPr>
      <w:r>
        <w:t>IV. Research Design, Ethics and Participants</w:t>
      </w:r>
    </w:p>
    <w:p>
      <w:pPr>
        <w:pStyle w:val="Heading2"/>
      </w:pPr>
      <w:r>
        <w:t>A. Action-Research Methodology</w:t>
      </w:r>
    </w:p>
    <w:p>
      <w:r>
        <w:t>An action-research methodology was followed throughout [30], [31],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B. Ethics, Consent and Safeguarding</w:t>
      </w:r>
    </w:p>
    <w:p>
      <w:r>
        <w:t>Ethical approval was obtained from the relevant institutional ethics sub-committee, and the study was conducted in accordance with the Declaration of Helsinki. Participants received written information sheets in Mandarin and Cantonese covering the research objective, session routine, data protection and the unconditional right to refuse or withdraw. For participants unable to read, a non-involved caregiver relayed the information verbally; verbal consent was recorded and signed for by the caregiver witness. Trained personnel remained present throughout sessions, with non-slip flooring and grab rails in reach. Eligibility required being fall-free for the preceding two weeks and having no medical condition deemed inappropriate by care staff; cognitive impairment affecting comprehension was grounds for exclusion. Any fall, near-fall or dizziness would trigger immediate stoppage, referral and adverse-event recording; no adverse events occurred.</w:t>
      </w:r>
    </w:p>
    <w:p>
      <w:pPr>
        <w:pStyle w:val="Heading2"/>
      </w:pPr>
      <w:r>
        <w:t>C. Data Governance and Protection</w:t>
      </w:r>
    </w:p>
    <w:p>
      <w:r>
        <w:t>Data collected comprised FRA assessment scores, play-session logs, satisfaction ratings and demographics. All data were pseudonymised at collection, with the code key stored separately and encrypted. Compliance with the Personal Information Protection Law (PIPL) [32] was maintained throughout. The AI difficulty-adaptation service received only non-identifying aggregate game parameters (obstacle density, speed, timing); no participant identities, demographics, FRA scores or other health information were transmitted to external servers, and all API requests were logged. Throughout the paper, the AI tooling is an enabling technology; the contribution is the behavioural analysis and design framework.</w:t>
      </w:r>
    </w:p>
    <w:p>
      <w:pPr>
        <w:pStyle w:val="Heading2"/>
      </w:pPr>
      <w:r>
        <w:t>D. Study Site and Participants</w:t>
      </w:r>
    </w:p>
    <w:p>
      <w:r>
        <w:t>Thirty elderly residents of the facility participated without remuneration: ages 62-84 (mean 71.1, SD 5.9), 13 men and 17 women, all with fall-risk markers identified at initial assessment. Over eight weeks, each resident was exposed to both the standard FRA and the gamified FRA. This was a within-participant observational study of dropout patterns, not a randomised controlled trial.</w:t>
      </w:r>
    </w:p>
    <w:p>
      <w:pPr>
        <w:pStyle w:val="Heading1"/>
      </w:pPr>
      <w:r>
        <w:t>V. Definitions and Operationalisation</w:t>
      </w:r>
    </w:p>
    <w:p>
      <w:r>
        <w:t>Table I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I.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session cycles completed</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session cycles completed</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1"/>
      </w:pPr>
      <w:r>
        <w:t>VI. The Gamified Intervention</w:t>
      </w:r>
    </w:p>
    <w:p>
      <w:pPr>
        <w:pStyle w:val="Heading2"/>
      </w:pPr>
      <w:r>
        <w:t>A. Dual-Purpose Input</w:t>
      </w:r>
    </w:p>
    <w:p>
      <w:r>
        <w:t>The system was engineered so that one physical action performs two functions.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[33] and established its test-retest reliability [34];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pPr>
        <w:pStyle w:val="Heading2"/>
      </w:pPr>
      <w:r>
        <w:t>B. 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[21] (Fig. 1). Staff were instructed to use phrases such as 'you are practising a new balance skill' in place of 'you are being tested for fall risk'.</w:t>
      </w:r>
    </w:p>
    <w:p>
      <w:r>
        <w:drawing>
          <wp:inline xmlns:a="http://schemas.openxmlformats.org/drawingml/2006/main" xmlns:pic="http://schemas.openxmlformats.org/drawingml/2006/picture">
            <wp:extent cx="4754880" cy="3076687"/>
            <wp:docPr id="1" name="Picture 1"/>
            <wp:cNvGraphicFramePr>
              <a:graphicFrameLocks noChangeAspect="1"/>
            </wp:cNvGraphicFramePr>
            <a:graphic>
              <a:graphicData uri="http://schemas.openxmlformats.org/drawingml/2006/picture">
                <pic:pic>
                  <pic:nvPicPr>
                    <pic:cNvPr id="0" name="thesis_fig_5_1_image4.png"/>
                    <pic:cNvPicPr/>
                  </pic:nvPicPr>
                  <pic:blipFill>
                    <a:blip r:embed="rId9"/>
                    <a:stretch>
                      <a:fillRect/>
                    </a:stretch>
                  </pic:blipFill>
                  <pic:spPr>
                    <a:xfrm>
                      <a:off x="0" y="0"/>
                      <a:ext cx="4754880" cy="3076687"/>
                    </a:xfrm>
                    <a:prstGeom prst="rect"/>
                  </pic:spPr>
                </pic:pic>
              </a:graphicData>
            </a:graphic>
          </wp:inline>
        </w:drawing>
      </w:r>
    </w:p>
    <w:p>
      <w:r>
        <w:rPr>
          <w:i/>
          <w:sz w:val="18"/>
        </w:rPr>
        <w:t>Fig. 1. The gamified skiing interface deployed on the InBody balance panel. The user steers the on-screen skier by shifting body weight laterally on the pressure-sensitive panel; each lateral shift is simultaneously logged as Centre-of-Pressure (COP) coordinates for clinical fall-risk analysis. The dual-purpose design allows a standard FRA measurement to occur within a game context.</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[35] and with An et al.'s conclusion that building confidence matters more than competition in this population [11]. The leaderboard is removed from the confirmatory design.</w:t>
      </w:r>
    </w:p>
    <w:p>
      <w:pPr>
        <w:pStyle w:val="Heading2"/>
      </w:pPr>
      <w:r>
        <w:t>C. Five-Layer Architecture</w:t>
      </w:r>
    </w:p>
    <w:p>
      <w:r>
        <w:t>The system comprises five layers.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w:t>
      </w:r>
    </w:p>
    <w:p>
      <w:pPr>
        <w:pStyle w:val="Heading2"/>
      </w:pPr>
      <w:r>
        <w:t>D. 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dropping below neutral after the first cycle; no improvement across three consecutive cycles; and participants attributing difficulty to age or physical deterioration. In COM-B terms, coaching addresses reflective motivation through reframing, and staff activation adds social opportunity.</w:t>
      </w:r>
    </w:p>
    <w:p>
      <w:pPr>
        <w:pStyle w:val="Heading1"/>
      </w:pPr>
      <w:r>
        <w:t>VII. Data Collection and Measures</w:t>
      </w:r>
    </w:p>
    <w:p>
      <w:r>
        <w:t>Each session involved: baseline FRA index on the InBody machine; performance on the gamified task; a five-point satisfaction rating; and self-reported symptom change at follow-up. Five variables were collected per participant: V1 cycles completed; V2 pre/post FRA index; V3 symptom change; V4 satisfaction; V5 age and gender. Individual Octalysis and STAM questionnaires could not be administered as initially planned. Session-level temporal data (inter-session intervals, durations) were not captured. A higher FRA index signifies better balance; participants with increased indices between sessions reported improved well-being.</w:t>
      </w:r>
    </w:p>
    <w:p>
      <w:pPr>
        <w:pStyle w:val="Heading2"/>
      </w:pPr>
      <w:r>
        <w:t>A. 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self-reported improvement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was confirmed at 70.0% (95% CI 52.1-83.3%) and the single-session exit rate at 26.7% (95% CI 14.2-44.4%); (4) the satisfaction association with sustained engagement was confirmed (9/9 versus 11/21; Fisher's exact p = 0.013).</w:t>
      </w:r>
    </w:p>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pre-registered instruments administered at baseline and session-level logging with timestamps.</w:t>
      </w:r>
    </w:p>
    <w:p>
      <w:pPr>
        <w:pStyle w:val="Heading1"/>
      </w:pPr>
      <w:r>
        <w:t>VIII. Quantitative Findings</w:t>
      </w:r>
    </w:p>
    <w:p>
      <w:pPr>
        <w:pStyle w:val="Heading2"/>
      </w:pPr>
      <w:r>
        <w:t>A. Statistical Methods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[36]. Associations between binary characteristics and sustained engagement use Fisher's exact test. No time-to-event modelling is used or reported (Section VII-A).</w:t>
      </w:r>
    </w:p>
    <w:p>
      <w:pPr>
        <w:pStyle w:val="Heading2"/>
      </w:pPr>
      <w:r>
        <w:t>B. Clinical Outcomes</w:t>
      </w:r>
    </w:p>
    <w:p>
      <w:r>
        <w:rPr>
          <w:i/>
          <w:sz w:val="18"/>
        </w:rPr>
        <w:t>Table II. FRA index outcomes,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Self-reported improvement</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II reports outcomes for the nine participants who sustained engagement (≥ 4 cycles). Across the full sample of thirty, the paired change was +4.0 points (95% CI 0.5-7.6; dz = 0.42, 95% CI 0.05-0.79). A within-deployment change of this size may include measurement variation, familiarisation and practice effects, and is read as a promising signal rather than a demonstrated clinical effect.</w:t>
      </w:r>
    </w:p>
    <w:p>
      <w:r>
        <w:rPr>
          <w:i/>
          <w:sz w:val="18"/>
        </w:rPr>
        <w:t>Table IIA. FRA index outcomes,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Self-reported improvement</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Despite minimal engagement, the low-engagement group shows a mean change of +2.8 points with high variability. Only 52% reported satisfaction or perceived improvement, against 100% of sustained participants — satisfaction and sustained engagement are strongly associated (Fisher's exact p = 0.013).</w:t>
      </w:r>
    </w:p>
    <w:p>
      <w:pPr>
        <w:pStyle w:val="Heading2"/>
      </w:pPr>
      <w:r>
        <w:t>C. The Abandonment Pattern</w:t>
      </w:r>
    </w:p>
    <w:p>
      <w:r>
        <w:rPr>
          <w:i/>
          <w:sz w:val="18"/>
        </w:rPr>
        <w:t>Table III.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The most telling figure is the zero re-engagement count: of the 21 participants who disengaged, not one returned within the eight-week window. This absolute permanence distinguishes the pattern from typical usage attrition, in which some users return [7]. The 26.7% single-session exit rate marks the first session as the highest-risk point (Fig. 2). No time-to-event model is reported: the archive preserves cycle counts, not timestamps. The evidential core of the pattern is carried by the three directly observed quantities in Table III and by the satisfaction association above.</w:t>
      </w:r>
    </w:p>
    <w:p>
      <w:r>
        <w:drawing>
          <wp:inline xmlns:a="http://schemas.openxmlformats.org/drawingml/2006/main" xmlns:pic="http://schemas.openxmlformats.org/drawingml/2006/picture">
            <wp:extent cx="4754880" cy="3039792"/>
            <wp:docPr id="2" name="Picture 2"/>
            <wp:cNvGraphicFramePr>
              <a:graphicFrameLocks noChangeAspect="1"/>
            </wp:cNvGraphicFramePr>
            <a:graphic>
              <a:graphicData uri="http://schemas.openxmlformats.org/drawingml/2006/picture">
                <pic:pic>
                  <pic:nvPicPr>
                    <pic:cNvPr id="0" name="thesis_fig_5_5.png"/>
                    <pic:cNvPicPr/>
                  </pic:nvPicPr>
                  <pic:blipFill>
                    <a:blip r:embed="rId10"/>
                    <a:stretch>
                      <a:fillRect/>
                    </a:stretch>
                  </pic:blipFill>
                  <pic:spPr>
                    <a:xfrm>
                      <a:off x="0" y="0"/>
                      <a:ext cx="4754880" cy="3039792"/>
                    </a:xfrm>
                    <a:prstGeom prst="rect"/>
                  </pic:spPr>
                </pic:pic>
              </a:graphicData>
            </a:graphic>
          </wp:inline>
        </w:drawing>
      </w:r>
    </w:p>
    <w:p>
      <w:r>
        <w:rPr>
          <w:i/>
          <w:sz w:val="18"/>
        </w:rPr>
        <w:t>Fig. 2. Participant flow diagram (N = 30). Twenty-one participants disengaged at or before three cycles, including eight single-session exits; six formed the F4 abandonment cluster, of whom three recorded an improved FRA index in their only session and still never returned. No re-engagement after disengagement was observed (0 of 21).</w:t>
      </w:r>
    </w:p>
    <w:p>
      <w:pPr>
        <w:pStyle w:val="Heading1"/>
      </w:pPr>
      <w:r>
        <w:t>IX. Qualitative Coding and the FIAS Composite</w:t>
      </w:r>
    </w:p>
    <w:p>
      <w:r>
        <w:t>All 30 participants were coded with thirteen binary attributes drawn from STAM constructs and selected Octalysis drives, collapsed onto a 0-10 composite. The composite is a descriptive case-identification device and carries no evidential weight: several attributes record engagement and exit behaviour, so a participant who abandoned early necessarily scores high, and the clustering of the F4 group at the top of the scale is partly true by construction. Every evidential statement in this paper rests on directly observed behaviour — single-session exit, non-return, and the divergence between recorded score direction and return.</w:t>
      </w:r>
    </w:p>
    <w:p>
      <w:r>
        <w:rPr>
          <w:i/>
          <w:sz w:val="18"/>
        </w:rPr>
        <w:t>Table IV.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 Dissatisfied OR (1 cycle AND no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Cycles ≤ 2 AND no improvement AND satisfaction ≤ Neutral</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V.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 (Fig. 3).</w:t>
      </w:r>
    </w:p>
    <w:p>
      <w:r>
        <w:drawing>
          <wp:inline xmlns:a="http://schemas.openxmlformats.org/drawingml/2006/main" xmlns:pic="http://schemas.openxmlformats.org/drawingml/2006/picture">
            <wp:extent cx="4754880" cy="2806386"/>
            <wp:docPr id="3" name="Picture 3"/>
            <wp:cNvGraphicFramePr>
              <a:graphicFrameLocks noChangeAspect="1"/>
            </wp:cNvGraphicFramePr>
            <a:graphic>
              <a:graphicData uri="http://schemas.openxmlformats.org/drawingml/2006/picture">
                <pic:pic>
                  <pic:nvPicPr>
                    <pic:cNvPr id="0" name="p2R2_fig3_distribution.png"/>
                    <pic:cNvPicPr/>
                  </pic:nvPicPr>
                  <pic:blipFill>
                    <a:blip r:embed="rId11"/>
                    <a:stretch>
                      <a:fillRect/>
                    </a:stretch>
                  </pic:blipFill>
                  <pic:spPr>
                    <a:xfrm>
                      <a:off x="0" y="0"/>
                      <a:ext cx="4754880" cy="2806386"/>
                    </a:xfrm>
                    <a:prstGeom prst="rect"/>
                  </pic:spPr>
                </pic:pic>
              </a:graphicData>
            </a:graphic>
          </wp:inline>
        </w:drawing>
      </w:r>
    </w:p>
    <w:p>
      <w:r>
        <w:rPr>
          <w:i/>
          <w:sz w:val="18"/>
        </w:rPr>
        <w:t>Fig. 3.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1"/>
      </w:pPr>
      <w:r>
        <w:t>X. F4 Interview Protocol</w:t>
      </w:r>
    </w:p>
    <w:p>
      <w:r>
        <w:t>F4-cluster participants were interviewed within three to five days of the abandoned session about whether the decision to stop was immediate or deliberate. Table VI shows the nine-question protocol; questions 3 and 4 test H2 and H3, question 7 tests H4, and question 9 probes domain reframing.</w:t>
      </w:r>
    </w:p>
    <w:p>
      <w:r>
        <w:rPr>
          <w:i/>
          <w:sz w:val="18"/>
        </w:rPr>
        <w:t>Table VI.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p>
      <w:pPr>
        <w:pStyle w:val="Heading1"/>
      </w:pPr>
      <w:r>
        <w:t>XI. Discussion</w:t>
      </w:r>
    </w:p>
    <w:p>
      <w:pPr>
        <w:pStyle w:val="Heading2"/>
      </w:pPr>
      <w:r>
        <w:t>A. RQ1: Did Gamification Help?</w:t>
      </w:r>
    </w:p>
    <w:p>
      <w:r>
        <w:t>For the subset who sustained engagement, yes: +6.9 FRA index points (95% CI 4.5-9.3; dz = 2.22), with all nine satisfied or very satisfied; across all thirty, +4.0 points (95% CI 0.5-7.6). These are promising within-deployment signals rather than demonstrated clinical effects.</w:t>
      </w:r>
    </w:p>
    <w:p>
      <w:pPr>
        <w:pStyle w:val="Heading2"/>
      </w:pPr>
      <w:r>
        <w:t>B. RQ2: Why Does Abandonment Persist?</w:t>
      </w:r>
    </w:p>
    <w:p>
      <w:r>
        <w:t>The pattern has three defining features. It is early: 70.0% disengaged at or before three cycles, 26.7% after one session. It is absolute within the window: none of 21 disengaged participants returned (95% CI 0.0-15.5%), unlike ordinary usage attrition [7]. And it is not accounted for by dissatisfaction alone: although satisfaction and engagement are strongly associated (p = 0.013), three F4 participants improved on the recorded index in their only session and still never returned. Practical obstacles — usability, staffing, cost, scheduling — do not explain a pattern in which the technology was free, supervised, on site, and in documented cases measurably working for the person who walked away. The evidence is consistent with a psychological mechanism attached to the meaning of failure.</w:t>
      </w:r>
    </w:p>
    <w:p>
      <w:pPr>
        <w:pStyle w:val="Heading2"/>
      </w:pPr>
      <w:r>
        <w:t>C. RQ3: The FIDS-FIAS Mechanism</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 4).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p>
    <w:p>
      <w:r>
        <w:drawing>
          <wp:inline xmlns:a="http://schemas.openxmlformats.org/drawingml/2006/main" xmlns:pic="http://schemas.openxmlformats.org/drawingml/2006/picture">
            <wp:extent cx="4754880" cy="5714551"/>
            <wp:docPr id="4" name="Picture 4"/>
            <wp:cNvGraphicFramePr>
              <a:graphicFrameLocks noChangeAspect="1"/>
            </wp:cNvGraphicFramePr>
            <a:graphic>
              <a:graphicData uri="http://schemas.openxmlformats.org/drawingml/2006/picture">
                <pic:pic>
                  <pic:nvPicPr>
                    <pic:cNvPr id="0" name="p2_fig5_mechanism.png"/>
                    <pic:cNvPicPr/>
                  </pic:nvPicPr>
                  <pic:blipFill>
                    <a:blip r:embed="rId12"/>
                    <a:stretch>
                      <a:fillRect/>
                    </a:stretch>
                  </pic:blipFill>
                  <pic:spPr>
                    <a:xfrm>
                      <a:off x="0" y="0"/>
                      <a:ext cx="4754880" cy="5714551"/>
                    </a:xfrm>
                    <a:prstGeom prst="rect"/>
                  </pic:spPr>
                </pic:pic>
              </a:graphicData>
            </a:graphic>
          </wp:inline>
        </w:drawing>
      </w:r>
    </w:p>
    <w:p>
      <w:r>
        <w:rPr>
          <w:i/>
          <w:sz w:val="18"/>
        </w:rPr>
        <w:t>Fig. 4. Conceptual model of the proposed FIDS-FIAS mechanism and intervention pathways. The left pathway shows the hypothesised failure cascade: a first failure event collapses self-efficacy (FIDS), after which loss aversion — via an endowment-protective reading of the failure — consolidates permanent withdrawal (FIAS). The dashed elements show the two intervention routes for confirmatory testing: domain reframing (H5), which aims to prevent the identity threat from attaching, and the coaching layer, which aims to repair self-efficacy after activation. The mechanism is proposed, not directly measured.</w:t>
      </w:r>
    </w:p>
    <w:p>
      <w:pPr>
        <w:pStyle w:val="Heading2"/>
      </w:pPr>
      <w:r>
        <w:t>D. Extended Theory: Endowment, Stereotype Threat, Domain Reframing</w:t>
      </w:r>
    </w:p>
    <w:p>
      <w:r>
        <w:t>Three further perspectives are offered as theory for confirmatory testing, not as findings. The endowment effect [37], [38]: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[39], [40]: activating negative ageing stereotypes degrades older adults' performance, predominantly as self-concept threat [40]; reframing a task from trait measurement to skill activity reduces the threat [41].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permanent dropout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1"/>
      </w:pPr>
      <w:r>
        <w:t>XII. 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p>
    <w:p>
      <w:pPr>
        <w:pStyle w:val="Heading1"/>
      </w:pPr>
      <w:r>
        <w:t>XIII. Design Implications for Practitioners</w:t>
      </w:r>
    </w:p>
    <w:p>
      <w:r>
        <w:t>Four principles follow, three grounded in the present findings and one awaiting confirmation.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FIAS risk signals during sessions (satisfaction below neutral after the first cycle;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1"/>
      </w:pPr>
      <w:r>
        <w:t>XIV. The Entropy Constraint</w:t>
      </w:r>
    </w:p>
    <w:p>
      <w:r>
        <w:t>A game with no real-world stakes confines the meaning of failure to the game domain: one loses a life and tries again. When game performance and clinical assessment are coupled to the same physical action, a failure event reduces belief entropy in both domains at once — the game and the participant's beliefs about their own health. This is the entropy constraint: a structural property of any system coupling play and assessment. Beliefs about health and self are far more resistant to reopening than game beliefs, and if the endowment analysis above is correct, a newly settled negative conviction ('this technology is not for me') will itself be defended as a possession. Domain reframing aims to confine failure's meaning to the game domain in one step. This framework guides the confirmatory design; no quantitative entropy claim is made here.</w:t>
      </w:r>
    </w:p>
    <w:p>
      <w:pPr>
        <w:pStyle w:val="Heading1"/>
      </w:pPr>
      <w:r>
        <w:t>XV. Industrial Context and Confirmatory Design</w:t>
      </w:r>
    </w:p>
    <w:p>
      <w:pPr>
        <w:pStyle w:val="Heading2"/>
      </w:pPr>
      <w:r>
        <w:t>A. 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single-session exit rate from 26.7% toward 10% would substantially reduce cost per continuing user; the full cost-effectiveness analysis belongs to the confirmatory phase.</w:t>
      </w:r>
    </w:p>
    <w:p>
      <w:pPr>
        <w:pStyle w:val="Heading2"/>
      </w:pPr>
      <w:r>
        <w:t>B. Three-Arm Confirmatory Design</w:t>
      </w:r>
    </w:p>
    <w:p>
      <w:r>
        <w:t>The confirmatory study marks the shift from exploratory action research to a pre-registered design.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 5).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[42] and SPIRIT-AI [43]; WHO and regulator guidance on AI in health informs the AI component [44], [45]. All hypotheses (H1-H5) and endpoints will be pre-registered before data collection.</w:t>
      </w:r>
    </w:p>
    <w:p>
      <w:r>
        <w:drawing>
          <wp:inline xmlns:a="http://schemas.openxmlformats.org/drawingml/2006/main" xmlns:pic="http://schemas.openxmlformats.org/drawingml/2006/picture">
            <wp:extent cx="4754880" cy="4274589"/>
            <wp:docPr id="5" name="Picture 5"/>
            <wp:cNvGraphicFramePr>
              <a:graphicFrameLocks noChangeAspect="1"/>
            </wp:cNvGraphicFramePr>
            <a:graphic>
              <a:graphicData uri="http://schemas.openxmlformats.org/drawingml/2006/picture">
                <pic:pic>
                  <pic:nvPicPr>
                    <pic:cNvPr id="0" name="p2_fig6_threearm.png"/>
                    <pic:cNvPicPr/>
                  </pic:nvPicPr>
                  <pic:blipFill>
                    <a:blip r:embed="rId13"/>
                    <a:stretch>
                      <a:fillRect/>
                    </a:stretch>
                  </pic:blipFill>
                  <pic:spPr>
                    <a:xfrm>
                      <a:off x="0" y="0"/>
                      <a:ext cx="4754880" cy="4274589"/>
                    </a:xfrm>
                    <a:prstGeom prst="rect"/>
                  </pic:spPr>
                </pic:pic>
              </a:graphicData>
            </a:graphic>
          </wp:inline>
        </w:drawing>
      </w:r>
    </w:p>
    <w:p>
      <w:r>
        <w:rPr>
          <w:i/>
          <w:sz w:val="18"/>
        </w:rPr>
        <w:t>Fig. 5. Three-arm confirmatory study design. Arm 1 (control) replicates the present FRA-coupled conditions; Arm 2 (domain reframing) uses the identical game framed as a reaction-speed challenge, testing H5; Arm 3 adds the staff coaching layer to the FRA-coupled condition, testing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1"/>
      </w:pPr>
      <w:r>
        <w:t>XVI. Conclusion</w:t>
      </w:r>
    </w:p>
    <w:p>
      <w:r>
        <w:t>This study built and tested a gamified FRA using a dual-purpose input design at a residential care facility in Southern China. For participants who sustained engagement, gamification helped: +6.9 FRA index points (95% CI 4.5-9.3; dz = 2.22), with all nine satisfied or very satisfied. But 70.0% never passed three cycles, 26.7% stopped after their first session, no participant returned after disengaging — and three participants whose recorded index improved in their only session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pre-registered three-arm study, alongside the domain-reframing hypothesis drawn from the endowment-effect [37], [38] and stereotype-threat [40], [41] literatures. The framing of a gamified health technology may matter as much as its engineering; the confirmatory programme is designed to find out.</w:t>
      </w:r>
    </w:p>
    <w:p>
      <w:pPr>
        <w:pStyle w:val="Heading1"/>
      </w:pPr>
      <w:r>
        <w:t>Acknowledgments</w:t>
      </w:r>
    </w:p>
    <w:p>
      <w:r>
        <w:t>The authors thank the management and nursing staff, and the residents of the participating residential care facility in Southern China, for their generous cooperation. Supervision by Prof. Chi Fai Cheung at The Hong Kong Polytechnic University is gratefully acknowledged. AI tooling (Anthropic Claude Code and API services) was used as an enabling technology for game development and difficulty adaptation; the contribution of this paper is the behavioural analysis and the design framework. The authors declare no competing financial or non-financial interests; the lead author holds no financial relationship with Anthropic; the facility was not involved in data analysis or manuscript preparation; the study received no external funding.</w:t>
      </w:r>
    </w:p>
    <w:p>
      <w:pPr>
        <w:pStyle w:val="Heading1"/>
      </w:pPr>
      <w:r>
        <w:t>References</w:t>
      </w:r>
    </w:p>
    <w:p>
      <w:r>
        <w:t>[1] NICE, 'Falls in older people: assessing risk and prevention,' Clinical Guideline CG161, London, UK, 2013.</w:t>
      </w:r>
    </w:p>
    <w:p>
      <w:r>
        <w:t>[2] WHO, 'WHO global report on falls prevention in older age,' Geneva, 2007.</w:t>
      </w:r>
    </w:p>
    <w:p>
      <w:r>
        <w:t>[3] H. Guner and C. Acarturk, 'The use and acceptance of ICT by senior citizens: A comparison of TAM for elderly and young adults,' Universal Access Inf. Soc., vol. 19, pp. 311-330, 2020.</w:t>
      </w:r>
    </w:p>
    <w:p>
      <w:r>
        <w:t>[4] G. A. Wildenbos, L. Peute, and M. Jaspers, 'Aging barriers influencing mobile health usability for older adults: MOLD-US,' Int. J. Med. Inform., vol. 114, pp. 66-75, 2018.</w:t>
      </w:r>
    </w:p>
    <w:p>
      <w:r>
        <w:t>[5] D. Hawthorn, 'Interface design and engagement with older people,' Behav. Inf. Technol., vol. 26, no. 4, pp. 333-341, 2007.</w:t>
      </w:r>
    </w:p>
    <w:p>
      <w:r>
        <w:t>[6] H. S. Tsai, R. Shillair, and S. R. Cotten, 'Exploring the role of technology anxiety and self-efficacy in older adults' information seeking,' in Proc. iConference, 2020.</w:t>
      </w:r>
    </w:p>
    <w:p>
      <w:r>
        <w:t>[7] G. Eysenbach, 'The law of attrition,' J. Med. Internet Res., vol. 7, no. 1, e11, 2005.</w:t>
      </w:r>
    </w:p>
    <w:p>
      <w:r>
        <w:t>[8] F. D. Davis, 'Perceived usefulness, perceived ease of use, and user acceptance of information technology,' MIS Quarterly, vol. 13, no. 3, pp. 319-340, 1989.</w:t>
      </w:r>
    </w:p>
    <w:p>
      <w:r>
        <w:t>[9] V. Venkatesh et al., 'User acceptance of information technology: Toward a unified view,' MIS Quarterly, vol. 27, no. 3, pp. 425-478, 2003.</w:t>
      </w:r>
    </w:p>
    <w:p>
      <w:r>
        <w:t>[10] S. Deterding et al., 'From game design elements to gamefulness: Defining gamification,' in Proc. 15th Int. Acad. MindTrek Conf., 2011.</w:t>
      </w:r>
    </w:p>
    <w:p>
      <w:r>
        <w:t>[11] S. An, C. F. Cheung, and K. W. Willoughby, 'A gamification approach for enhancing older adults' technology adoption and knowledge transfer,' Technol. Forecast. Soc. Change, vol. 205, 2024.</w:t>
      </w:r>
    </w:p>
    <w:p>
      <w:r>
        <w:t>[12] S. M. Kelders et al., 'Persuasive system design does matter: A systematic review of adherence to web-based interventions,' J. Med. Internet Res., vol. 14, no. 6, e152, 2012.</w:t>
      </w:r>
    </w:p>
    <w:p>
      <w:r>
        <w:t>[13] H. Christensen, K. M. Griffiths, and L. Farrer, 'Adherence in internet interventions for anxiety and depression,' J. Med. Internet Res., vol. 11, no. 2, e13, 2009.</w:t>
      </w:r>
    </w:p>
    <w:p>
      <w:r>
        <w:t>[14] C. Lee and J. F. Coughlin, 'Older adults' adoption of technology: An integrated approach,' Geriatr. Gerontol. Int., vol. 15, no. 5, pp. 519-525, 2015.</w:t>
      </w:r>
    </w:p>
    <w:p>
      <w:r>
        <w:t>[15] G. Grossi, R. Ferrario, and V. Tosi, 'Barriers and facilitators to health technology adoption by older adults with chronic diseases,' BMC Geriatrics, vol. 24, no. 189, 2024.</w:t>
      </w:r>
    </w:p>
    <w:p>
      <w:r>
        <w:t>[16] M. E. Tinetti and L. Powell, 'Fear of falling and low self-efficacy: A cause of dependence in elderly persons,' J. Gerontol., vol. 48, pp. 35-38, 1993.</w:t>
      </w:r>
    </w:p>
    <w:p>
      <w:r>
        <w:t>[17] L. Yardley et al., 'Development and initial validation of the Falls Efficacy Scale-International (FES-I),' Age Ageing, vol. 34, no. 6, pp. 614-619, 2005.</w:t>
      </w:r>
    </w:p>
    <w:p>
      <w:r>
        <w:t>[18] A. C. Scheffer et al., 'Fear of falling: Measurement strategy, prevalence, risk factors and consequences among older persons,' Age Ageing, vol. 37, no. 1, pp. 19-24, 2008.</w:t>
      </w:r>
    </w:p>
    <w:p>
      <w:r>
        <w:t>[19] J. Koivisto and A. Malik, 'Gamification for older adults: A systematic literature review,' Gerontologist, vol. 61, no. 7, pp. 360-372, 2021.</w:t>
      </w:r>
    </w:p>
    <w:p>
      <w:r>
        <w:t>[20] K. Chen and A. H. S. Chan, 'Gerontechnology acceptance by elderly Hong Kong Chinese: STAM,' Ergonomics, vol. 57, no. 5, pp. 635-652, 2014.</w:t>
      </w:r>
    </w:p>
    <w:p>
      <w:r>
        <w:t>[21] Y.-K. Chou, Actionable Gamification: Beyond Points, Badges, and Leaderboards. Fremont, CA: Octalysis Media, 2015.</w:t>
      </w:r>
    </w:p>
    <w:p>
      <w:r>
        <w:t>[22] A. Bandura, Self-Efficacy: The Exercise of Control. New York: W. H. Freeman, 1997.</w:t>
      </w:r>
    </w:p>
    <w:p>
      <w:r>
        <w:t>[23] D. R. Compeau and C. A. Higgins, 'Computer self-efficacy: Development of a measure and initial test,' MIS Quarterly, vol. 19, no. 2, pp. 189-211, 1995.</w:t>
      </w:r>
    </w:p>
    <w:p>
      <w:r>
        <w:t>[24] D. Kahneman and A. Tversky, 'Prospect theory: An analysis of decision under risk,' Econometrica, vol. 47, no. 2, pp. 263-291, 1979.</w:t>
      </w:r>
    </w:p>
    <w:p>
      <w:r>
        <w:t>[25] A. Tversky and D. Kahneman, 'Advances in prospect theory: Cumulative representation of uncertainty,' J. Risk Uncertain., vol. 5, no. 4, pp. 297-323, 1992.</w:t>
      </w:r>
    </w:p>
    <w:p>
      <w:r>
        <w:t>[26] B. S. Frey and R. Jegen, 'Motivation crowding theory,' J. Econ. Surv., vol. 15, no. 5, pp. 589-611, 2001.</w:t>
      </w:r>
    </w:p>
    <w:p>
      <w:r>
        <w:t>[27] E. L. Deci and R. M. Ryan, Intrinsic Motivation and Self-Determination in Human Behavior. New York: Plenum, 1985.</w:t>
      </w:r>
    </w:p>
    <w:p>
      <w:r>
        <w:t>[28] S. Michie, M. M. van Stralen, and R. West, 'The behaviour change wheel,' Implement. Sci., vol. 6, no. 42, 2011.</w:t>
      </w:r>
    </w:p>
    <w:p>
      <w:r>
        <w:t>[29] C. E. Shannon, 'A mathematical theory of communication,' Bell Syst. Tech. J., vol. 27, pp. 379-423, 623-656, 1948.</w:t>
      </w:r>
    </w:p>
    <w:p>
      <w:r>
        <w:t>[30] E. T. Stringer, Action Research, 4th ed. Thousand Oaks, CA: SAGE, 2014.</w:t>
      </w:r>
    </w:p>
    <w:p>
      <w:r>
        <w:t>[31] K. Lewin, 'Action research and minority problems,' J. Soc. Issues, vol. 2, no. 4, pp. 34-46, 1946.</w:t>
      </w:r>
    </w:p>
    <w:p>
      <w:r>
        <w:t>[32] Standing Committee NPC, 'Personal Information Protection Law of the People's Republic of China,' Beijing, effective 1 November 2021.</w:t>
      </w:r>
    </w:p>
    <w:p>
      <w:r>
        <w:t>[33] S. H. Kim et al., 'Introduction of Fall Risk Assessment system and cross-sectional validation among community-dwelling older adults,' Int. J. Environ. Res. Public Health, vol. 16, no. 5, p. 740, 2019.</w:t>
      </w:r>
    </w:p>
    <w:p>
      <w:r>
        <w:t>[34] S. H. Kim et al., 'Test-retest reliability and sensitivity to change of a new Fall Risk Assessment system,' Int. J. Environ. Res. Public Health, vol. 17, no. 14, p. 5082, 2020.</w:t>
      </w:r>
    </w:p>
    <w:p>
      <w:r>
        <w:t>[35] L. Festinger, 'A theory of social comparison processes,' Hum. Relat., vol. 7, no. 2, pp. 117-140, 1954.</w:t>
      </w:r>
    </w:p>
    <w:p>
      <w:r>
        <w:t>[36] J. Cohen, Statistical Power Analysis for the Behavioral Sciences, 2nd ed. Hillsdale, NJ: Erlbaum, 1988.</w:t>
      </w:r>
    </w:p>
    <w:p>
      <w:r>
        <w:t>[37] R. Thaler, 'Toward a positive theory of consumer choice,' J. Econ. Behav. Organ., vol. 1, no. 1, pp. 39-60, 1980.</w:t>
      </w:r>
    </w:p>
    <w:p>
      <w:r>
        <w:t>[38] D. Kahneman, J. L. Knetsch, and R. H. Thaler, 'Experimental tests of the endowment effect and the Coase theorem,' J. Political Econ., vol. 98, no. 6, pp. 1325-1348, 1990.</w:t>
      </w:r>
    </w:p>
    <w:p>
      <w:r>
        <w:t>[39] R. A. Dionigi, 'Stereotypes of aging: Their effects on the health of older adults,' J. Geriatr., vol. 2015, art. 954027, 2015.</w:t>
      </w:r>
    </w:p>
    <w:p>
      <w:r>
        <w:t>[40] S. J. Barber, 'An examination of age-based stereotype threat about cognitive decline,' Perspect. Psychol. Sci., vol. 12, no. 1, pp. 62-90, 2017.</w:t>
      </w:r>
    </w:p>
    <w:p>
      <w:r>
        <w:t>[41] M. S. McGlone and J. Aronson, 'Stereotype threat, identity salience, and spatial reasoning,' J. Appl. Dev. Psychol., vol. 27, no. 5, pp. 486-493, 2006.</w:t>
      </w:r>
    </w:p>
    <w:p>
      <w:r>
        <w:t>[42] E. von Elm et al., 'STROBE statement: Guidelines for reporting observational studies,' Ann. Intern. Med., vol. 147, no. 8, pp. 573-577, 2007.</w:t>
      </w:r>
    </w:p>
    <w:p>
      <w:r>
        <w:t>[43] X. Liu et al., 'Reporting guidelines for clinical trials evaluating artificial intelligence interventions (SPIRIT-AI/CONSORT-AI),' Nature Med., vol. 26, pp. 1364-1374, 2020.</w:t>
      </w:r>
    </w:p>
    <w:p>
      <w:r>
        <w:t>[44] WHO, 'Ethics and governance of artificial intelligence for health,' Geneva, 2021.</w:t>
      </w:r>
    </w:p>
    <w:p>
      <w:r>
        <w:t>[45] FDA, Health Canada, and MHRA, 'Good Machine Learning Practice for Medical Device Development: Guiding Principles,' 2021.</w:t>
      </w:r>
    </w:p>
    <w:p>
      <w:r>
        <w:t>[46] S. K. T. Tam and C. F. Cheung, 'A study of utilisation of Fall Risk Assessment among elderly users: A critical review through TAM and Octalysis frameworks with gamification approach,' accepted for publication (SS-293).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2 R2 - full rewrite aligned with thesis V20</dc:title>
  <dc:subject/>
  <dc:creator>python-docx</dc:creator>
  <cp:keywords/>
  <dc:description>R2.1 (21 Jul 2026): five figures attached (interface, clean flow, clean distribution, mechanism, three-arm). K-M and old flow diagram excluded (withdrawn stats baked into the images).</dc:description>
  <cp:lastModifiedBy/>
  <cp:revision>1</cp:revision>
  <dcterms:created xsi:type="dcterms:W3CDTF">2013-12-23T23:15:00Z</dcterms:created>
  <dcterms:modified xsi:type="dcterms:W3CDTF">2013-12-23T23:15:00Z</dcterms:modified>
  <cp:category/>
</cp:coreProperties>
</file>