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MEMORANDUM — PAPER 3 VENUE AND SCOPE DECISION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To: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Prof. Chi Fai Cheung (Supervisor, Principal Investigator)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Sidney K. T. Tam (EngD candidate)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15 September 2026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Paper 3 — scope, timing and venue (v2; supersedes the note of 12 September)</w:t>
      </w:r>
    </w:p>
    <w:p>
      <w:pPr>
        <w:pBdr>
          <w:bottom w:val="single" w:color="000000" w:sz="6"/>
        </w:pBdr>
        <w:spacing w:after="200"/>
      </w:pPr>
    </w:p>
    <w:p>
      <w:pPr>
        <w:spacing w:after="12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Background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developments since my 12 September note. First, JMIR has confirmed the withdrawal of the duplicate submission in writing (“Decision E: Withdrawn by Author”, 14 September; you were copied), so manuscript #111728 is closed. Second, on reflection I would prefer not to return to JMIR Serious Games with Paper 3 so soon after that withdrawal, even though the editor's letter invited future submissions. I therefore ask your decision on the two questions below. As agreed, I will submit nothing, and send no correspondence to any editorial office, without your prior approval.</w:t>
      </w:r>
    </w:p>
    <w:p>
      <w:pPr>
        <w:spacing w:after="12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Decision 1 — Scope and timing (please tick one)</w:t>
      </w:r>
    </w:p>
    <w:p>
      <w:pPr>
        <w:spacing w:after="9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Option A (my recommendation): broaden Paper 3 into the programme's adaptive-learning framework paper and submit after the Stage-3B window closes (late October).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The paper keeps the verified Stage-3A empirical core (93.3% retention; 15 of 23 dropouts returning; the 29.3-point commitment gap), adds a compact exposition of the framework from thesis Chapter 7 (three principles and the credible-progress rules), and reports the Stage-3B 2×2 component results once returns are verified and classified under the pre-specified analysis plan of 8–9 August. I will draft the Stage-3B sections myself. This is the framework-with-evidence paper I would like on record as the programme's key publication, at a cost of roughly six weeks.</w:t>
      </w:r>
    </w:p>
    <w:p>
      <w:pPr>
        <w:spacing w:after="90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Option B: submit now at the current Stage-3A scope, with Stage 3B described only as a launched, pre-specified component study whose results are not reported.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Faster, but reviewers are likely to ask why we did not wait for our own running study, and the framework would remain a discussion direction rather than the contribution.</w:t>
      </w:r>
    </w:p>
    <w:p>
      <w:pPr>
        <w:spacing w:after="12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Decision 2 — Venue (JMIR Serious Games excluded; please tick one)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100"/>
        <w:gridCol w:w="4640"/>
        <w:gridCol w:w="2100"/>
      </w:tblGrid>
      <w:tr>
        <w:tc>
          <w:tcPr>
            <w:tcW w:type="dxa" w:w="52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Venue</w:t>
            </w:r>
          </w:p>
        </w:tc>
        <w:tc>
          <w:tcPr>
            <w:tcW w:type="dxa" w:w="464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Fit and considerations</w:t>
            </w:r>
          </w:p>
        </w:tc>
        <w:tc>
          <w:tcPr>
            <w:tcW w:type="dxa" w:w="210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Package status</w:t>
            </w:r>
          </w:p>
        </w:tc>
      </w:tr>
      <w:tr>
        <w:tc>
          <w:tcPr>
            <w:tcW w:type="dxa" w:w="52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210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Games for Health Journal (Liebert)</w:t>
            </w:r>
          </w:p>
        </w:tc>
        <w:tc>
          <w:tcPr>
            <w:tcW w:type="dxa" w:w="464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Closest peer of JMIR Serious Games; serious games for health; strong older-adult record. Sidney's first preference.</w:t>
            </w:r>
          </w:p>
        </w:tc>
        <w:tc>
          <w:tcPr>
            <w:tcW w:type="dxa" w:w="210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One reformatting pass needed</w:t>
            </w:r>
          </w:p>
        </w:tc>
      </w:tr>
      <w:tr>
        <w:tc>
          <w:tcPr>
            <w:tcW w:type="dxa" w:w="52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210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JMIR Aging (JMIR Publications)</w:t>
            </w:r>
          </w:p>
        </w:tc>
        <w:tc>
          <w:tcPr>
            <w:tcW w:type="dxa" w:w="464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Best scientific fit for older-adults technology; the withdrawal confirmation explicitly invited another JMIR journal. Listed only if the publisher is acceptable.</w:t>
            </w:r>
          </w:p>
        </w:tc>
        <w:tc>
          <w:tcPr>
            <w:tcW w:type="dxa" w:w="210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JMIR-format package adapts directly</w:t>
            </w:r>
          </w:p>
        </w:tc>
      </w:tr>
      <w:tr>
        <w:tc>
          <w:tcPr>
            <w:tcW w:type="dxa" w:w="52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210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IEEE Access</w:t>
            </w:r>
          </w:p>
        </w:tc>
        <w:tc>
          <w:tcPr>
            <w:tcW w:type="dxa" w:w="464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Broad engineering venue; adaptive-systems framing fits; fastest route; less visibility in the health-games community.</w:t>
            </w:r>
          </w:p>
        </w:tc>
        <w:tc>
          <w:tcPr>
            <w:tcW w:type="dxa" w:w="210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Complete and verified (11 Sep bundle)</w:t>
            </w:r>
          </w:p>
        </w:tc>
      </w:tr>
      <w:tr>
        <w:tc>
          <w:tcPr>
            <w:tcW w:type="dxa" w:w="52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210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Other (please name):</w:t>
            </w:r>
          </w:p>
        </w:tc>
        <w:tc>
          <w:tcPr>
            <w:tcW w:type="dxa" w:w="464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single" w:color="666666" w:sz="4"/>
              <w:left w:val="single" w:color="666666" w:sz="4"/>
              <w:bottom w:val="single" w:color="666666" w:sz="4"/>
              <w:right w:val="single" w:color="66666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Also needed from you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(a) The Stage-3B window-close date, alongside your signature on the Stage-3B mini-protocol (§9). (b) Your ORCID identifier, required by the submission forms.</w:t>
      </w:r>
    </w:p>
    <w:p>
      <w:pPr>
        <w:spacing w:after="12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Housekeeping already in hand (no action needed)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Before any submission I will correct four manuscript items: “pre-registered” → “pre-specified (repository-dated 8–9 August 2026)” for Stage 3B; the ethics sentence aligned to the approval memo's own terminology; the initial-dropout timing qualification now stated in the thesis; and anchoring of the two questionnaire percentages to the as-administered instrument wording. Separately, when JIKM issues its first revision request for Paper 2, I hold a prepared correction list (interview-record description; a leftover working-draft note in the ethics section; the same ethics-terminology alignment). Nothing will be sent to JIKM before that request arrives.</w:t>
      </w:r>
    </w:p>
    <w:p>
      <w:pPr>
        <w:spacing w:after="12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Your decisions</w:t>
      </w:r>
    </w:p>
    <w:p>
      <w:pPr>
        <w:spacing w:after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Decision 1 (scope):  ☐ Option A    ☐ Option B</w:t>
      </w:r>
    </w:p>
    <w:p>
      <w:pPr>
        <w:spacing w:after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Decision 2 (venue):  ☐ Games for Health Journal    ☐ JMIR Aging    ☐ IEEE Access    ☐ Other: ______________</w:t>
      </w:r>
    </w:p>
    <w:p>
      <w:pPr>
        <w:spacing w:after="24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Stage-3B window-close date: ______________________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line="276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</w:t>
            </w:r>
          </w:p>
          <w:p>
            <w:pPr>
              <w:spacing w:after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Prof. Chi Fai Cheung — approval and date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line="276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_______________________________</w:t>
            </w:r>
          </w:p>
          <w:p>
            <w:pPr>
              <w:spacing w:after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Sidney K. T. Tam — 15 September 2026</w:t>
            </w:r>
          </w:p>
        </w:tc>
      </w:tr>
    </w:tbl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2026-09-15T07:50:24.440Z</dcterms:created>
  <dcterms:modified xsi:type="dcterms:W3CDTF">2026-09-15T07:50:24.451Z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