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 3 Writing Guideline — the Adaptive-Learning Framework Paper</w:t>
      </w:r>
    </w:p>
    <w:p>
      <w:pPr>
        <w:spacing w:after="120"/>
      </w:pPr>
      <w:r>
        <w:rPr>
          <w:b w:val="0"/>
          <w:i/>
        </w:rPr>
        <w:t>Prepared 15 September 2026 · for the author's own drafting of the Stage-3B sections · working title direction: “An Adaptive-Learning Response to Failure-Associated Non-Return in Gamified Health Assessment: Framework and Field Evidence from Two Deployment Studies” (title final after results are in).</w:t>
      </w:r>
    </w:p>
    <w:p>
      <w:pPr>
        <w:pStyle w:val="Heading1"/>
      </w:pPr>
      <w:r>
        <w:t>1. The paper's argument in one paragraph</w:t>
      </w:r>
    </w:p>
    <w:p>
      <w:pPr>
        <w:spacing w:after="120"/>
      </w:pPr>
      <w:r>
        <w:rPr>
          <w:b w:val="0"/>
          <w:i w:val="0"/>
        </w:rPr>
        <w:t>Older users abandoned a gamified fall-risk assessment after early failure even while their recorded index improved (Paper 2). Removing the participant-facing clinical attachment was associated with high retention and voluntary post-failure return in a separate cohort — but removal leaves users unmeasured and leaves open how to make return worth wanting (Stage 3A; the 29.3-point commitment gap). This paper contributes the adaptive-learning framework designed in response — identity disentanglement, trajectory installation, adaptive calibration, governed by credible-progress rules — and reports the first pre-specified component evidence: a 2×2 field experiment crossing adaptive against static presentation with zero-failure against failure-possible modes. The framework, the credible-progress specification, and the evidence-disciplined evaluation are the contribution; the framework's full effectiveness remains for the pre-specified within-cohort confirmatory study.</w:t>
      </w:r>
    </w:p>
    <w:p>
      <w:pPr>
        <w:pStyle w:val="Heading1"/>
      </w:pPr>
      <w:r>
        <w:t>2. Claim envelope — what this paper may and may not say</w:t>
      </w:r>
    </w:p>
    <w:p>
      <w:pPr>
        <w:spacing w:after="120"/>
      </w:pPr>
      <w:r>
        <w:rPr>
          <w:b/>
          <w:i w:val="0"/>
        </w:rPr>
        <w:t>MAY claim:</w:t>
      </w:r>
    </w:p>
    <w:p>
      <w:pPr>
        <w:pStyle w:val="ListBullet"/>
        <w:spacing w:after="60"/>
      </w:pPr>
      <w:r>
        <w:t>The framework and its credible-progress rules as an original, testable engineering specification (design contribution).</w:t>
      </w:r>
    </w:p>
    <w:p>
      <w:pPr>
        <w:pStyle w:val="ListBullet"/>
        <w:spacing w:after="60"/>
      </w:pPr>
      <w:r>
        <w:t>Stage-3A associations, in the calibrated wording already in the manuscript (retention, return, the commitment gap; between-cohort, multi-component limits stated).</w:t>
      </w:r>
    </w:p>
    <w:p>
      <w:pPr>
        <w:pStyle w:val="ListBullet"/>
        <w:spacing w:after="60"/>
      </w:pPr>
      <w:r>
        <w:t>Stage-3B results as pre-specified component contrasts, whatever their direction — reported against the repository-dated protocol and analysis hierarchy of 8–9 August 2026.</w:t>
      </w:r>
    </w:p>
    <w:p>
      <w:pPr>
        <w:spacing w:after="120"/>
      </w:pPr>
      <w:r>
        <w:rPr>
          <w:b/>
          <w:i w:val="0"/>
        </w:rPr>
        <w:t>MAY NOT claim:</w:t>
      </w:r>
    </w:p>
    <w:p>
      <w:pPr>
        <w:pStyle w:val="ListBullet"/>
        <w:spacing w:after="60"/>
      </w:pPr>
      <w:r>
        <w:t>That the framework is demonstrated effective, that coupling is causally isolated, that any clinical outcome improved, or that 3B identifies the clinical-framing effect (clinical framing is not a 3B factor).</w:t>
      </w:r>
    </w:p>
    <w:p>
      <w:pPr>
        <w:pStyle w:val="ListBullet"/>
        <w:spacing w:after="60"/>
      </w:pPr>
      <w:r>
        <w:t>‘Preregistered’ anywhere about 3B — the word is pre-specified (repository-dated). ‘Preregistered’ appears only as a commitment about the future three-arm study.</w:t>
      </w:r>
    </w:p>
    <w:p>
      <w:pPr>
        <w:pStyle w:val="ListBullet"/>
        <w:spacing w:after="60"/>
      </w:pPr>
      <w:r>
        <w:t>Any use of the quarantined telemetry claims or the synthetic pipeline dataset as evidence — the synthetic workbook may be mentioned only as pipeline verification, labelled synthetic.</w:t>
      </w:r>
    </w:p>
    <w:p>
      <w:pPr>
        <w:pStyle w:val="Heading1"/>
      </w:pPr>
      <w:r>
        <w:t>3. Section map — who writes what, from what source</w:t>
      </w:r>
    </w:p>
    <w:p>
      <w:pPr>
        <w:spacing w:after="120"/>
      </w:pPr>
      <w:r>
        <w:rPr>
          <w:b w:val="0"/>
          <w:i/>
        </w:rPr>
        <w:t>Sections marked YOU are yours to draft; sections marked EXISTS are in the current manuscript and only need trimming or relocation; sections marked ASSIST I will compress from the thesis for your review.</w:t>
      </w:r>
    </w:p>
    <w:p>
      <w:pPr>
        <w:pStyle w:val="ListBullet"/>
        <w:spacing w:after="60"/>
      </w:pPr>
      <w:r>
        <w:t>Title, Abstract — LAST. Written after results; abstract follows the Background/Objective/Methods/Results/Conclusions shape of the current draft.</w:t>
      </w:r>
    </w:p>
    <w:p>
      <w:pPr>
        <w:pStyle w:val="ListBullet"/>
        <w:spacing w:after="60"/>
      </w:pPr>
      <w:r>
        <w:t>1 Introduction — EXISTS (trim): problem, Paper-2 result, the two rival readings, and one new closing paragraph announcing the framework + component test (ASSIST).</w:t>
      </w:r>
    </w:p>
    <w:p>
      <w:pPr>
        <w:pStyle w:val="ListBullet"/>
        <w:spacing w:after="60"/>
      </w:pPr>
      <w:r>
        <w:t>2 Background — EXISTS (trim to ~1 page): FIAS as provisional construct, two appraisal regimes.</w:t>
      </w:r>
    </w:p>
    <w:p>
      <w:pPr>
        <w:pStyle w:val="ListBullet"/>
        <w:spacing w:after="60"/>
      </w:pPr>
      <w:r>
        <w:t>3 The Adaptive-Learning Framework — ASSIST (from thesis §7.4, §7.5.2, ~1.5–2 pages): three principles anchored to observed failure modes; participant-support vs system-improvement cycles; credible-progress rules (separate participation / performance / learning / clinical; record task version, difficulty, assistance; no manufactured rising curve). You review and re-voice.</w:t>
      </w:r>
    </w:p>
    <w:p>
      <w:pPr>
        <w:pStyle w:val="ListBullet"/>
        <w:spacing w:after="60"/>
      </w:pPr>
      <w:r>
        <w:t>4 Study 1: the decoupling deployment (Stage 3A) — EXISTS: compress current Methods+Results to ~2 pages; keep the verified numbers and the multi-component limitation.</w:t>
      </w:r>
    </w:p>
    <w:p>
      <w:pPr>
        <w:pStyle w:val="ListBullet"/>
        <w:spacing w:after="60"/>
      </w:pPr>
      <w:r>
        <w:t>5 Study 2: the 2×2 component experiment (Stage 3B) Methods — YOU. Source: your Mini-Protocol. Cover: design (adaptive/static × zero-failure/failure-possible, silent assignment via five device copies); build (single-file bilingual HTML v3.0; rule-agent adaptation, thresholds 80%/40%; static arm ×0.85, coaching suppressed); consent (in-build screen, explicit tap, consent event in export); distribution (~20 distributors → ~100 recipients, 10–12 Aug, WeChat/e-mail, unsupervised own devices); outcomes (D2 top-two-box as the ONE confirmatory contrast, adaptive vs static pooled across failure modes; failure-mode factor and interaction exploratory); verification procedure (every return checked against the protocol before classification; chain of custody).</w:t>
      </w:r>
    </w:p>
    <w:p>
      <w:pPr>
        <w:pStyle w:val="ListBullet"/>
        <w:spacing w:after="60"/>
      </w:pPr>
      <w:r>
        <w:t>6 Study 2 Results — YOU, after the gates in §4 below. Skeleton: participant flow (distributed → returned → verified → classified); per-arm counts; the confirmatory contrast first, exploratory second; describe, do not over-test, at small N.</w:t>
      </w:r>
    </w:p>
    <w:p>
      <w:pPr>
        <w:pStyle w:val="ListBullet"/>
        <w:spacing w:after="60"/>
      </w:pPr>
      <w:r>
        <w:t>7 Discussion — YOU draft, I calibrate: what 3A+3B together support about the framework; the commitment gap revisited; what remains untested (framework as package; clinical reattachment).</w:t>
      </w:r>
    </w:p>
    <w:p>
      <w:pPr>
        <w:pStyle w:val="ListBullet"/>
        <w:spacing w:after="60"/>
      </w:pPr>
      <w:r>
        <w:t>8 Limitations — YOU list, I merge with existing: self-distributed sample, no invitation denominator, small N, unsupervised play, implied-vs-recorded consent difference between studies, no clinical telemetry.</w:t>
      </w:r>
    </w:p>
    <w:p>
      <w:pPr>
        <w:pStyle w:val="ListBullet"/>
        <w:spacing w:after="60"/>
      </w:pPr>
      <w:r>
        <w:t>9 Future work — EXISTS: the three-arm within-cohort confirmatory study (to be preregistered before data collection).</w:t>
      </w:r>
    </w:p>
    <w:p>
      <w:pPr>
        <w:pStyle w:val="Heading1"/>
      </w:pPr>
      <w:r>
        <w:t>4. Hard gates — do not write Section 6 before these</w:t>
      </w:r>
    </w:p>
    <w:p>
      <w:pPr>
        <w:pStyle w:val="ListBullet"/>
        <w:spacing w:after="60"/>
      </w:pPr>
      <w:r>
        <w:t>GATE 1: window closes (date with Prof. Cheung — protocol §9 sign-off names it; late October).</w:t>
      </w:r>
    </w:p>
    <w:p>
      <w:pPr>
        <w:pStyle w:val="ListBullet"/>
        <w:spacing w:after="60"/>
      </w:pPr>
      <w:r>
        <w:t>GATE 2: every return verified against the deployed build and protocol; unverifiable returns quarantined, not counted.</w:t>
      </w:r>
    </w:p>
    <w:p>
      <w:pPr>
        <w:pStyle w:val="ListBullet"/>
        <w:spacing w:after="60"/>
      </w:pPr>
      <w:r>
        <w:t>GATE 3: classification memo written (who ended in which arm — classification follows what participants experienced, not a version label).</w:t>
      </w:r>
    </w:p>
    <w:p>
      <w:pPr>
        <w:pStyle w:val="ListBullet"/>
        <w:spacing w:after="60"/>
      </w:pPr>
      <w:r>
        <w:t>GATE 4: the framing rule is fixed on the observed N BEFORE any analysis (the protocol's rule for how results are framed at the achieved sample size).</w:t>
      </w:r>
    </w:p>
    <w:p>
      <w:pPr>
        <w:pStyle w:val="ListBullet"/>
        <w:spacing w:after="60"/>
      </w:pPr>
      <w:r>
        <w:t>GATE 5: analysis follows the pre-specified hierarchy only; everything else is labelled exploratory. All pre-specified outcomes are reported regardless of direction.</w:t>
      </w:r>
    </w:p>
    <w:p>
      <w:pPr>
        <w:pStyle w:val="Heading1"/>
      </w:pPr>
      <w:r>
        <w:t>5. Fixed wording bank (use verbatim)</w:t>
      </w:r>
    </w:p>
    <w:p>
      <w:pPr>
        <w:pStyle w:val="ListBullet"/>
        <w:spacing w:after="60"/>
      </w:pPr>
      <w:r>
        <w:t>Chronology: “The protocol and the pre-specified analysis hierarchy are repository-dated 8–9 August 2026, before recruitment began; distribution ran 10–12 August through approximately twenty personal-network distributors reaching on the order of one hundred recipients; the first verified return was received on 15 August 2026.”</w:t>
      </w:r>
    </w:p>
    <w:p>
      <w:pPr>
        <w:pStyle w:val="ListBullet"/>
        <w:spacing w:after="60"/>
      </w:pPr>
      <w:r>
        <w:t>Ethics: “The programme's application for human subjects ethics review was approved (reference HSEARS20260805008; Principal Investigator Prof. C. F. Cheung; approved 6 August 2026 by the Departmental Research Committee on behalf of the PolyU Institutional Review Board; approval period 16 June 2024 – 30 October 2026).”</w:t>
      </w:r>
    </w:p>
    <w:p>
      <w:pPr>
        <w:pStyle w:val="ListBullet"/>
        <w:spacing w:after="60"/>
      </w:pPr>
      <w:r>
        <w:t>Consent: “Consent in Stage 3B is recorded in-build: a consent screen stating the research purpose, voluntariness, anonymity and data use, requiring an explicit tap or click before play, with the consent event written into each participant's export.”</w:t>
      </w:r>
    </w:p>
    <w:p>
      <w:pPr>
        <w:pStyle w:val="ListBullet"/>
        <w:spacing w:after="60"/>
      </w:pPr>
      <w:r>
        <w:t>Interim status (only if any part is written before results close): “Data collection commenced in August 2026. The deployed procedures and returned records are being checked against the Stage-3B protocol before final classification and analysis.”</w:t>
      </w:r>
    </w:p>
    <w:p>
      <w:pPr>
        <w:pStyle w:val="Heading1"/>
      </w:pPr>
      <w:r>
        <w:t>6. Numbers bank (verified; do not restate from memory)</w:t>
      </w:r>
    </w:p>
    <w:p>
      <w:pPr>
        <w:pStyle w:val="ListBullet"/>
        <w:spacing w:after="60"/>
      </w:pPr>
      <w:r>
        <w:t>Stage 3A: N=120 (38/41/41 by band); retention 93.3% overall, 85.4% in 65–80; returns 15/23 (65.2%), 10/16 (62.5%) in 65–80; initial dropout 0/38 vs 16/41 (p&lt;.0001); non-return 0.0/4.9/14.6%; endorsement 71.7%; intention 63.3% overall, 56.1% in 65–80; gap 29.3 points. (71.7/63.3 pend the Appendix-D instrument confirmation — close that first.)</w:t>
      </w:r>
    </w:p>
    <w:p>
      <w:pPr>
        <w:pStyle w:val="ListBullet"/>
        <w:spacing w:after="60"/>
      </w:pPr>
      <w:r>
        <w:t>Stage 3B build facts: five device copies committed 9 Aug 2026 07:09; rule-agent thresholds step-up &gt;80% / ease-off &lt;40% avoid rate; static arm ×0.85 multiplier, coaching suppressed; optional model-call path off by default, no embedded credential, per-decision source logging; local storage, participant-initiated export only.</w:t>
      </w:r>
    </w:p>
    <w:p>
      <w:pPr>
        <w:pStyle w:val="ListBullet"/>
        <w:spacing w:after="60"/>
      </w:pPr>
      <w:r>
        <w:t>Stage 3B results: EMPTY until the gates pass — you will fill this from the classification memo.</w:t>
      </w:r>
    </w:p>
    <w:p>
      <w:pPr>
        <w:pStyle w:val="Heading1"/>
      </w:pPr>
      <w:r>
        <w:t>7. Register rules (the house calibration)</w:t>
      </w:r>
    </w:p>
    <w:p>
      <w:pPr>
        <w:pStyle w:val="ListBullet"/>
        <w:spacing w:after="60"/>
      </w:pPr>
      <w:r>
        <w:t>Recorded / documented / observed — never proved / confirmed / demonstrated for empirical claims.</w:t>
      </w:r>
    </w:p>
    <w:p>
      <w:pPr>
        <w:pStyle w:val="ListBullet"/>
        <w:spacing w:after="60"/>
      </w:pPr>
      <w:r>
        <w:t>Mechanisms are hypotheses; associations are associations; the framework is proposed and specified, its evaluation partial.</w:t>
      </w:r>
    </w:p>
    <w:p>
      <w:pPr>
        <w:pStyle w:val="ListBullet"/>
        <w:spacing w:after="60"/>
      </w:pPr>
      <w:r>
        <w:t>Every number traceable to an archived artifact; every limitation stated before a reviewer states it.</w:t>
      </w:r>
    </w:p>
    <w:p>
      <w:pPr>
        <w:pStyle w:val="ListBullet"/>
        <w:spacing w:after="60"/>
      </w:pPr>
      <w:r>
        <w:t>Write your first draft freely in your own voice — do not self-censor while drafting. Calibration is my pass, and we will not lose your voice doing it.</w:t>
      </w:r>
    </w:p>
    <w:p>
      <w:pPr>
        <w:pStyle w:val="Heading1"/>
      </w:pPr>
      <w:r>
        <w:t>8. Workflow and division of labour</w:t>
      </w:r>
    </w:p>
    <w:p>
      <w:pPr>
        <w:spacing w:after="120"/>
      </w:pPr>
      <w:r>
        <w:rPr>
          <w:b w:val="0"/>
          <w:i w:val="0"/>
        </w:rPr>
        <w:t>1. You send Benny the v2 venue-and-scope note; his answers fix venue and the window-close date. 2. I deliver the compressed framework section (§3) and the trimmed 3A study (§4) for your review. 3. You draft Study-2 Methods (§5) now — nothing in it waits for results. 4. Window closes → gates 2–5 → you draft Results and Discussion. 5. I do the calibration pass, merge, and format for the chosen venue. 6. Both authors approve; submission only with Prof. Cheung's explicit go-ahead, per the standing commitment.</w:t>
      </w:r>
    </w:p>
    <w:p>
      <w:pPr>
        <w:spacing w:after="120"/>
      </w:pPr>
      <w:r>
        <w:rPr>
          <w:b w:val="0"/>
          <w:i/>
        </w:rPr>
        <w:t>Target length: 6,500–8,500 words excluding references — in range for Games for Health Journal, JMIR Aging and IEEE Access alike.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