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Multimedia Appendix 1 STROBE Reporting Checklist</w:t>
      </w:r>
    </w:p>
    <w:p>
      <w:pPr>
        <w:widowControl/>
      </w:pPr>
      <w:r>
        <w:t>Paper 3 R7 revised 29 September 2026</w:t>
      </w:r>
    </w:p>
    <w:p>
      <w:pPr>
        <w:widowControl/>
      </w:pPr>
      <w:r>
        <w:t>This checklist maps the Stage 3A report to the STROBE cross-sectional items. Stage 3A is described as an exploratory observational deployment with aggregate tabulations; the available record does not reconstruct longitudinal follow-up. September Stage 3B Pro logs are described separately as developmental evidence, without pooling with Stage 3A or a comparative efficacy analysis. This checklist concerns the Stage 3A observational report.</w:t>
      </w:r>
    </w:p>
    <w:p>
      <w:pPr>
        <w:widowControl/>
      </w:pPr>
      <w:r>
        <w:t>All items are addressed below, including unavailable information. “Reported” means the manuscript provides an account, not that the underlying records have been independently validated. “Partial” identifies information still missing. Page references correspond to this revision and may change with journal typesetting. Item descriptions are paraphrased from the official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2088"/>
        <w:gridCol w:w="6725"/>
      </w:tblGrid>
      <w:tr>
        <w:trPr>
          <w:cantSplit/>
          <w:tblHeader/>
        </w:trPr>
        <w:tc>
          <w:tcPr>
            <w:tcW w:type="dxa" w:w="979"/>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Item</w:t>
            </w:r>
          </w:p>
        </w:tc>
        <w:tc>
          <w:tcPr>
            <w:tcW w:type="dxa" w:w="2088"/>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Reporting topic</w:t>
            </w:r>
          </w:p>
        </w:tc>
        <w:tc>
          <w:tcPr>
            <w:tcW w:type="dxa" w:w="6725"/>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Manuscript location and assessment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Design identification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Title and Abstract, p 1: exploratory observational study.</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Balanced overview</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Abstract, p 1: rationale, recruitment, main counts and limits on FIAS and learning claims.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Scientific rationale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Introduction, p 2: prior FRA observations, provisional FIAS hypothesis, acceptance and appraisal literature.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Aims and hypotheses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Study Objectives, p 2: descriptive and conceptual aims. Statistical Analysis, p 5: age comparisons were selected after tabulation.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Core design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Study Design and Setting, pp 2–3: observational deployment and historical Stage 2 context; no concurrent control.</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5</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Place and chronology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Study Design and Setting, pp 2–3; Participant Information and Game Presentation, p 3: March–April 2026, networks and delivery settings. Exact invitation and individual follow-up dates are unavailable.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6a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Eligibility and selection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distributor recruitment, adult age briefs and no prior Stage 3A study-game play. Full screening, exclusion and unique-participant reconciliation records are unavailable.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Definitions of study variables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Outcomes and Source Records, p 5; Participants and Recruitment, p 3: age bands, compiled engagement and questionnaire labels. Applied outcome rules, questionnaire scoring and individual confounder data are incomplete.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8</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Origins and assessment of data</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Game Build and Intended Procedure, pp 4–5; Outcomes and Source Records, p 5: archived build and Preliminary_Summary source. Participant links, administered instrument and comparable assessments across stages remain unresolved.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9</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Handling potential bias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Statistical Analysis, p 5; Comparison With Prior Work, pp 9–10; Limitations, p 11: selection, classification, assistance and device differences discussed. No verified prospective bias-control procedure is claimed.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10</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Basis for sample size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20 distributors × 10 requested players gives a nominal target of 200; 120 datasets were returned. Actual invitations are unknown; no response rate is calculated.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11</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Numerical variables and grouping</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Statistical Analysis, p 5: existing age bands of 25–44, 45–64 and 65–80 years, explicit count denominators; no continuous-age analysis.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Analysis and covariate adjustment</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percentages, Wilson intervals, chi-square and Fisher exact tests. No participant-level confounder adjustment; estimates are conditional on supplied counts.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Subgroup and interaction methods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exploratory age-band and youngest-versus-oldest comparisons; no interaction model.</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Treatment of missing observations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Outcomes and Source Records, p 5; Questionnaire Coding in the Aggregate Summary, pp 8–9: no imputation; unavailable source links and missing-data flags prevent variable-level reconstruction.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12d</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Sampling features in analysis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Statistical Analysis, p 5: nonprobability network recruitment and unadjusted analyses stated. Distributor clustering and inclusion probabilities cannot be estimated.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12e</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Robustness checks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no sensitivity analysis was calculated. No claim of robustness to alternative classification rules is made.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Numbers through recruitment and analysis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Stage 3A Results, pp 6–9: 20 invited distributors, target 200 and 120 returned records. Numbers approached, screened, starting play and excluded are unknown.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Reasons for nonparticipation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Unavailable. Participants and Recruitment, p 3; Limitations, p 11: invitation and nonreturn reasons were not compiled. The target-to-return difference is not treated as observed refusal or dropout.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Participant flow display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Narrative used. Participants and Recruitment, p 3: known and unknown recruitment stages are stated in prose. A complete person-level flow diagram cannot be reconstructed.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Sample and exposure characteristics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age, gender, education and study-game familiarity as reported. Participant Information and Game Presentation, p 3: settings and controls; no participant-specific device or assistance counts.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Missingness by variable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Unavailable. Outcomes and Source Records, p 5; Questionnaire Coding in the Aggregate Summary, pp 8–9: variable-level missing counts cannot be recovered from the aggregate summary. Denominators do not establish verified completeness.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15</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Outcome totals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Stage 3A Results, pp 6–9, Tables 1–3: all available compiled counts reported. Behavioural event timing, applied labels and questionnaire coding remain unverified.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Estimates and uncertainty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with limits. Stage 3A Results, pp 6–9: unadjusted proportions, Wilson 95% intervals and exploratory tests. No confounder-adjusted effects; uncertainty from selection and coding is not captured by the intervals.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Cut points for grouped data</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Tables 2–3 and Figure 2: 25–44, 45–64 and 65–80 years. Recruitment brief categories are distinguished from analysis bands.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Absolute expression of relative effects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Not applicable. No relative-risk estimate or defined follow-up risk is reported; all quantities are count-based proportions.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17</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Additional analyses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Stage 3A Results, pp 6–9: age comparisons identified as exploratory. No causal Stage 2 contrast, paired behaviour–intention analysis or learning-effect estimate.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Findings in relation to aims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Principal Findings, p 9: engagement classifications linked to the decoupling research question without claiming verification of FIAS.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19</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Limitations and likely bias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Limitations, p 11: returner selection may favour willing or able players; overall bias direction and magnitude cannot be estimated. Measurement, clustering and chronology limitations stated.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20</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Interpretation in context</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Discussion, pp 9–12: competing explanations, historical comparison and unmeasured appraisal and learning. Stage 3B Pro logs support implemented adaptation, with learning inconclusive. Statistical Analysis, p 5: post hoc comparisons and no multiplicity adjustment.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21</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Transferability of findings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Comparison With Prior Work, pp 9–10; Limitations, p 11: network recruitment, unknown invitation denominator, education profile and differences across stages limit generalisation.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22</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Financial support and influence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Funding, p 12: no external funding. Related Publications and Conflicts of Interest distinguish the earlier study and care provider from Stage 3A.</w:t>
            </w:r>
          </w:p>
        </w:tc>
      </w:tr>
    </w:tbl>
    <w:p>
      <w:pPr>
        <w:pStyle w:val="Heading1"/>
        <w:widowControl/>
      </w:pPr>
      <w:r>
        <w:t>Use of this checklist</w:t>
      </w:r>
    </w:p>
    <w:p>
      <w:pPr>
        <w:widowControl/>
      </w:pPr>
      <w:r>
        <w:t>This appendix supplies the reporting map that was referenced but absent from the earlier package. It does not certify complete source verification, establish a causal effect or resolve ethics authorisation. Items marked partial or unavailable should be updated if records are recovered. If outcomes or analyses change, update both the manuscript and this checklist.</w:t>
      </w:r>
    </w:p>
    <w:p>
      <w:pPr>
        <w:pStyle w:val="Heading1"/>
        <w:widowControl/>
      </w:pPr>
      <w:r>
        <w:t>Sources</w:t>
      </w:r>
    </w:p>
    <w:p>
      <w:pPr>
        <w:widowControl/>
      </w:pPr>
      <w:r>
        <w:t>STROBE Initiative. Checklist for cross-sectional studies. https://www.strobe-statement.org/download/strobe-checklist-cross-sectional-studies-pdf (accessed 29 September 2026).</w:t>
      </w:r>
    </w:p>
    <w:p>
      <w:pPr>
        <w:widowControl/>
      </w:pPr>
      <w:r>
        <w:t>von Elm E, Altman DG, Egger M, et al. The STROBE statement: guidelines for reporting observational studies. PLoS Medicine. 2007;4(10):e296. doi:10.1371/journal.pmed.0040296. Manuscript reference 12.</w:t>
      </w:r>
    </w:p>
    <w:sectPr w:rsidR="00125155" w:rsidSect="00034616">
      <w:headerReference w:type="default" r:id="rId13"/>
      <w:footerReference w:type="default" r:id="rId14"/>
      <w:pgSz w:w="12240" w:h="15840"/>
      <w:pgMar w:top="1080"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Paper 3 STROBE appendix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 1 STROBE Reporting Checklist</dc:title>
  <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2026-09-27T11:30:00Z</dcterms:modified>
  <cp:category/>
</cp:coreProperties>
</file>