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in March–April 2026. Twenty distributors were invited, each asked to recruit 10 players across age groups. Actual invitations were unknown; the summary contained 120 returned gameplay records from adults aged 25–80 years, all new to this study game.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in March–April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rule actually applied in aggregation is not retained.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administered wording, language, response scale and positivity threshold have not been reconciled. These counts are not treated as validated measures of coordination, intrinsic motivation, intention or the success of a framing manipulation.</w:t>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yet contain the source-linked observations needed to regenerate the summary or verify unique participant counts. Returned exports and research records are retained, but record-level exclusions, duplicate checks and missingness cannot be reconstructed from the summary.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a dated batch review of 20 September 2026; two further exports, received later by a different route, were added from their raw files. The software labels every export as a researcher self-test; the investigator reports that the codes were played by volunteers and their families or friends recruited for selected age groups. Each export records an in-game consent tap,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Analysis identifiers are separated from identifying correspondence. Stage 3A did not conduct a clinical health-performance assessment.</w:t>
      </w:r>
    </w:p>
    <w:p w14:paraId="77F5A6B9" w14:textId="77777777" w:rsidR="00125155" w:rsidRDefault="00000000">
      <w:pPr>
        <w:pageBreakBefore w:val="0"/>
        <w:widowControl/>
      </w:pPr>
      <w:r>
        <w:t>Stage 3A collection occurred in March–April 2026 after the supervisor’s confirmation to proceed.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p>
    <w:p>
      <w:pPr>
        <w:widowControl/>
      </w:pPr>
      <w:r>
        <w:t>The Pro exports retain the software label “researcher-self-test”, with participant-release or approval fields set to false and ethics references absent or not asserted. The investigator's account of volunteer use is reported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pending reconciliation with the administered instrument.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Stage 3A zero-failure mode,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r>
        <w:t>Some Stage 3B players had previously played the study game, and its instructions asked about previous play. The original component phase has yielded insufficient comparable data: five returns on a superseded build were excluded, and the frozen study edition had produced four returns by 29 September 2026, three of them single sessions, within a collection window that closes on 15 October 2026. The September Pro exports are a separate developmental record: they demonstrate recorded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Uncertain applied classification rules and event timing limit the behavioural meaning of the counts. Questionnaire wording and coding also require reconciliation.</w:t>
      </w:r>
    </w:p>
    <w:p w14:paraId="48E029BE" w14:textId="77777777" w:rsidR="00125155" w:rsidRDefault="00000000">
      <w:pPr>
        <w:pageBreakBefore w:val="0"/>
        <w:widowControl/>
      </w:pPr>
      <w:r>
        <w:t>Device combinations, assistance and distributor effects could influence participation but cannot be linked to individual outcomes.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The team retains returned exports and distribution and return correspondence recording implied consent. Participant-level compilation linked to the Stage 3A aggregates is pending. The twelve Stage 3B Pro source exports and the dated batch review are retained by the first author; the exports' software metadata and the investigator's account of who played are distinguished in reporting. Requests for access should be directed to the corresponding author and require review of de-identification, participant consent and institutional conditions. A fully reconciled participant-level dataset has not been released.</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r>
        <w:t>SKTT led the research programme, deployment, compilation of records and manuscript preparation. CFC supervised the research programme and reviewed the preceding manuscript version.</w:t>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March–April 2026 Stage 3A summary.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