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F99E01" w14:textId="77777777" w:rsidR="00125155" w:rsidRDefault="00000000">
      <w:pPr>
        <w:pStyle w:val="Title"/>
        <w:widowControl/>
      </w:pPr>
      <w:r>
        <w:t>Engagement With a Coordination Game Decoupled From Fall Risk Assessment: Exploratory Observational Study</w:t>
      </w:r>
    </w:p>
    <w:p w14:paraId="0A2F65D5" w14:textId="77777777" w:rsidR="00125155" w:rsidRDefault="00000000">
      <w:pPr>
        <w:pageBreakBefore w:val="0"/>
        <w:widowControl/>
      </w:pPr>
      <w:r>
        <w:t>Sidney K. T. Tam and Chi Fai Cheung</w:t>
      </w:r>
      <w:r>
        <w:br/>
        <w:t>Behaviour and Knowledge Engineering Research Centre</w:t>
      </w:r>
      <w:r>
        <w:br/>
        <w:t>Department of Industrial and Systems Engineering</w:t>
      </w:r>
      <w:r>
        <w:br/>
        <w:t>The Hong Kong Polytechnic University, Hong Kong, China</w:t>
      </w:r>
      <w:r>
        <w:br/>
        <w:t>Corresponding author: sidney.tam@connect.polyu.hk</w:t>
      </w:r>
    </w:p>
    <w:p w14:paraId="57624B35" w14:textId="77777777" w:rsidR="00125155" w:rsidRDefault="00000000">
      <w:pPr>
        <w:pStyle w:val="Heading1"/>
        <w:widowControl/>
      </w:pPr>
      <w:r>
        <w:t>Abstract</w:t>
      </w:r>
    </w:p>
    <w:p w14:paraId="70EC1E3F" w14:textId="77777777" w:rsidR="00125155" w:rsidRDefault="00000000">
      <w:pPr>
        <w:pageBreakBefore w:val="0"/>
        <w:widowControl/>
      </w:pPr>
      <w:r>
        <w:rPr>
          <w:b/>
        </w:rPr>
        <w:t xml:space="preserve">Background: </w:t>
      </w:r>
      <w:r>
        <w:t>Failure-induced abandonment syndrome (FIAS) has been proposed to describe withdrawal after a personally salient adverse experience with gamified fall risk assessment (FRA). A candidate explanation concerns appraisal of one’s own capability. Removing clinical apparatus and outputs offers a way to investigate this question, although changes in game design, access and social context may also affect participation.</w:t>
      </w:r>
    </w:p>
    <w:p w14:paraId="2D51499A" w14:textId="77777777" w:rsidR="00125155" w:rsidRDefault="00000000">
      <w:pPr>
        <w:pageBreakBefore w:val="0"/>
        <w:widowControl/>
      </w:pPr>
      <w:r>
        <w:rPr>
          <w:b/>
        </w:rPr>
        <w:t xml:space="preserve">Objective: </w:t>
      </w:r>
      <w:r>
        <w:t>To describe engagement in a coordination game decoupled from FRA apparatus and outputs, and examine its implications for investigating FIAS and learning from gameplay experience.</w:t>
      </w:r>
    </w:p>
    <w:p w14:paraId="22817662" w14:textId="77777777" w:rsidR="00125155" w:rsidRDefault="00000000">
      <w:pPr>
        <w:pageBreakBefore w:val="0"/>
        <w:widowControl/>
      </w:pPr>
      <w:r>
        <w:rPr>
          <w:b/>
        </w:rPr>
        <w:t>Methods: Stage 3A was an exploratory observational deployment between April and July 2026. Twenty distributors were invited, each asked to recruit 10 players across age groups. Actual invitations were unknown; the summary contained 120 returned gameplay records from adults aged 25–80 years, all new to this study game and including the distributors' own records. Delivery included emailed instructions and prepared iPads, with foot-pad and/or keypad controls. Aggregate engagement classifications were analysed descriptively. Clinical performance, self-appraisal and learning were not assessed in Stage 3A. Subsequent Stage 3B Pro development exports were examined separately as a developmental record.</w:t>
      </w:r>
      <w:r/>
    </w:p>
    <w:p w14:paraId="5BA7547B" w14:textId="77777777" w:rsidR="00125155" w:rsidRDefault="00000000">
      <w:pPr>
        <w:pageBreakBefore w:val="0"/>
        <w:widowControl/>
      </w:pPr>
      <w:r>
        <w:rPr>
          <w:b/>
        </w:rPr>
        <w:t>Results: The Stage 3A summary classified 23 of 120 records (19.2%) as initial dropouts and 15 of these 23 (65.2%) as returned. Initial-dropout classifications were 0 of 38 (0.0%), 7 of 41 (17.1%) and 16 of 41 (39.0%) in the 25–44, 45–64 and 65–80 age bands. Unavailable applied classification rules and event timing limit interpretation.</w:t>
      </w:r>
      <w:r/>
    </w:p>
    <w:p w14:paraId="3D60EC71" w14:textId="77777777" w:rsidR="00125155" w:rsidRDefault="00000000">
      <w:pPr>
        <w:pageBreakBefore w:val="0"/>
        <w:widowControl/>
      </w:pPr>
      <w:r>
        <w:rPr>
          <w:b/>
        </w:rPr>
        <w:t xml:space="preserve">Conclusions: </w:t>
      </w:r>
      <w:r>
        <w:t>The deployment supports a research direction in which abandonment is investigated in relation to self-appraisal and opportunities to learn from experience. It does not establish FIAS as a distinct mechanism, an effect of clinical decoupling, or adaptive-learning efficacy. Source-linked behavioural records and direct measures of appraisal and learning are needed to test these propositions.</w:t>
      </w:r>
    </w:p>
    <w:p w14:paraId="4A5B8B42" w14:textId="77777777" w:rsidR="00125155" w:rsidRDefault="00000000">
      <w:pPr>
        <w:pageBreakBefore w:val="0"/>
        <w:widowControl/>
      </w:pPr>
      <w:r>
        <w:t>Keywords: gamification; older adults; engagement; self-appraisal; coordination game; fall risk assessment; exploratory observational study; adaptive learning</w:t>
      </w:r>
    </w:p>
    <w:p w14:paraId="34FA4582" w14:textId="77777777" w:rsidR="00125155" w:rsidRDefault="00000000">
      <w:pPr>
        <w:pStyle w:val="Heading1"/>
        <w:widowControl/>
      </w:pPr>
      <w:r>
        <w:t>Introduction</w:t>
      </w:r>
    </w:p>
    <w:p w14:paraId="0049609A" w14:textId="77777777" w:rsidR="00125155" w:rsidRDefault="00000000">
      <w:pPr>
        <w:pStyle w:val="Heading2"/>
        <w:widowControl/>
      </w:pPr>
      <w:r>
        <w:t>Background</w:t>
      </w:r>
    </w:p>
    <w:p w14:paraId="1A0B954B" w14:textId="77777777" w:rsidR="00125155" w:rsidRDefault="00000000">
      <w:pPr>
        <w:pageBreakBefore w:val="0"/>
        <w:widowControl/>
      </w:pPr>
      <w:r>
        <w:t>A survey of 200 residents at a Guangzhou care facility, from a resident population of 280, found that 39% had used an installed fall risk assessment (FRA) system; among prior users, approximately 74% reported an adverse or unacceptable first experience and, of that subgroup, approximately 82% reported no subsequent return [1]. A subsequent eight-week deployment with 30 residents examined engagement with a gamified FRA at the clinical station. In that cohort, 70.0% recorded three or fewer completed runs and none of 21 low-engagement participants recorded a later run during the observation window [2]. These earlier observations motivated a redesign of the way participants encountered the game.</w:t>
      </w:r>
    </w:p>
    <w:p w14:paraId="496B0B34" w14:textId="77777777" w:rsidR="00125155" w:rsidRDefault="00000000">
      <w:pPr>
        <w:pageBreakBefore w:val="0"/>
        <w:widowControl/>
      </w:pPr>
      <w:r>
        <w:t>The programme proposed failure-induced abandonment syndrome (FIAS) as a provisional label for non-return following an adverse, personally salient experience [1,2]. The central hypothesis concerns a self-cognitive challenge: a player may interpret performance in a clinically attached game as evidence about their own capability, making further participation personally threatening. FIAS is not a clinical diagnosis or a validated measurement construct. Technology-acceptance and gamification approaches remain relevant [3,4,5]; the senior technology acceptance model already includes self-efficacy and anxiety [4]. The present hypothesis therefore requires evidence of a specific appraisal process, not simply evidence of abandonment. Loss aversion and the endowment effect offer possible theoretical analogies [6,7,8], but neither these processes nor identity threat were measured here.</w:t>
      </w:r>
    </w:p>
    <w:p w14:paraId="2A99B180" w14:textId="77777777" w:rsidR="00125155" w:rsidRDefault="00000000">
      <w:pPr>
        <w:pageBreakBefore w:val="0"/>
        <w:widowControl/>
      </w:pPr>
      <w:r>
        <w:t>Gerontoludic design prioritises enjoyable play and the diversity of ageing [9], while affective game planning explicitly connects appraisal to meaningful interaction [10]. These perspectives support examining the meaning a player assigns to an experience. Usability, accessibility, motivation and ordinary attrition also remain possible explanations for non-return [11]. Clinical decoupling is a design strategy for investigating the appraisal hypothesis; it cannot by itself verify FIAS or exclude these alternatives.</w:t>
      </w:r>
    </w:p>
    <w:p w14:paraId="653B3EDC" w14:textId="77777777" w:rsidR="00125155" w:rsidRDefault="00000000">
      <w:pPr>
        <w:pStyle w:val="Heading2"/>
        <w:widowControl/>
      </w:pPr>
      <w:r>
        <w:t>Study Objectives</w:t>
      </w:r>
    </w:p>
    <w:p w14:paraId="2CE76314" w14:textId="77777777" w:rsidR="00125155" w:rsidRDefault="00000000">
      <w:pPr>
        <w:pageBreakBefore w:val="0"/>
        <w:widowControl/>
      </w:pPr>
      <w:r>
        <w:t>Stage 3A transferred the skiing-style coordination game to a browser deployment without the FRA assessment apparatus or clinical outputs. Its primary objective was to describe the available engagement classifications and their age distribution in this setting. Its conceptual objective was to examine how this decoupling could inform investigation of FIAS as a proposed self-appraisal mechanism. A further design objective concerned learning from experience: continued play could provide opportunities to adjust strategies and responses. Stage 3A did not measure such learning. Subsequent Stage 3B development explored alternative mechanisms for a future adaptive-learning evaluation and is discussed separately from the Stage 3A results.</w:t>
      </w:r>
    </w:p>
    <w:p w14:paraId="43D0B1FC" w14:textId="77777777" w:rsidR="00125155" w:rsidRDefault="00000000">
      <w:pPr>
        <w:pStyle w:val="Heading1"/>
        <w:widowControl/>
      </w:pPr>
      <w:r>
        <w:t>Methods</w:t>
      </w:r>
    </w:p>
    <w:p w14:paraId="3848E178" w14:textId="77777777" w:rsidR="00125155" w:rsidRDefault="00000000">
      <w:pPr>
        <w:pStyle w:val="Heading2"/>
        <w:widowControl/>
      </w:pPr>
      <w:r>
        <w:t>Study Design and Setting</w:t>
      </w:r>
    </w:p>
    <w:p w14:paraId="5EFE9906" w14:textId="77777777" w:rsidR="00125155" w:rsidRDefault="00000000">
      <w:pPr>
        <w:pageBreakBefore w:val="0"/>
        <w:widowControl/>
      </w:pPr>
      <w:r>
        <w:t>Stage 3A was an exploratory observational deployment conducted between April and July 2026, reported through aggregate tabulations of engagement classifications. Multimedia Appendix 1 maps the report to the STROBE checklist for cross-sectional studies [12] and identifies unavailable information. Recruitment used Hong Kong-based personal and community networks, including work contacts, a charity community network, university support channels and medical-centre peers. Gameplay occurred away from the clinical FRA station. Supervision was not required. Some older players received help operating a prepared iPad from a research assistant, without the assistant playing on their behalf. The number and extent of assisted sessions were not recorded by participant. The therapist-supervised Stage 2 cohort [2] provides historical context and was not a concurrent control group.</w:t>
      </w:r>
    </w:p>
    <w:p w14:paraId="6841729D" w14:textId="77777777" w:rsidR="00125155" w:rsidRDefault="00000000">
      <w:pPr>
        <w:pStyle w:val="Heading2"/>
        <w:widowControl/>
      </w:pPr>
      <w:r>
        <w:t>Participants and Recruitment</w:t>
      </w:r>
    </w:p>
    <w:p w14:paraId="31D6DF68" w14:textId="77777777" w:rsidR="00125155" w:rsidRDefault="00000000">
      <w:pPr>
        <w:pageBreakBefore w:val="0"/>
        <w:widowControl/>
      </w:pPr>
      <w:r>
        <w:t>We invited 20 distributors, acting as research assistants, and asked each to find 10 players across age groups, giving a nominal recruitment target of 200. The number of distributors who actively recruited, the number of people they actually invited and the number who began play without returning a file were not compiled. The target was a recruitment aim rather than a formal power calculation. We received 120 gameplay datasets represented in the aggregate summary. The investigator reports that the distributors, members of separate Hong Kong groups without prior knowledge of the gamified FRA, were eligible and also played, and that their own records are among the 120; their records cannot be separated from those of the players they recruited. Accordingly, 120 is the returned-record denominator; it is not an invitation count, and dividing it by the target of 200 would not provide a response rate.</w:t>
      </w:r>
    </w:p>
    <w:p w14:paraId="1B45619D" w14:textId="77777777" w:rsidR="00125155" w:rsidRDefault="00000000">
      <w:pPr>
        <w:pageBreakBefore w:val="0"/>
        <w:widowControl/>
      </w:pPr>
      <w:r>
        <w:t>Stage 3A players had not previously played this study game. This refers to study-specific familiarity, not general gaming or technology experience. Stage 3A used a different cohort from the Stage 2 residents. The summary records ages of 25–80 years: 38 records in the 25–44 band, 41 in the 45–64 band and 41 in the 65–80 band; 48 were recorded as men and 72 as women, and all as having high-school education or above. These demographic counts are retained as compiled. Distributor briefs addressed players aged 18–45 and players aged 45 and over; these brief categories differ from the reported analysis bands. Recruitment through distributors and onward forwarding constitutes a nonprobability network sample with possible selection and researcher influence. Participant-level linkage and duplicate checking are required to confirm the correspondence between returned files and unique participants.</w:t>
      </w:r>
    </w:p>
    <w:p w14:paraId="4FBE8CCA" w14:textId="77777777" w:rsidR="00125155" w:rsidRDefault="00000000">
      <w:pPr>
        <w:pStyle w:val="Heading2"/>
        <w:widowControl/>
      </w:pPr>
      <w:r>
        <w:t>Participant Information and Game Presentation</w:t>
      </w:r>
    </w:p>
    <w:p w14:paraId="5C2C0988" w14:textId="77777777" w:rsidR="00125155" w:rsidRDefault="00000000">
      <w:pPr>
        <w:pageBreakBefore w:val="0"/>
        <w:widowControl/>
      </w:pPr>
      <w:r>
        <w:t>Distribution included remote email invitations with introductory information and prepared iPads with the game preloaded for some older players. We describe the participant invitation as a university-headed invitation to play a skiing game, introducing falls and balance training and disclosing the game’s origin in an FRA platform. The available invitation document is a retrospective account dated 4 August 2026 whose heading gives the study period as March to April 2026, whereas the research assistant reports that recruitment began on 3 April 2026; the original version as distributed has not been linked to the study record. A distributor email described a coordination game and stated that the clinical context was being dropped. The original communications are needed to establish the health-related wording each participant received.</w:t>
      </w:r>
    </w:p>
    <w:p w14:paraId="207692AE" w14:textId="77777777" w:rsidR="00125155" w:rsidRDefault="00000000">
      <w:pPr>
        <w:pageBreakBefore w:val="0"/>
        <w:widowControl/>
      </w:pPr>
      <w:r>
        <w:t>Clinical decoupling removed the pressure-panel assessment station, the pre-session clinical scan and participant-facing clinical scores or risk outputs. Stage 3A used foot-pad and/or keypad controls, intended to approximate aspects of the control demands of Stage 2. This intended similarity does not establish equivalent motor demands or measurement validity. Device, location and assistance could vary, and recruitment could still mention the health-related origin. Decoupling therefore denotes removal of clinical apparatus and outputs within a broader deployment change; exposure to health-related framing was not experimentally controlled.</w:t>
      </w:r>
    </w:p>
    <w:p w14:paraId="7FE5E2BE" w14:textId="77777777" w:rsidR="00125155" w:rsidRDefault="00000000">
      <w:pPr>
        <w:pStyle w:val="Heading2"/>
        <w:widowControl/>
      </w:pPr>
      <w:r>
        <w:t>Game Build and Intended Procedure</w:t>
      </w:r>
    </w:p>
    <w:p w14:paraId="31388271" w14:textId="77777777" w:rsidR="00125155" w:rsidRDefault="00000000">
      <w:pPr>
        <w:pageBreakBefore w:val="0"/>
        <w:widowControl/>
      </w:pPr>
      <w:r>
        <w:t>The archived Stage 3A build is Alpine_Coordination_Game_Stage3_v2.2.html, a 37,279-byte HTML file with SHA-256 prefix 42bc3df6; the archive identifies it as byte-identical to the _v2 file. Runs use a distance goal or a time cap: 200 m or 30 seconds, and 400 m or 60 seconds. The zero-failure mode does not slow the player following a bump. The investigator reports that distributors received both this archived build, first created on 13 July 2026, and an earlier version in which a run could end in a game over, and passed them on; returns did not record which version a participant played, so the number who played each is unknown. The investigator reports that implementation limitations with the earlier version led to this build and that the main period of play was postponed to late July 2026, so most returns fell within a few weeks before the summary was compiled. The build supports keyboard arrows and a joystick or foot pad through the browser Gamepad API; it lacks touch controls. Prepared-iPad delivery therefore does not imply touchscreen input: the reported tablet-assisted sessions used an external keyboard. Participant-specific device and controller combinations are unavailable. Touchscreen input belongs to the later Stage 3B design. Figure 1 illustrates the archived Stage 3A design at staged difficulty settings.</w:t>
      </w:r>
    </w:p>
    <w:p w14:paraId="30F465F7" w14:textId="77777777" w:rsidR="00125155" w:rsidRDefault="00000000">
      <w:pPr>
        <w:keepNext/>
        <w:pageBreakBefore w:val="0"/>
        <w:widowControl/>
        <w:spacing w:after="60"/>
        <w:jc w:val="center"/>
      </w:pPr>
      <w:r>
        <w:rPr>
          <w:noProof/>
        </w:rPr>
        <w:drawing>
          <wp:inline distT="0" distB="0" distL="0" distR="0" wp14:anchorId="51258C38" wp14:editId="28811B89">
            <wp:extent cx="5212080" cy="5988680"/>
            <wp:effectExtent l="0" t="0" r="0" b="0"/>
            <wp:docPr id="1" name="Picture 1" descr="Figure 1. Archived Stage-3 coordination-game design at staged difficulty multipliers. Steering uses keyboard arrows, a controller or foot pad. The illustrated interface omits clinical labels, clinical scores and risk outputs. These screenshots illustrate the archived design and do not verify the settings or version used by every particip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212080" cy="5988680"/>
                    </a:xfrm>
                    <a:prstGeom prst="rect">
                      <a:avLst/>
                    </a:prstGeom>
                  </pic:spPr>
                </pic:pic>
              </a:graphicData>
            </a:graphic>
          </wp:inline>
        </w:drawing>
      </w:r>
    </w:p>
    <w:p w14:paraId="2AF87E3D" w14:textId="77777777" w:rsidR="00125155" w:rsidRDefault="00000000">
      <w:pPr>
        <w:pStyle w:val="Caption"/>
        <w:keepNext w:val="0"/>
        <w:keepLines/>
        <w:widowControl/>
      </w:pPr>
      <w:r>
        <w:t>Figure 1. Archived Stage 3A coordination-game design at staged difficulty multipliers. Steering uses keyboard arrows, a controller or foot pad. The interface omits clinical labels, clinical scores and risk outputs. These screenshots illustrate the archived design and do not verify the settings or version used by every participant.</w:t>
      </w:r>
    </w:p>
    <w:p w14:paraId="5FF106C9" w14:textId="77777777" w:rsidR="00125155" w:rsidRDefault="00000000">
      <w:pPr>
        <w:pageBreakBefore w:val="0"/>
        <w:widowControl/>
      </w:pPr>
      <w:r>
        <w:t>The distributor brief suggested five sessions, whereas the aggregate register describes initial dropout as stopping before five attempts. Whether these units meant separate visits or runs within one sitting is not established. The intended procedure is therefore distinguished from verified completion. The build includes an enabled-by-default option to request language-model difficulty advice, with a local-rule fallback. The absence of an embedded credential and the browser configuration suggest that local rules operated, but no retained runtime log establishes whether a model request succeeded. AI assistance in software development is separate from an AI system operating during gameplay; no language-model effectiveness is claimed.</w:t>
      </w:r>
    </w:p>
    <w:p w14:paraId="3C9E2FC7" w14:textId="77777777" w:rsidR="00125155" w:rsidRDefault="00000000">
      <w:pPr>
        <w:pStyle w:val="Heading2"/>
        <w:widowControl/>
      </w:pPr>
      <w:r>
        <w:t>Outcomes and Source Records</w:t>
      </w:r>
    </w:p>
    <w:p w14:paraId="1B9BA835" w14:textId="77777777" w:rsidR="00125155" w:rsidRDefault="00000000">
      <w:pPr>
        <w:pageBreakBefore w:val="0"/>
        <w:widowControl/>
      </w:pPr>
      <w:r>
        <w:t>The primary available quantities are the register’s classifications of initial dropout, returned among initial dropouts, and non-return among initial dropouts. The descriptive initial-dropout label is “dropped out before completing 5 attempts”. The investigator reports that the classifications applied a failure-then-stop rule: a player who stopped after a failure, including a game over in the earlier version, was classified as an initial dropout; one who later played again, on either build and at any time before the July 2026 compilation, as returned, regardless of how long or how often they then played; and one who never played again as a non-return. For older players, the failure and the stop were observed by an assistant; for others, they were inferred from reported results or from not playing again after the first game, so some initial dropouts have no recorded failure. Exporting results from the archived build was optional, so returns arrived over several weeks. The source records behind each classification are not linked to the summary. Dates of first play, disengagement and return, a disengagement checkpoint, reminders and assistance are unavailable in the compiled record. Consequently, these counts cannot distinguish immediate replay from later re-engagement or prompted from unprompted return. The complement of the eight non-return classifications is 112 records, which does not establish five-attempt completion or activity at an observation-window endpoint and is not a retention outcome.</w:t>
      </w:r>
    </w:p>
    <w:p w14:paraId="3D90B499" w14:textId="77777777" w:rsidR="00125155" w:rsidRDefault="00000000">
      <w:pPr>
        <w:pageBreakBefore w:val="0"/>
        <w:widowControl/>
      </w:pPr>
      <w:r>
        <w:t>Two questionnaire-related counts are retained as positive-coded responses in the aggregate summary. The summary labels the items as liking the game as a reflection of eye-leg coordination and using it for regular health training if accessible; the retrospective invitation instead describes a coordination challenge and willingness to play regularly. The investigator reports that the questionnaire contained these two items and demographic questions, used a five-point scale on which 4 or 5 was coded positive, and was answered by players immediately after they chose to stop playing. The questionnaire as sent, including its language, has not been linked to the study record, and the difference between the summary labels and the invitation wording is unresolved. These counts are not treated as validated measures of coordination, intrinsic motivation, intention or the success of a framing manipulation.</w:t>
      </w:r>
    </w:p>
    <w:p w14:paraId="736D2606" w14:textId="77777777" w:rsidR="00125155" w:rsidRDefault="00000000">
      <w:pPr>
        <w:pageBreakBefore w:val="0"/>
        <w:widowControl/>
      </w:pPr>
      <w:r>
        <w:t>All Stage 3A numerical results reported here originate in the Preliminary_Summary sheet of the Stage 3 data logbook. Its participant-level sheets do not contain the source-linked observations needed to regenerate the summary or verify unique participant counts. No participant names or email addresses were collected. With the first build, results and stopping were recorded by hand by assistants who were not always beside the player; later returns arrived by email in mixed formats. The returned results and questionnaire responses were compiled into the summary in July 2026 and were not retained as separate records, so record-level exclusions, duplicate checks and missingness cannot be reconstructed. No imputation or participant-level adjustment was performed. Records from subsequent development exercises are not added to the Stage 3A denominator.</w:t>
      </w:r>
    </w:p>
    <w:p w14:paraId="3D58A938" w14:textId="77777777" w:rsidR="00125155" w:rsidRDefault="00000000">
      <w:pPr>
        <w:pStyle w:val="Heading2"/>
        <w:widowControl/>
      </w:pPr>
      <w:r>
        <w:t>Statistical Analysis</w:t>
      </w:r>
    </w:p>
    <w:p w14:paraId="0D60988C" w14:textId="77777777" w:rsidR="00125155" w:rsidRDefault="00000000">
      <w:pPr>
        <w:pageBreakBefore w:val="0"/>
        <w:widowControl/>
      </w:pPr>
      <w:r>
        <w:t>Counts and percentages are reported with explicit denominators. Wilson score 95% confidence intervals use the reported binomial counts. An exploratory chi-square test examines age-band differences in initial-dropout classifications, and a Fisher exact test compares the youngest and oldest bands. These unadjusted comparisons were selected after tabulation; they were not prespecified and no multiplicity adjustment was applied. Analyses use the available aggregate age bands, without participant-level adjustment for device, assistance, education, prior technology experience or distributor clustering. Intervals and tests are conditional on the reported counts and assumed independence; they do not resolve selection or classification uncertainty. No causal contrast with Stage 2, time-to-event analysis, paired behaviour–intention analysis, sensitivity analysis or learning-effect estimate was calculated.</w:t>
      </w:r>
    </w:p>
    <w:p>
      <w:pPr>
        <w:pStyle w:val="Heading2"/>
        <w:widowControl/>
      </w:pPr>
      <w:r>
        <w:t>Stage 3B Pro Development Records</w:t>
      </w:r>
    </w:p>
    <w:p>
      <w:pPr>
        <w:widowControl/>
      </w:pPr>
      <w:r>
        <w:t>Twelve Pro exports from 19–20 September 2026 (UTC; builds 4.1 and 4.1.1), covering seven participant codes, were examined retrospectively as a separate development exercise. Ten, covering five codes, were summarised in a dated batch review of 20 September 2026; two further exports, received later by a different route, were added from their raw files. The software labels every export as a researcher self-test; the investigator reports that the codes were played by volunteers and their families or friends recruited for selected age groups. Each export records an in-game consent tap, and the exports do not establish whether more than one person played under a code. Counts therefore refer to codes, runs and software-defined visits, without assuming verified individual attribution of every run or independent participants for each visit.</w:t>
      </w:r>
    </w:p>
    <w:p>
      <w:pPr>
        <w:widowControl/>
      </w:pPr>
      <w:r>
        <w:t>Repeated cumulative exports were reconciled by code and run identifier; duplicate practice-detail rows in CSV exports were not counted again. Adaptation decisions were checked against linked performance and feedback records and the next run’s recorded settings. Complete within-visit opening and closing checks were described using obstacle clearance, calculated as 100 × (obstacles faced − obstacles hit) / obstacles faced. These descriptive checks do not estimate a learning effect or establish equivalence of different courses.</w:t>
      </w:r>
    </w:p>
    <w:p w14:paraId="4DC8E61C" w14:textId="77777777" w:rsidR="00125155" w:rsidRDefault="00000000">
      <w:pPr>
        <w:pStyle w:val="Heading2"/>
        <w:widowControl/>
      </w:pPr>
      <w:r>
        <w:t>Ethical Considerations</w:t>
      </w:r>
    </w:p>
    <w:p w14:paraId="2F30A34E" w14:textId="77777777" w:rsidR="00125155" w:rsidRDefault="00000000">
      <w:pPr>
        <w:pageBreakBefore w:val="0"/>
        <w:widowControl/>
      </w:pPr>
      <w:r>
        <w:t>Participation was voluntary and unpaid. According to the retained account of the invitation and distribution emails, participants were informed about the study, collection of game records and questionnaire responses, aggregate use, voluntariness and withdrawal. Returning the results file and questionnaire responses constituted implied informed consent; no written consent instrument was administered. No personal names were requested at enrolment. The returned files were not retained as separate records after compilation, so implied consent is documented by the invitation wording and the aggregate record rather than by individual returns. Stage 3A did not conduct a clinical health-performance assessment.</w:t>
      </w:r>
    </w:p>
    <w:p w14:paraId="77F5A6B9" w14:textId="77777777" w:rsidR="00125155" w:rsidRDefault="00000000">
      <w:pPr>
        <w:pageBreakBefore w:val="0"/>
        <w:widowControl/>
      </w:pPr>
      <w:r>
        <w:t>Stage 3A recruitment began on 3 April 2026 after the supervisor’s confirmation to proceed. According to the research assistant who handled collection, most players took part after the recruitment deadline, and returns from older players in particular arrived late because reaching them required communication and arrangements; the last returns were compiled and processed in July 2026. An administrative misunderstanding between the researcher and the administration office delayed the formal application; this account has not been linked to a contemporaneous authorisation record. The programme’s human-subjects ethics application, HSEARS20260805008, was submitted and approved on 6 August 2026 by the Departmental Research Committee of the Department of Industrial and Systems Engineering on behalf of The Hong Kong Polytechnic University Institutional Review Board, with a stated approval period of 16 June 2024 to 30 October 2026. The application described Stages 1–3 as already conducted. Thus, the formal decision followed Stage 3A collection. The supervisor’s confirmation and the later formal decision are distinct. Institutional clarification of the applicable authorisation and the decision’s treatment of the earlier procedures remains outstanding.</w:t>
      </w:r>
    </w:p>
    <w:p>
      <w:pPr>
        <w:widowControl/>
      </w:pPr>
      <w:r>
        <w:t>The Pro exports retain the software label “researcher-self-test”, with participant-release or approval fields set to false and ethics references absent or not asserted. The investigator's account of volunteer use is reported separately from those settings. The applicable consent and institutional-authorisation records for this use require reconciliation; the software flags alone do not establish its ethics status.</w:t>
      </w:r>
    </w:p>
    <w:p w14:paraId="2609FAAC" w14:textId="77777777" w:rsidR="00125155" w:rsidRDefault="00000000">
      <w:pPr>
        <w:pStyle w:val="Heading1"/>
        <w:widowControl/>
      </w:pPr>
      <w:r>
        <w:t>Results</w:t>
      </w:r>
    </w:p>
    <w:p w14:paraId="67E26EE0" w14:textId="77777777" w:rsidR="00125155" w:rsidRDefault="00000000">
      <w:pPr>
        <w:pStyle w:val="Heading2"/>
        <w:widowControl/>
      </w:pPr>
      <w:r>
        <w:t>Compiled Classification Counts</w:t>
      </w:r>
    </w:p>
    <w:p w14:paraId="74C471C5" w14:textId="77777777" w:rsidR="00125155" w:rsidRDefault="00000000">
      <w:pPr>
        <w:pageBreakBefore w:val="0"/>
        <w:widowControl/>
      </w:pPr>
      <w:r>
        <w:t>Of the 120 records in the summary, 23 (19.2%) carried an initial-dropout classification. Fifteen of those 23 (65.2%; 95% CI 44.9%–81.2%) also carried a returned classification and eight (6.7% of all records) a non-return classification. The remaining 97 records are the arithmetic complement of the initial-dropout count. Table 1 presents these quantities without treating the labels as a verified sequence of behavioural events.</w:t>
      </w:r>
    </w:p>
    <w:p w14:paraId="2F4D9013" w14:textId="77777777" w:rsidR="00125155" w:rsidRDefault="00000000">
      <w:pPr>
        <w:pStyle w:val="Caption"/>
        <w:keepNext/>
        <w:keepLines/>
        <w:widowControl/>
      </w:pPr>
      <w:r>
        <w:t>Table 1. Compiled Stage 3A classifications with explicit denominators and conditional Wilson 95% confidence intervals.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4176"/>
        <w:gridCol w:w="1584"/>
        <w:gridCol w:w="1440"/>
        <w:gridCol w:w="2160"/>
      </w:tblGrid>
      <w:tr w:rsidR="00125155" w14:paraId="3C846B73" w14:textId="77777777">
        <w:trPr>
          <w:cantSplit/>
          <w:tblHeader/>
          <w:jc w:val="center"/>
          <w:cantSplit/>
          <w:tblHeader/>
        </w:trPr>
        <w:tc>
          <w:tcPr>
            <w:tcW w:w="41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9CE5F8" w14:textId="77777777" w:rsidR="00125155" w:rsidRDefault="00000000">
            <w:pPr>
              <w:keepNext w:val="0"/>
              <w:spacing w:before="0" w:after="0" w:line="252" w:lineRule="auto"/>
              <w:jc w:val="left"/>
            </w:pPr>
            <w:r>
              <w:rPr>
                <w:rFonts w:ascii="Times New Roman" w:hAnsi="Times New Roman"/>
                <w:b/>
                <w:color w:val="000000"/>
                <w:sz w:val="20"/>
              </w:rPr>
              <w:t>Classification</w:t>
            </w:r>
          </w:p>
        </w:tc>
        <w:tc>
          <w:tcPr>
            <w:tcW w:w="1584"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172F365C" w14:textId="77777777" w:rsidR="00125155" w:rsidRDefault="00000000">
            <w:pPr>
              <w:keepNext w:val="0"/>
              <w:spacing w:before="0" w:after="0" w:line="252" w:lineRule="auto"/>
              <w:jc w:val="center"/>
            </w:pPr>
            <w:r>
              <w:rPr>
                <w:rFonts w:ascii="Times New Roman" w:hAnsi="Times New Roman"/>
                <w:b/>
                <w:color w:val="000000"/>
                <w:sz w:val="20"/>
              </w:rPr>
              <w:t>Count / denominator</w:t>
            </w:r>
          </w:p>
        </w:tc>
        <w:tc>
          <w:tcPr>
            <w:tcW w:w="144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Percentage</w:t>
            </w:r>
          </w:p>
        </w:tc>
        <w:tc>
          <w:tcPr>
            <w:tcW w:type="dxa" w:w="2160"/>
            <w:vAlign w:val="center"/>
            <w:tcMar>
              <w:top w:w="90" w:type="dxa"/>
              <w:left w:w="90" w:type="dxa"/>
              <w:bottom w:w="90" w:type="dxa"/>
              <w:right w:w="90" w:type="dxa"/>
            </w:tcMar>
            <w:shd w:fill="E8EDF1"/>
          </w:tcPr>
          <w:p>
            <w:pPr>
              <w:keepNext w:val="0"/>
              <w:spacing w:before="0" w:after="0" w:line="252" w:lineRule="auto"/>
              <w:jc w:val="center"/>
            </w:pPr>
            <w:r>
              <w:rPr>
                <w:rFonts w:ascii="Times New Roman" w:hAnsi="Times New Roman"/>
                <w:b/>
                <w:color w:val="000000"/>
                <w:sz w:val="20"/>
              </w:rPr>
              <w:t>95% CI in %</w:t>
            </w:r>
          </w:p>
        </w:tc>
      </w:tr>
      <w:tr w:rsidR="00125155" w14:paraId="6126A6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3F1AF01F" w14:textId="77777777" w:rsidR="00125155" w:rsidRDefault="00000000">
            <w:pPr>
              <w:keepNext w:val="0"/>
              <w:spacing w:before="0" w:after="0" w:line="252" w:lineRule="auto"/>
              <w:jc w:val="left"/>
            </w:pPr>
            <w:r>
              <w:rPr>
                <w:rFonts w:ascii="Times New Roman" w:hAnsi="Times New Roman"/>
                <w:b w:val="0"/>
                <w:color w:val="000000"/>
                <w:sz w:val="20"/>
              </w:rPr>
              <w:t>Initial-dropout label</w:t>
            </w:r>
          </w:p>
        </w:tc>
        <w:tc>
          <w:tcPr>
            <w:tcW w:w="1584" w:type="dxa"/>
            <w:tcMar>
              <w:top w:w="75" w:type="dxa"/>
              <w:left w:w="75" w:type="dxa"/>
              <w:bottom w:w="75" w:type="dxa"/>
              <w:right w:w="75" w:type="dxa"/>
            </w:tcMar>
            <w:vAlign w:val="center"/>
            <w:tcMar>
              <w:top w:w="90" w:type="dxa"/>
              <w:left w:w="90" w:type="dxa"/>
              <w:bottom w:w="90" w:type="dxa"/>
              <w:right w:w="90" w:type="dxa"/>
            </w:tcMar>
          </w:tcPr>
          <w:p w14:paraId="077AAAD5" w14:textId="77777777" w:rsidR="00125155" w:rsidRDefault="00000000">
            <w:pPr>
              <w:keepNext w:val="0"/>
              <w:spacing w:before="0" w:after="0" w:line="252" w:lineRule="auto"/>
              <w:jc w:val="center"/>
            </w:pPr>
            <w:r>
              <w:rPr>
                <w:rFonts w:ascii="Times New Roman" w:hAnsi="Times New Roman"/>
                <w:b w:val="0"/>
                <w:color w:val="000000"/>
                <w:sz w:val="20"/>
              </w:rPr>
              <w:t>23 / 120</w:t>
            </w:r>
          </w:p>
        </w:tc>
        <w:tc>
          <w:tcPr>
            <w:tcW w:w="1440" w:type="dxa"/>
            <w:tcMar>
              <w:top w:w="75" w:type="dxa"/>
              <w:left w:w="75" w:type="dxa"/>
              <w:bottom w:w="75" w:type="dxa"/>
              <w:right w:w="75" w:type="dxa"/>
            </w:tcMar>
            <w:vAlign w:val="center"/>
            <w:tcMar>
              <w:top w:w="90" w:type="dxa"/>
              <w:left w:w="90" w:type="dxa"/>
              <w:bottom w:w="90" w:type="dxa"/>
              <w:right w:w="90" w:type="dxa"/>
            </w:tcMar>
          </w:tcPr>
          <w:p w14:paraId="07F8717E" w14:textId="77777777" w:rsidR="00125155" w:rsidRDefault="00000000">
            <w:pPr>
              <w:keepNext w:val="0"/>
              <w:spacing w:before="0" w:after="0" w:line="252" w:lineRule="auto"/>
              <w:jc w:val="center"/>
            </w:pPr>
            <w:r>
              <w:rPr>
                <w:rFonts w:ascii="Times New Roman" w:hAnsi="Times New Roman"/>
                <w:b w:val="0"/>
                <w:color w:val="000000"/>
                <w:sz w:val="20"/>
              </w:rPr>
              <w:t>19.2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13.1 to 27.1</w:t>
            </w:r>
          </w:p>
        </w:tc>
      </w:tr>
      <w:tr w:rsidR="00125155" w14:paraId="5DF6790E"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22CF1B8D" w14:textId="77777777" w:rsidR="00125155" w:rsidRDefault="00000000">
            <w:pPr>
              <w:keepNext w:val="0"/>
              <w:spacing w:before="0" w:after="0" w:line="252" w:lineRule="auto"/>
              <w:jc w:val="left"/>
            </w:pPr>
            <w:r>
              <w:rPr>
                <w:rFonts w:ascii="Times New Roman" w:hAnsi="Times New Roman"/>
                <w:b w:val="0"/>
                <w:color w:val="000000"/>
                <w:sz w:val="20"/>
              </w:rPr>
              <w:t>Returned label among initial dropouts</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7E60C4E3"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616E4268" w14:textId="77777777" w:rsidR="00125155" w:rsidRDefault="00000000">
            <w:pPr>
              <w:keepNext w:val="0"/>
              <w:spacing w:before="0" w:after="0" w:line="252" w:lineRule="auto"/>
              <w:jc w:val="center"/>
            </w:pPr>
            <w:r>
              <w:rPr>
                <w:rFonts w:ascii="Times New Roman" w:hAnsi="Times New Roman"/>
                <w:b w:val="0"/>
                <w:color w:val="000000"/>
                <w:sz w:val="20"/>
              </w:rPr>
              <w:t>65.2</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44.9 to 81.2</w:t>
            </w:r>
          </w:p>
        </w:tc>
      </w:tr>
      <w:tr w:rsidR="00125155" w14:paraId="3BCCD085"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538EEFCB" w14:textId="77777777" w:rsidR="00125155" w:rsidRDefault="00000000">
            <w:pPr>
              <w:keepNext w:val="0"/>
              <w:spacing w:before="0" w:after="0" w:line="252" w:lineRule="auto"/>
              <w:jc w:val="left"/>
            </w:pPr>
            <w:r>
              <w:rPr>
                <w:rFonts w:ascii="Times New Roman" w:hAnsi="Times New Roman"/>
                <w:b w:val="0"/>
                <w:color w:val="000000"/>
                <w:sz w:val="20"/>
              </w:rPr>
              <w:t>Non-return label among initial dropouts</w:t>
            </w:r>
          </w:p>
        </w:tc>
        <w:tc>
          <w:tcPr>
            <w:tcW w:w="1584" w:type="dxa"/>
            <w:tcMar>
              <w:top w:w="75" w:type="dxa"/>
              <w:left w:w="75" w:type="dxa"/>
              <w:bottom w:w="75" w:type="dxa"/>
              <w:right w:w="75" w:type="dxa"/>
            </w:tcMar>
            <w:vAlign w:val="center"/>
            <w:tcMar>
              <w:top w:w="90" w:type="dxa"/>
              <w:left w:w="90" w:type="dxa"/>
              <w:bottom w:w="90" w:type="dxa"/>
              <w:right w:w="90" w:type="dxa"/>
            </w:tcMar>
          </w:tcPr>
          <w:p w14:paraId="2D921331" w14:textId="77777777" w:rsidR="00125155" w:rsidRDefault="00000000">
            <w:pPr>
              <w:keepNext w:val="0"/>
              <w:spacing w:before="0" w:after="0" w:line="252" w:lineRule="auto"/>
              <w:jc w:val="center"/>
            </w:pPr>
            <w:r>
              <w:rPr>
                <w:rFonts w:ascii="Times New Roman" w:hAnsi="Times New Roman"/>
                <w:b w:val="0"/>
                <w:color w:val="000000"/>
                <w:sz w:val="20"/>
              </w:rPr>
              <w:t>8 / 23</w:t>
            </w:r>
          </w:p>
        </w:tc>
        <w:tc>
          <w:tcPr>
            <w:tcW w:w="1440" w:type="dxa"/>
            <w:tcMar>
              <w:top w:w="75" w:type="dxa"/>
              <w:left w:w="75" w:type="dxa"/>
              <w:bottom w:w="75" w:type="dxa"/>
              <w:right w:w="75" w:type="dxa"/>
            </w:tcMar>
            <w:vAlign w:val="center"/>
            <w:tcMar>
              <w:top w:w="90" w:type="dxa"/>
              <w:left w:w="90" w:type="dxa"/>
              <w:bottom w:w="90" w:type="dxa"/>
              <w:right w:w="90" w:type="dxa"/>
            </w:tcMar>
          </w:tcPr>
          <w:p w14:paraId="57F70D79" w14:textId="77777777" w:rsidR="00125155" w:rsidRDefault="00000000">
            <w:pPr>
              <w:keepNext w:val="0"/>
              <w:spacing w:before="0" w:after="0" w:line="252" w:lineRule="auto"/>
              <w:jc w:val="center"/>
            </w:pPr>
            <w:r>
              <w:rPr>
                <w:rFonts w:ascii="Times New Roman" w:hAnsi="Times New Roman"/>
                <w:b w:val="0"/>
                <w:color w:val="000000"/>
                <w:sz w:val="20"/>
              </w:rPr>
              <w:t>34.8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18.8 to 55.1</w:t>
            </w:r>
          </w:p>
        </w:tc>
      </w:tr>
      <w:tr w:rsidR="00125155" w14:paraId="032943C7" w14:textId="77777777">
        <w:trPr>
          <w:cantSplit/>
          <w:jc w:val="center"/>
          <w:cantSplit/>
        </w:trPr>
        <w:tc>
          <w:tcPr>
            <w:tcW w:w="4176" w:type="dxa"/>
            <w:shd w:val="clear" w:color="auto" w:fill="F6F7F8"/>
            <w:tcMar>
              <w:top w:w="75" w:type="dxa"/>
              <w:left w:w="75" w:type="dxa"/>
              <w:bottom w:w="75" w:type="dxa"/>
              <w:right w:w="75" w:type="dxa"/>
            </w:tcMar>
            <w:vAlign w:val="center"/>
            <w:tcMar>
              <w:top w:w="90" w:type="dxa"/>
              <w:left w:w="90" w:type="dxa"/>
              <w:bottom w:w="90" w:type="dxa"/>
              <w:right w:w="90" w:type="dxa"/>
            </w:tcMar>
          </w:tcPr>
          <w:p w14:paraId="3B6857EE" w14:textId="77777777" w:rsidR="00125155" w:rsidRDefault="00000000">
            <w:pPr>
              <w:keepNext w:val="0"/>
              <w:spacing w:before="0" w:after="0" w:line="252" w:lineRule="auto"/>
              <w:jc w:val="left"/>
            </w:pPr>
            <w:r>
              <w:rPr>
                <w:rFonts w:ascii="Times New Roman" w:hAnsi="Times New Roman"/>
                <w:b w:val="0"/>
                <w:color w:val="000000"/>
                <w:sz w:val="20"/>
              </w:rPr>
              <w:t>Non-return label in the full summary</w:t>
            </w:r>
          </w:p>
        </w:tc>
        <w:tc>
          <w:tcPr>
            <w:tcW w:w="1584" w:type="dxa"/>
            <w:shd w:val="clear" w:color="auto" w:fill="F6F7F8"/>
            <w:tcMar>
              <w:top w:w="75" w:type="dxa"/>
              <w:left w:w="75" w:type="dxa"/>
              <w:bottom w:w="75" w:type="dxa"/>
              <w:right w:w="75" w:type="dxa"/>
            </w:tcMar>
            <w:vAlign w:val="center"/>
            <w:tcMar>
              <w:top w:w="90" w:type="dxa"/>
              <w:left w:w="90" w:type="dxa"/>
              <w:bottom w:w="90" w:type="dxa"/>
              <w:right w:w="90" w:type="dxa"/>
            </w:tcMar>
          </w:tcPr>
          <w:p w14:paraId="2D022898" w14:textId="77777777" w:rsidR="00125155" w:rsidRDefault="00000000">
            <w:pPr>
              <w:keepNext w:val="0"/>
              <w:spacing w:before="0" w:after="0" w:line="252" w:lineRule="auto"/>
              <w:jc w:val="center"/>
            </w:pPr>
            <w:r>
              <w:rPr>
                <w:rFonts w:ascii="Times New Roman" w:hAnsi="Times New Roman"/>
                <w:b w:val="0"/>
                <w:color w:val="000000"/>
                <w:sz w:val="20"/>
              </w:rPr>
              <w:t>8 / 120</w:t>
            </w:r>
          </w:p>
        </w:tc>
        <w:tc>
          <w:tcPr>
            <w:tcW w:w="1440" w:type="dxa"/>
            <w:shd w:val="clear" w:color="auto" w:fill="F6F7F8"/>
            <w:tcMar>
              <w:top w:w="75" w:type="dxa"/>
              <w:left w:w="75" w:type="dxa"/>
              <w:bottom w:w="75" w:type="dxa"/>
              <w:right w:w="75" w:type="dxa"/>
            </w:tcMar>
            <w:vAlign w:val="center"/>
            <w:tcMar>
              <w:top w:w="90" w:type="dxa"/>
              <w:left w:w="90" w:type="dxa"/>
              <w:bottom w:w="90" w:type="dxa"/>
              <w:right w:w="90" w:type="dxa"/>
            </w:tcMar>
          </w:tcPr>
          <w:p w14:paraId="46DC0E9C" w14:textId="77777777" w:rsidR="00125155" w:rsidRDefault="00000000">
            <w:pPr>
              <w:keepNext w:val="0"/>
              <w:spacing w:before="0" w:after="0" w:line="252" w:lineRule="auto"/>
              <w:jc w:val="center"/>
            </w:pPr>
            <w:r>
              <w:rPr>
                <w:rFonts w:ascii="Times New Roman" w:hAnsi="Times New Roman"/>
                <w:b w:val="0"/>
                <w:color w:val="000000"/>
                <w:sz w:val="20"/>
              </w:rPr>
              <w:t>6.7</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3.4 to 12.6</w:t>
            </w:r>
          </w:p>
        </w:tc>
      </w:tr>
      <w:tr w:rsidR="00125155" w14:paraId="0AF73238" w14:textId="77777777">
        <w:trPr>
          <w:cantSplit/>
          <w:jc w:val="center"/>
          <w:cantSplit/>
        </w:trPr>
        <w:tc>
          <w:tcPr>
            <w:tcW w:w="4176" w:type="dxa"/>
            <w:tcMar>
              <w:top w:w="75" w:type="dxa"/>
              <w:left w:w="75" w:type="dxa"/>
              <w:bottom w:w="75" w:type="dxa"/>
              <w:right w:w="75" w:type="dxa"/>
            </w:tcMar>
            <w:vAlign w:val="center"/>
            <w:tcMar>
              <w:top w:w="90" w:type="dxa"/>
              <w:left w:w="90" w:type="dxa"/>
              <w:bottom w:w="90" w:type="dxa"/>
              <w:right w:w="90" w:type="dxa"/>
            </w:tcMar>
          </w:tcPr>
          <w:p w14:paraId="6119D93F" w14:textId="77777777" w:rsidR="00125155" w:rsidRDefault="00000000">
            <w:pPr>
              <w:keepNext w:val="0"/>
              <w:spacing w:before="0" w:after="0" w:line="252" w:lineRule="auto"/>
              <w:jc w:val="left"/>
            </w:pPr>
            <w:r>
              <w:rPr>
                <w:rFonts w:ascii="Times New Roman" w:hAnsi="Times New Roman"/>
                <w:b w:val="0"/>
                <w:color w:val="000000"/>
                <w:sz w:val="20"/>
              </w:rPr>
              <w:t>Complement of the initial-dropout count</w:t>
            </w:r>
          </w:p>
        </w:tc>
        <w:tc>
          <w:tcPr>
            <w:tcW w:w="1584" w:type="dxa"/>
            <w:tcMar>
              <w:top w:w="75" w:type="dxa"/>
              <w:left w:w="75" w:type="dxa"/>
              <w:bottom w:w="75" w:type="dxa"/>
              <w:right w:w="75" w:type="dxa"/>
            </w:tcMar>
            <w:vAlign w:val="center"/>
            <w:tcMar>
              <w:top w:w="90" w:type="dxa"/>
              <w:left w:w="90" w:type="dxa"/>
              <w:bottom w:w="90" w:type="dxa"/>
              <w:right w:w="90" w:type="dxa"/>
            </w:tcMar>
          </w:tcPr>
          <w:p w14:paraId="37B02952" w14:textId="77777777" w:rsidR="00125155" w:rsidRDefault="00000000">
            <w:pPr>
              <w:keepNext w:val="0"/>
              <w:spacing w:before="0" w:after="0" w:line="252" w:lineRule="auto"/>
              <w:jc w:val="center"/>
            </w:pPr>
            <w:r>
              <w:rPr>
                <w:rFonts w:ascii="Times New Roman" w:hAnsi="Times New Roman"/>
                <w:b w:val="0"/>
                <w:color w:val="000000"/>
                <w:sz w:val="20"/>
              </w:rPr>
              <w:t>97 / 120</w:t>
            </w:r>
          </w:p>
        </w:tc>
        <w:tc>
          <w:tcPr>
            <w:tcW w:w="1440" w:type="dxa"/>
            <w:tcMar>
              <w:top w:w="75" w:type="dxa"/>
              <w:left w:w="75" w:type="dxa"/>
              <w:bottom w:w="75" w:type="dxa"/>
              <w:right w:w="75" w:type="dxa"/>
            </w:tcMar>
            <w:vAlign w:val="center"/>
            <w:tcMar>
              <w:top w:w="90" w:type="dxa"/>
              <w:left w:w="90" w:type="dxa"/>
              <w:bottom w:w="90" w:type="dxa"/>
              <w:right w:w="90" w:type="dxa"/>
            </w:tcMar>
          </w:tcPr>
          <w:p w14:paraId="7C2DFAB0" w14:textId="77777777" w:rsidR="00125155" w:rsidRDefault="00000000">
            <w:pPr>
              <w:keepNext w:val="0"/>
              <w:spacing w:before="0" w:after="0" w:line="252" w:lineRule="auto"/>
              <w:jc w:val="center"/>
            </w:pPr>
            <w:r>
              <w:rPr>
                <w:rFonts w:ascii="Times New Roman" w:hAnsi="Times New Roman"/>
                <w:b w:val="0"/>
                <w:color w:val="000000"/>
                <w:sz w:val="20"/>
              </w:rPr>
              <w:t>80.8</w:t>
            </w:r>
          </w:p>
        </w:tc>
        <w:tc>
          <w:tcPr>
            <w:tcW w:type="dxa" w:w="2160"/>
            <w:vAlign w:val="center"/>
            <w:tcMar>
              <w:top w:w="90" w:type="dxa"/>
              <w:left w:w="90" w:type="dxa"/>
              <w:bottom w:w="90" w:type="dxa"/>
              <w:right w:w="90" w:type="dxa"/>
            </w:tcMar>
          </w:tcPr>
          <w:p>
            <w:pPr>
              <w:keepNext w:val="0"/>
              <w:spacing w:before="0" w:after="0" w:line="252" w:lineRule="auto"/>
              <w:jc w:val="center"/>
            </w:pPr>
            <w:r>
              <w:rPr>
                <w:rFonts w:ascii="Times New Roman" w:hAnsi="Times New Roman"/>
                <w:b w:val="0"/>
                <w:color w:val="000000"/>
                <w:sz w:val="20"/>
              </w:rPr>
              <w:t>72.9 to 86.9</w:t>
            </w:r>
          </w:p>
        </w:tc>
      </w:tr>
    </w:tbl>
    <w:p>
      <w:pPr>
        <w:pStyle w:val="Caption"/>
        <w:keepNext w:val="0"/>
        <w:keepLines/>
        <w:widowControl/>
        <w:spacing w:before="80"/>
      </w:pPr>
      <w:r>
        <w:t>Intervals are conditional on the compiled counts and a binomial independence assumption; they do not account for selection, distributor clustering or uncertain classification. The complement of initial dropout does not establish protocol completion.</w:t>
      </w:r>
    </w:p>
    <w:p w14:paraId="484E409F" w14:textId="77777777" w:rsidR="00125155" w:rsidRDefault="00000000">
      <w:pPr>
        <w:pageBreakBefore w:val="0"/>
        <w:widowControl/>
      </w:pPr>
      <w:r>
        <w:t>Initial-dropout classifications increased across the age bands: 0 of 38 (0.0%), 7 of 41 (17.1%) and 16 of 41 (39.0%). The three-band chi-square test yielded χ²(2)=19.56 (P&lt;.001), and the youngest-versus-oldest Fisher exact test also yielded P&lt;.001. These are exploratory, unadjusted associations between age band and compiled labels. Among initial-dropout records, five of seven in the 45–64 band and ten of sixteen in the 65–80 band also carried a returned classification. The youngest band had no initial-dropout records, so its conditional returned percentage is undefined (Table 2; Figures 2 and 3).</w:t>
      </w:r>
    </w:p>
    <w:p w14:paraId="7D11E907" w14:textId="77777777" w:rsidR="00125155" w:rsidRDefault="00000000">
      <w:pPr>
        <w:pStyle w:val="Caption"/>
        <w:keepNext/>
        <w:keepLines/>
        <w:widowControl/>
      </w:pPr>
      <w:r>
        <w:t>Table 2. Age distribution of the compiled classifications.</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936"/>
        <w:gridCol w:w="2088"/>
        <w:gridCol w:w="2592"/>
        <w:gridCol w:w="2088"/>
      </w:tblGrid>
      <w:tr w:rsidR="00125155" w14:paraId="4F516A3B" w14:textId="77777777">
        <w:trPr>
          <w:cantSplit/>
          <w:tblHeader/>
          <w:jc w:val="center"/>
          <w:cantSplit/>
          <w:tblHeader/>
        </w:trPr>
        <w:tc>
          <w:tcPr>
            <w:tcW w:w="165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325A682" w14:textId="77777777" w:rsidR="00125155" w:rsidRDefault="00000000">
            <w:pPr>
              <w:keepNext w:val="0"/>
              <w:spacing w:before="0" w:after="0" w:line="252" w:lineRule="auto"/>
              <w:jc w:val="left"/>
            </w:pPr>
            <w:r>
              <w:rPr>
                <w:rFonts w:ascii="Times New Roman" w:hAnsi="Times New Roman"/>
                <w:b/>
                <w:color w:val="000000"/>
                <w:sz w:val="20"/>
              </w:rPr>
              <w:t>Age band in years</w:t>
            </w:r>
          </w:p>
        </w:tc>
        <w:tc>
          <w:tcPr>
            <w:tcW w:w="93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6719188" w14:textId="77777777" w:rsidR="00125155" w:rsidRDefault="00000000">
            <w:pPr>
              <w:keepNext w:val="0"/>
              <w:spacing w:before="0" w:after="0" w:line="252" w:lineRule="auto"/>
              <w:jc w:val="center"/>
            </w:pPr>
            <w:r>
              <w:rPr>
                <w:rFonts w:ascii="Times New Roman" w:hAnsi="Times New Roman"/>
                <w:b/>
                <w:color w:val="000000"/>
                <w:sz w:val="20"/>
              </w:rPr>
              <w:t>Records,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DE8F31D" w14:textId="77777777" w:rsidR="00125155" w:rsidRDefault="00000000">
            <w:pPr>
              <w:keepNext w:val="0"/>
              <w:spacing w:before="0" w:after="0" w:line="252" w:lineRule="auto"/>
              <w:jc w:val="center"/>
            </w:pPr>
            <w:r>
              <w:rPr>
                <w:rFonts w:ascii="Times New Roman" w:hAnsi="Times New Roman"/>
                <w:b/>
                <w:color w:val="000000"/>
                <w:sz w:val="20"/>
              </w:rPr>
              <w:t>Initial dropout, n (%)</w:t>
            </w:r>
          </w:p>
        </w:tc>
        <w:tc>
          <w:tcPr>
            <w:tcW w:w="2592"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3CC357CF" w14:textId="77777777" w:rsidR="00125155" w:rsidRDefault="00000000">
            <w:pPr>
              <w:keepNext w:val="0"/>
              <w:spacing w:before="0" w:after="0" w:line="252" w:lineRule="auto"/>
              <w:jc w:val="center"/>
            </w:pPr>
            <w:r>
              <w:rPr>
                <w:rFonts w:ascii="Times New Roman" w:hAnsi="Times New Roman"/>
                <w:b/>
                <w:color w:val="000000"/>
                <w:sz w:val="20"/>
              </w:rPr>
              <w:t>Returned, n / dropout n</w:t>
            </w:r>
          </w:p>
        </w:tc>
        <w:tc>
          <w:tcPr>
            <w:tcW w:w="208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D0C637C" w14:textId="77777777" w:rsidR="00125155" w:rsidRDefault="00000000">
            <w:pPr>
              <w:keepNext w:val="0"/>
              <w:spacing w:before="0" w:after="0" w:line="252" w:lineRule="auto"/>
              <w:jc w:val="center"/>
            </w:pPr>
            <w:r>
              <w:rPr>
                <w:rFonts w:ascii="Times New Roman" w:hAnsi="Times New Roman"/>
                <w:b/>
                <w:color w:val="000000"/>
                <w:sz w:val="20"/>
              </w:rPr>
              <w:t>Non-return, n (%)</w:t>
            </w:r>
          </w:p>
        </w:tc>
      </w:tr>
      <w:tr w:rsidR="00125155" w14:paraId="626AE286"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01653FA4" w14:textId="77777777" w:rsidR="00125155" w:rsidRDefault="00000000">
            <w:pPr>
              <w:keepNext w:val="0"/>
              <w:spacing w:before="0" w:after="0" w:line="252" w:lineRule="auto"/>
              <w:jc w:val="left"/>
            </w:pPr>
            <w:r>
              <w:rPr>
                <w:rFonts w:ascii="Times New Roman" w:hAnsi="Times New Roman"/>
                <w:b w:val="0"/>
                <w:color w:val="000000"/>
                <w:sz w:val="20"/>
              </w:rPr>
              <w:t>25-44</w:t>
            </w:r>
          </w:p>
        </w:tc>
        <w:tc>
          <w:tcPr>
            <w:tcW w:w="936" w:type="dxa"/>
            <w:tcMar>
              <w:top w:w="75" w:type="dxa"/>
              <w:left w:w="75" w:type="dxa"/>
              <w:bottom w:w="75" w:type="dxa"/>
              <w:right w:w="75" w:type="dxa"/>
            </w:tcMar>
            <w:vAlign w:val="center"/>
            <w:tcMar>
              <w:top w:w="90" w:type="dxa"/>
              <w:left w:w="90" w:type="dxa"/>
              <w:bottom w:w="90" w:type="dxa"/>
              <w:right w:w="90" w:type="dxa"/>
            </w:tcMar>
          </w:tcPr>
          <w:p w14:paraId="244720C4" w14:textId="77777777" w:rsidR="00125155" w:rsidRDefault="00000000">
            <w:pPr>
              <w:keepNext w:val="0"/>
              <w:spacing w:before="0" w:after="0" w:line="252" w:lineRule="auto"/>
              <w:jc w:val="center"/>
            </w:pPr>
            <w:r>
              <w:rPr>
                <w:rFonts w:ascii="Times New Roman" w:hAnsi="Times New Roman"/>
                <w:b w:val="0"/>
                <w:color w:val="000000"/>
                <w:sz w:val="20"/>
              </w:rPr>
              <w:t>38</w:t>
            </w:r>
          </w:p>
        </w:tc>
        <w:tc>
          <w:tcPr>
            <w:tcW w:w="2088" w:type="dxa"/>
            <w:tcMar>
              <w:top w:w="75" w:type="dxa"/>
              <w:left w:w="75" w:type="dxa"/>
              <w:bottom w:w="75" w:type="dxa"/>
              <w:right w:w="75" w:type="dxa"/>
            </w:tcMar>
            <w:vAlign w:val="center"/>
            <w:tcMar>
              <w:top w:w="90" w:type="dxa"/>
              <w:left w:w="90" w:type="dxa"/>
              <w:bottom w:w="90" w:type="dxa"/>
              <w:right w:w="90" w:type="dxa"/>
            </w:tcMar>
          </w:tcPr>
          <w:p w14:paraId="57C0BCCB" w14:textId="77777777" w:rsidR="00125155" w:rsidRDefault="00000000">
            <w:pPr>
              <w:keepNext w:val="0"/>
              <w:spacing w:before="0" w:after="0" w:line="252" w:lineRule="auto"/>
              <w:jc w:val="center"/>
            </w:pPr>
            <w:r>
              <w:rPr>
                <w:rFonts w:ascii="Times New Roman" w:hAnsi="Times New Roman"/>
                <w:b w:val="0"/>
                <w:color w:val="000000"/>
                <w:sz w:val="20"/>
              </w:rPr>
              <w:t>0 (0.0)</w:t>
            </w:r>
          </w:p>
        </w:tc>
        <w:tc>
          <w:tcPr>
            <w:tcW w:w="2592" w:type="dxa"/>
            <w:tcMar>
              <w:top w:w="75" w:type="dxa"/>
              <w:left w:w="75" w:type="dxa"/>
              <w:bottom w:w="75" w:type="dxa"/>
              <w:right w:w="75" w:type="dxa"/>
            </w:tcMar>
            <w:vAlign w:val="center"/>
            <w:tcMar>
              <w:top w:w="90" w:type="dxa"/>
              <w:left w:w="90" w:type="dxa"/>
              <w:bottom w:w="90" w:type="dxa"/>
              <w:right w:w="90" w:type="dxa"/>
            </w:tcMar>
          </w:tcPr>
          <w:p w14:paraId="1817A8EE" w14:textId="77777777" w:rsidR="00125155" w:rsidRDefault="00000000">
            <w:pPr>
              <w:keepNext w:val="0"/>
              <w:spacing w:before="0" w:after="0" w:line="252" w:lineRule="auto"/>
              <w:jc w:val="center"/>
            </w:pPr>
            <w:r>
              <w:rPr>
                <w:rFonts w:ascii="Times New Roman" w:hAnsi="Times New Roman"/>
                <w:b w:val="0"/>
                <w:color w:val="000000"/>
                <w:sz w:val="20"/>
              </w:rPr>
              <w:t>Not applicable</w:t>
            </w:r>
          </w:p>
        </w:tc>
        <w:tc>
          <w:tcPr>
            <w:tcW w:w="2088" w:type="dxa"/>
            <w:tcMar>
              <w:top w:w="75" w:type="dxa"/>
              <w:left w:w="75" w:type="dxa"/>
              <w:bottom w:w="75" w:type="dxa"/>
              <w:right w:w="75" w:type="dxa"/>
            </w:tcMar>
            <w:vAlign w:val="center"/>
            <w:tcMar>
              <w:top w:w="90" w:type="dxa"/>
              <w:left w:w="90" w:type="dxa"/>
              <w:bottom w:w="90" w:type="dxa"/>
              <w:right w:w="90" w:type="dxa"/>
            </w:tcMar>
          </w:tcPr>
          <w:p w14:paraId="5EB860EA" w14:textId="77777777" w:rsidR="00125155" w:rsidRDefault="00000000">
            <w:pPr>
              <w:keepNext w:val="0"/>
              <w:spacing w:before="0" w:after="0" w:line="252" w:lineRule="auto"/>
              <w:jc w:val="center"/>
            </w:pPr>
            <w:r>
              <w:rPr>
                <w:rFonts w:ascii="Times New Roman" w:hAnsi="Times New Roman"/>
                <w:b w:val="0"/>
                <w:color w:val="000000"/>
                <w:sz w:val="20"/>
              </w:rPr>
              <w:t>0 (0.0)</w:t>
            </w:r>
          </w:p>
        </w:tc>
      </w:tr>
      <w:tr w:rsidR="00125155" w14:paraId="496B583F"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39810FA3" w14:textId="77777777" w:rsidR="00125155" w:rsidRDefault="00000000">
            <w:pPr>
              <w:keepNext w:val="0"/>
              <w:spacing w:before="0" w:after="0" w:line="252" w:lineRule="auto"/>
              <w:jc w:val="left"/>
            </w:pPr>
            <w:r>
              <w:rPr>
                <w:rFonts w:ascii="Times New Roman" w:hAnsi="Times New Roman"/>
                <w:b w:val="0"/>
                <w:color w:val="000000"/>
                <w:sz w:val="20"/>
              </w:rPr>
              <w:t>45-64</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2741BBB4"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FCAB9EA" w14:textId="77777777" w:rsidR="00125155" w:rsidRDefault="00000000">
            <w:pPr>
              <w:keepNext w:val="0"/>
              <w:spacing w:before="0" w:after="0" w:line="252" w:lineRule="auto"/>
              <w:jc w:val="center"/>
            </w:pPr>
            <w:r>
              <w:rPr>
                <w:rFonts w:ascii="Times New Roman" w:hAnsi="Times New Roman"/>
                <w:b w:val="0"/>
                <w:color w:val="000000"/>
                <w:sz w:val="20"/>
              </w:rPr>
              <w:t>7 (17.1)</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3F4B1176" w14:textId="77777777" w:rsidR="00125155" w:rsidRDefault="00000000">
            <w:pPr>
              <w:keepNext w:val="0"/>
              <w:spacing w:before="0" w:after="0" w:line="252" w:lineRule="auto"/>
              <w:jc w:val="center"/>
            </w:pPr>
            <w:r>
              <w:rPr>
                <w:rFonts w:ascii="Times New Roman" w:hAnsi="Times New Roman"/>
                <w:b w:val="0"/>
                <w:color w:val="000000"/>
                <w:sz w:val="20"/>
              </w:rPr>
              <w:t>5 / 7</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3DE9B256" w14:textId="77777777" w:rsidR="00125155" w:rsidRDefault="00000000">
            <w:pPr>
              <w:keepNext w:val="0"/>
              <w:spacing w:before="0" w:after="0" w:line="252" w:lineRule="auto"/>
              <w:jc w:val="center"/>
            </w:pPr>
            <w:r>
              <w:rPr>
                <w:rFonts w:ascii="Times New Roman" w:hAnsi="Times New Roman"/>
                <w:b w:val="0"/>
                <w:color w:val="000000"/>
                <w:sz w:val="20"/>
              </w:rPr>
              <w:t>2 (4.9)</w:t>
            </w:r>
          </w:p>
        </w:tc>
      </w:tr>
      <w:tr w:rsidR="00125155" w14:paraId="32ED8AB7" w14:textId="77777777">
        <w:trPr>
          <w:cantSplit/>
          <w:jc w:val="center"/>
          <w:cantSplit/>
        </w:trPr>
        <w:tc>
          <w:tcPr>
            <w:tcW w:w="1656" w:type="dxa"/>
            <w:tcMar>
              <w:top w:w="75" w:type="dxa"/>
              <w:left w:w="75" w:type="dxa"/>
              <w:bottom w:w="75" w:type="dxa"/>
              <w:right w:w="75" w:type="dxa"/>
            </w:tcMar>
            <w:vAlign w:val="center"/>
            <w:tcMar>
              <w:top w:w="90" w:type="dxa"/>
              <w:left w:w="90" w:type="dxa"/>
              <w:bottom w:w="90" w:type="dxa"/>
              <w:right w:w="90" w:type="dxa"/>
            </w:tcMar>
          </w:tcPr>
          <w:p w14:paraId="36253BE8" w14:textId="77777777" w:rsidR="00125155" w:rsidRDefault="00000000">
            <w:pPr>
              <w:keepNext w:val="0"/>
              <w:spacing w:before="0" w:after="0" w:line="252" w:lineRule="auto"/>
              <w:jc w:val="left"/>
            </w:pPr>
            <w:r>
              <w:rPr>
                <w:rFonts w:ascii="Times New Roman" w:hAnsi="Times New Roman"/>
                <w:b w:val="0"/>
                <w:color w:val="000000"/>
                <w:sz w:val="20"/>
              </w:rPr>
              <w:t>65-80</w:t>
            </w:r>
          </w:p>
        </w:tc>
        <w:tc>
          <w:tcPr>
            <w:tcW w:w="936" w:type="dxa"/>
            <w:tcMar>
              <w:top w:w="75" w:type="dxa"/>
              <w:left w:w="75" w:type="dxa"/>
              <w:bottom w:w="75" w:type="dxa"/>
              <w:right w:w="75" w:type="dxa"/>
            </w:tcMar>
            <w:vAlign w:val="center"/>
            <w:tcMar>
              <w:top w:w="90" w:type="dxa"/>
              <w:left w:w="90" w:type="dxa"/>
              <w:bottom w:w="90" w:type="dxa"/>
              <w:right w:w="90" w:type="dxa"/>
            </w:tcMar>
          </w:tcPr>
          <w:p w14:paraId="4D781703" w14:textId="77777777" w:rsidR="00125155" w:rsidRDefault="00000000">
            <w:pPr>
              <w:keepNext w:val="0"/>
              <w:spacing w:before="0" w:after="0" w:line="252" w:lineRule="auto"/>
              <w:jc w:val="center"/>
            </w:pPr>
            <w:r>
              <w:rPr>
                <w:rFonts w:ascii="Times New Roman" w:hAnsi="Times New Roman"/>
                <w:b w:val="0"/>
                <w:color w:val="000000"/>
                <w:sz w:val="20"/>
              </w:rPr>
              <w:t>41</w:t>
            </w:r>
          </w:p>
        </w:tc>
        <w:tc>
          <w:tcPr>
            <w:tcW w:w="2088" w:type="dxa"/>
            <w:tcMar>
              <w:top w:w="75" w:type="dxa"/>
              <w:left w:w="75" w:type="dxa"/>
              <w:bottom w:w="75" w:type="dxa"/>
              <w:right w:w="75" w:type="dxa"/>
            </w:tcMar>
            <w:vAlign w:val="center"/>
            <w:tcMar>
              <w:top w:w="90" w:type="dxa"/>
              <w:left w:w="90" w:type="dxa"/>
              <w:bottom w:w="90" w:type="dxa"/>
              <w:right w:w="90" w:type="dxa"/>
            </w:tcMar>
          </w:tcPr>
          <w:p w14:paraId="13179EDE" w14:textId="77777777" w:rsidR="00125155" w:rsidRDefault="00000000">
            <w:pPr>
              <w:keepNext w:val="0"/>
              <w:spacing w:before="0" w:after="0" w:line="252" w:lineRule="auto"/>
              <w:jc w:val="center"/>
            </w:pPr>
            <w:r>
              <w:rPr>
                <w:rFonts w:ascii="Times New Roman" w:hAnsi="Times New Roman"/>
                <w:b w:val="0"/>
                <w:color w:val="000000"/>
                <w:sz w:val="20"/>
              </w:rPr>
              <w:t>16 (39.0)</w:t>
            </w:r>
          </w:p>
        </w:tc>
        <w:tc>
          <w:tcPr>
            <w:tcW w:w="2592" w:type="dxa"/>
            <w:tcMar>
              <w:top w:w="75" w:type="dxa"/>
              <w:left w:w="75" w:type="dxa"/>
              <w:bottom w:w="75" w:type="dxa"/>
              <w:right w:w="75" w:type="dxa"/>
            </w:tcMar>
            <w:vAlign w:val="center"/>
            <w:tcMar>
              <w:top w:w="90" w:type="dxa"/>
              <w:left w:w="90" w:type="dxa"/>
              <w:bottom w:w="90" w:type="dxa"/>
              <w:right w:w="90" w:type="dxa"/>
            </w:tcMar>
          </w:tcPr>
          <w:p w14:paraId="0C3656C9" w14:textId="77777777" w:rsidR="00125155" w:rsidRDefault="00000000">
            <w:pPr>
              <w:keepNext w:val="0"/>
              <w:spacing w:before="0" w:after="0" w:line="252" w:lineRule="auto"/>
              <w:jc w:val="center"/>
            </w:pPr>
            <w:r>
              <w:rPr>
                <w:rFonts w:ascii="Times New Roman" w:hAnsi="Times New Roman"/>
                <w:b w:val="0"/>
                <w:color w:val="000000"/>
                <w:sz w:val="20"/>
              </w:rPr>
              <w:t>10 / 16</w:t>
            </w:r>
          </w:p>
        </w:tc>
        <w:tc>
          <w:tcPr>
            <w:tcW w:w="2088" w:type="dxa"/>
            <w:tcMar>
              <w:top w:w="75" w:type="dxa"/>
              <w:left w:w="75" w:type="dxa"/>
              <w:bottom w:w="75" w:type="dxa"/>
              <w:right w:w="75" w:type="dxa"/>
            </w:tcMar>
            <w:vAlign w:val="center"/>
            <w:tcMar>
              <w:top w:w="90" w:type="dxa"/>
              <w:left w:w="90" w:type="dxa"/>
              <w:bottom w:w="90" w:type="dxa"/>
              <w:right w:w="90" w:type="dxa"/>
            </w:tcMar>
          </w:tcPr>
          <w:p w14:paraId="1BAC0FF9" w14:textId="77777777" w:rsidR="00125155" w:rsidRDefault="00000000">
            <w:pPr>
              <w:keepNext w:val="0"/>
              <w:spacing w:before="0" w:after="0" w:line="252" w:lineRule="auto"/>
              <w:jc w:val="center"/>
            </w:pPr>
            <w:r>
              <w:rPr>
                <w:rFonts w:ascii="Times New Roman" w:hAnsi="Times New Roman"/>
                <w:b w:val="0"/>
                <w:color w:val="000000"/>
                <w:sz w:val="20"/>
              </w:rPr>
              <w:t>6 (14.6)</w:t>
            </w:r>
          </w:p>
        </w:tc>
      </w:tr>
      <w:tr w:rsidR="00125155" w14:paraId="4139DE3C" w14:textId="77777777">
        <w:trPr>
          <w:cantSplit/>
          <w:jc w:val="center"/>
          <w:cantSplit/>
        </w:trPr>
        <w:tc>
          <w:tcPr>
            <w:tcW w:w="1656" w:type="dxa"/>
            <w:shd w:val="clear" w:color="auto" w:fill="F6F7F8"/>
            <w:tcMar>
              <w:top w:w="75" w:type="dxa"/>
              <w:left w:w="75" w:type="dxa"/>
              <w:bottom w:w="75" w:type="dxa"/>
              <w:right w:w="75" w:type="dxa"/>
            </w:tcMar>
            <w:vAlign w:val="center"/>
            <w:tcMar>
              <w:top w:w="90" w:type="dxa"/>
              <w:left w:w="90" w:type="dxa"/>
              <w:bottom w:w="90" w:type="dxa"/>
              <w:right w:w="90" w:type="dxa"/>
            </w:tcMar>
          </w:tcPr>
          <w:p w14:paraId="5DEF5E5A" w14:textId="77777777" w:rsidR="00125155" w:rsidRDefault="00000000">
            <w:pPr>
              <w:keepNext w:val="0"/>
              <w:spacing w:before="0" w:after="0" w:line="252" w:lineRule="auto"/>
              <w:jc w:val="left"/>
            </w:pPr>
            <w:r>
              <w:rPr>
                <w:rFonts w:ascii="Times New Roman" w:hAnsi="Times New Roman"/>
                <w:b w:val="0"/>
                <w:color w:val="000000"/>
                <w:sz w:val="20"/>
              </w:rPr>
              <w:t>Total</w:t>
            </w:r>
          </w:p>
        </w:tc>
        <w:tc>
          <w:tcPr>
            <w:tcW w:w="936" w:type="dxa"/>
            <w:shd w:val="clear" w:color="auto" w:fill="F6F7F8"/>
            <w:tcMar>
              <w:top w:w="75" w:type="dxa"/>
              <w:left w:w="75" w:type="dxa"/>
              <w:bottom w:w="75" w:type="dxa"/>
              <w:right w:w="75" w:type="dxa"/>
            </w:tcMar>
            <w:vAlign w:val="center"/>
            <w:tcMar>
              <w:top w:w="90" w:type="dxa"/>
              <w:left w:w="90" w:type="dxa"/>
              <w:bottom w:w="90" w:type="dxa"/>
              <w:right w:w="90" w:type="dxa"/>
            </w:tcMar>
          </w:tcPr>
          <w:p w14:paraId="430394A9" w14:textId="77777777" w:rsidR="00125155" w:rsidRDefault="00000000">
            <w:pPr>
              <w:keepNext w:val="0"/>
              <w:spacing w:before="0" w:after="0" w:line="252" w:lineRule="auto"/>
              <w:jc w:val="center"/>
            </w:pPr>
            <w:r>
              <w:rPr>
                <w:rFonts w:ascii="Times New Roman" w:hAnsi="Times New Roman"/>
                <w:b w:val="0"/>
                <w:color w:val="000000"/>
                <w:sz w:val="20"/>
              </w:rPr>
              <w:t>120</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7B6AFBCC" w14:textId="77777777" w:rsidR="00125155" w:rsidRDefault="00000000">
            <w:pPr>
              <w:keepNext w:val="0"/>
              <w:spacing w:before="0" w:after="0" w:line="252" w:lineRule="auto"/>
              <w:jc w:val="center"/>
            </w:pPr>
            <w:r>
              <w:rPr>
                <w:rFonts w:ascii="Times New Roman" w:hAnsi="Times New Roman"/>
                <w:b w:val="0"/>
                <w:color w:val="000000"/>
                <w:sz w:val="20"/>
              </w:rPr>
              <w:t>23 (19.2)</w:t>
            </w:r>
          </w:p>
        </w:tc>
        <w:tc>
          <w:tcPr>
            <w:tcW w:w="2592" w:type="dxa"/>
            <w:shd w:val="clear" w:color="auto" w:fill="F6F7F8"/>
            <w:tcMar>
              <w:top w:w="75" w:type="dxa"/>
              <w:left w:w="75" w:type="dxa"/>
              <w:bottom w:w="75" w:type="dxa"/>
              <w:right w:w="75" w:type="dxa"/>
            </w:tcMar>
            <w:vAlign w:val="center"/>
            <w:tcMar>
              <w:top w:w="90" w:type="dxa"/>
              <w:left w:w="90" w:type="dxa"/>
              <w:bottom w:w="90" w:type="dxa"/>
              <w:right w:w="90" w:type="dxa"/>
            </w:tcMar>
          </w:tcPr>
          <w:p w14:paraId="524AAA3C" w14:textId="77777777" w:rsidR="00125155" w:rsidRDefault="00000000">
            <w:pPr>
              <w:keepNext w:val="0"/>
              <w:spacing w:before="0" w:after="0" w:line="252" w:lineRule="auto"/>
              <w:jc w:val="center"/>
            </w:pPr>
            <w:r>
              <w:rPr>
                <w:rFonts w:ascii="Times New Roman" w:hAnsi="Times New Roman"/>
                <w:b w:val="0"/>
                <w:color w:val="000000"/>
                <w:sz w:val="20"/>
              </w:rPr>
              <w:t>15 / 23</w:t>
            </w:r>
          </w:p>
        </w:tc>
        <w:tc>
          <w:tcPr>
            <w:tcW w:w="2088" w:type="dxa"/>
            <w:shd w:val="clear" w:color="auto" w:fill="F6F7F8"/>
            <w:tcMar>
              <w:top w:w="75" w:type="dxa"/>
              <w:left w:w="75" w:type="dxa"/>
              <w:bottom w:w="75" w:type="dxa"/>
              <w:right w:w="75" w:type="dxa"/>
            </w:tcMar>
            <w:vAlign w:val="center"/>
            <w:tcMar>
              <w:top w:w="90" w:type="dxa"/>
              <w:left w:w="90" w:type="dxa"/>
              <w:bottom w:w="90" w:type="dxa"/>
              <w:right w:w="90" w:type="dxa"/>
            </w:tcMar>
          </w:tcPr>
          <w:p w14:paraId="157193A5" w14:textId="77777777" w:rsidR="00125155" w:rsidRDefault="00000000">
            <w:pPr>
              <w:keepNext w:val="0"/>
              <w:spacing w:before="0" w:after="0" w:line="252" w:lineRule="auto"/>
              <w:jc w:val="center"/>
            </w:pPr>
            <w:r>
              <w:rPr>
                <w:rFonts w:ascii="Times New Roman" w:hAnsi="Times New Roman"/>
                <w:b w:val="0"/>
                <w:color w:val="000000"/>
                <w:sz w:val="20"/>
              </w:rPr>
              <w:t>8 (6.7)</w:t>
            </w:r>
          </w:p>
        </w:tc>
      </w:tr>
    </w:tbl>
    <w:p w14:paraId="640F6D99" w14:textId="77777777" w:rsidR="00125155" w:rsidRDefault="00000000">
      <w:pPr>
        <w:pStyle w:val="Caption"/>
        <w:keepNext w:val="0"/>
        <w:keepLines/>
        <w:widowControl/>
        <w:spacing w:before="80"/>
      </w:pPr>
      <w:r>
        <w:t>Percentages in the initial-dropout and non-return columns use the age-band denominator. Returned classifications are a subset of initial dropouts. For ages 65–80, 10/16 returned classifications correspond to 62.5% (95% CI 38.6%–81.5%); 6/41 non-return classifications correspond to 14.6% (95% CI 6.9%–28.4%). The labels do not establish an observation-window endpoint or unprompted return.</w:t>
      </w:r>
    </w:p>
    <w:p w14:paraId="5CE60B73" w14:textId="77777777" w:rsidR="00125155" w:rsidRDefault="00000000">
      <w:pPr>
        <w:keepNext/>
        <w:pageBreakBefore w:val="0"/>
        <w:widowControl/>
        <w:spacing w:after="60"/>
        <w:jc w:val="center"/>
      </w:pPr>
      <w:r>
        <w:rPr>
          <w:noProof/>
        </w:rPr>
        <w:drawing>
          <wp:inline distT="0" distB="0" distL="0" distR="0" wp14:anchorId="01421A3F" wp14:editId="5FF59C94">
            <wp:extent cx="5577840" cy="2881443"/>
            <wp:effectExtent l="0" t="0" r="0" b="0"/>
            <wp:docPr id="3" name="Picture 3" descr="Figure 3. Initial-dropout and non-return classifications as percentages of each age band. Non-return classifications are a subset of initial-dropout classifications. The labels do not establish a defined end-of-window outc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3_Age_Classifications.png"/>
                    <pic:cNvPicPr/>
                  </pic:nvPicPr>
                  <pic:blipFill>
                    <a:blip r:embed="rId10"/>
                    <a:stretch>
                      <a:fillRect/>
                    </a:stretch>
                  </pic:blipFill>
                  <pic:spPr>
                    <a:xfrm>
                      <a:off x="0" y="0"/>
                      <a:ext cx="5577840" cy="2881443"/>
                    </a:xfrm>
                    <a:prstGeom prst="rect">
                      <a:avLst/>
                    </a:prstGeom>
                  </pic:spPr>
                </pic:pic>
              </a:graphicData>
            </a:graphic>
          </wp:inline>
        </w:drawing>
      </w:r>
    </w:p>
    <w:p w14:paraId="00523092" w14:textId="77777777" w:rsidR="00125155" w:rsidRDefault="00000000">
      <w:pPr>
        <w:pStyle w:val="Caption"/>
        <w:keepNext w:val="0"/>
        <w:keepLines/>
        <w:widowControl/>
      </w:pPr>
      <w:r>
        <w:t>Figure 2. Initial-dropout and non-return classifications as percentages of each age band. Non-return classifications are a subset of initial-dropout classifications. The labels do not establish a defined end-of-window outcome.</w:t>
      </w:r>
    </w:p>
    <w:p w14:paraId="53F9AC25" w14:textId="77777777" w:rsidR="00125155" w:rsidRDefault="00000000">
      <w:pPr>
        <w:keepNext/>
        <w:pageBreakBefore w:val="0"/>
        <w:widowControl/>
        <w:spacing w:after="60"/>
        <w:jc w:val="center"/>
      </w:pPr>
      <w:r>
        <w:rPr>
          <w:noProof/>
        </w:rPr>
        <w:drawing>
          <wp:inline distT="0" distB="0" distL="0" distR="0" wp14:anchorId="6C84D4B9" wp14:editId="3EE1A548">
            <wp:extent cx="5577840" cy="2881443"/>
            <wp:effectExtent l="0" t="0" r="0" b="0"/>
            <wp:docPr id="4" name="Picture 4" descr="Figure 4. Returned classifications among initial-dropout records. Error bars are conditional Wilson 95% intervals calculated from the reported counts. The 25-44-year band had no initial-dropout records, so its conditional percentage is undefined. Stage 2 is not plotted as a baseline or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4_Returned_Classification.png"/>
                    <pic:cNvPicPr/>
                  </pic:nvPicPr>
                  <pic:blipFill>
                    <a:blip r:embed="rId11"/>
                    <a:stretch>
                      <a:fillRect/>
                    </a:stretch>
                  </pic:blipFill>
                  <pic:spPr>
                    <a:xfrm>
                      <a:off x="0" y="0"/>
                      <a:ext cx="5577840" cy="2881443"/>
                    </a:xfrm>
                    <a:prstGeom prst="rect">
                      <a:avLst/>
                    </a:prstGeom>
                  </pic:spPr>
                </pic:pic>
              </a:graphicData>
            </a:graphic>
          </wp:inline>
        </w:drawing>
      </w:r>
    </w:p>
    <w:p w14:paraId="2C4DFCB5" w14:textId="77777777" w:rsidR="00125155" w:rsidRDefault="00000000">
      <w:pPr>
        <w:pStyle w:val="Caption"/>
        <w:keepNext w:val="0"/>
        <w:keepLines/>
        <w:widowControl/>
      </w:pPr>
      <w:r>
        <w:t>Figure 3. Returned classifications among initial-dropout records. Error bars are conditional Wilson 95% intervals from the reported counts. The 25–44-year band had no initial-dropout records, so its conditional percentage is undefined. Stage 2 is not plotted as a baseline or control.</w:t>
      </w:r>
    </w:p>
    <w:p w14:paraId="3EEC8390" w14:textId="77777777" w:rsidR="00125155" w:rsidRDefault="00000000">
      <w:pPr>
        <w:pStyle w:val="Heading2"/>
        <w:widowControl/>
      </w:pPr>
      <w:r>
        <w:t>Questionnaire Coding in the Aggregate Summary</w:t>
      </w:r>
    </w:p>
    <w:p w14:paraId="12800441" w14:textId="77777777" w:rsidR="00125155" w:rsidRDefault="00000000">
      <w:pPr>
        <w:pageBreakBefore w:val="0"/>
        <w:widowControl/>
      </w:pPr>
      <w:r>
        <w:t>The summary records 86 of 120 responses (71.7%; 95% CI 63.0%–79.0%) as positive on the coordination-related item and 76 of 120 (63.3%; 95% CI 54.4%–71.4%) as positive on the regular-use-related item. The latter counts are 25 of 38, 28 of 41 and 23 of 41 across ascending age bands (Table 3). These are coding frequencies whose administered form has not been linked to the study record. The coordination-item age breakdown is unavailable. The summary provides no item-level missing-data flags. No “commitment gap” is inferred because the behavioural classifications and questionnaire items do not establish comparable or paired constructs.</w:t>
      </w:r>
    </w:p>
    <w:p w14:paraId="542FFC64" w14:textId="77777777" w:rsidR="00125155" w:rsidRDefault="00000000">
      <w:pPr>
        <w:pStyle w:val="Caption"/>
        <w:keepNext/>
        <w:keepLines/>
        <w:widowControl/>
      </w:pPr>
      <w:r>
        <w:t>Table 3. Positive-coded questionnaire responses reported in the aggregate summary.</w:t>
      </w:r>
    </w:p>
    <w:tbl>
      <w:tblPr>
        <w:tblW w:w="0" w:type="auto"/>
        <w:jc w:val="center"/>
        <w:tblLayout w:type="fixed"/>
        <w:tblLook w:val="04A0" w:firstRow="1" w:lastRow="0" w:firstColumn="1" w:lastColumn="0" w:noHBand="0" w:noVBand="1"/>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1728"/>
        <w:gridCol w:w="1728"/>
        <w:gridCol w:w="1728"/>
        <w:gridCol w:w="1800"/>
      </w:tblGrid>
      <w:tr w:rsidR="00125155" w14:paraId="2DCB8787" w14:textId="77777777">
        <w:trPr>
          <w:cantSplit/>
          <w:tblHeader/>
          <w:jc w:val="center"/>
          <w:cantSplit/>
          <w:tblHeader/>
        </w:trPr>
        <w:tc>
          <w:tcPr>
            <w:tcW w:w="2376"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FF26CCE" w14:textId="77777777" w:rsidR="00125155" w:rsidRDefault="00000000">
            <w:pPr>
              <w:keepNext w:val="0"/>
              <w:spacing w:before="0" w:after="0" w:line="252" w:lineRule="auto"/>
              <w:jc w:val="left"/>
            </w:pPr>
            <w:r>
              <w:rPr>
                <w:rFonts w:ascii="Times New Roman" w:hAnsi="Times New Roman"/>
                <w:b/>
                <w:color w:val="000000"/>
                <w:sz w:val="20"/>
              </w:rPr>
              <w:t>Summary item</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22450AEE" w14:textId="77777777" w:rsidR="00125155" w:rsidRDefault="00000000">
            <w:pPr>
              <w:keepNext w:val="0"/>
              <w:spacing w:before="0" w:after="0" w:line="252" w:lineRule="auto"/>
              <w:jc w:val="center"/>
            </w:pPr>
            <w:r>
              <w:rPr>
                <w:rFonts w:ascii="Times New Roman" w:hAnsi="Times New Roman"/>
                <w:b/>
                <w:color w:val="000000"/>
                <w:sz w:val="20"/>
              </w:rPr>
              <w:t>25-44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4DC11C1C" w14:textId="77777777" w:rsidR="00125155" w:rsidRDefault="00000000">
            <w:pPr>
              <w:keepNext w:val="0"/>
              <w:spacing w:before="0" w:after="0" w:line="252" w:lineRule="auto"/>
              <w:jc w:val="center"/>
            </w:pPr>
            <w:r>
              <w:rPr>
                <w:rFonts w:ascii="Times New Roman" w:hAnsi="Times New Roman"/>
                <w:b/>
                <w:color w:val="000000"/>
                <w:sz w:val="20"/>
              </w:rPr>
              <w:t>45-64 years</w:t>
            </w:r>
          </w:p>
        </w:tc>
        <w:tc>
          <w:tcPr>
            <w:tcW w:w="1728"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04603B3D" w14:textId="77777777" w:rsidR="00125155" w:rsidRDefault="00000000">
            <w:pPr>
              <w:keepNext w:val="0"/>
              <w:spacing w:before="0" w:after="0" w:line="252" w:lineRule="auto"/>
              <w:jc w:val="center"/>
            </w:pPr>
            <w:r>
              <w:rPr>
                <w:rFonts w:ascii="Times New Roman" w:hAnsi="Times New Roman"/>
                <w:b/>
                <w:color w:val="000000"/>
                <w:sz w:val="20"/>
              </w:rPr>
              <w:t>65-80 years</w:t>
            </w:r>
          </w:p>
        </w:tc>
        <w:tc>
          <w:tcPr>
            <w:tcW w:w="1800" w:type="dxa"/>
            <w:shd w:val="clear" w:color="auto" w:fill="E5E9EC"/>
            <w:tcMar>
              <w:top w:w="75" w:type="dxa"/>
              <w:left w:w="75" w:type="dxa"/>
              <w:bottom w:w="75" w:type="dxa"/>
              <w:right w:w="75" w:type="dxa"/>
            </w:tcMar>
            <w:vAlign w:val="center"/>
            <w:tcMar>
              <w:top w:w="90" w:type="dxa"/>
              <w:left w:w="90" w:type="dxa"/>
              <w:bottom w:w="90" w:type="dxa"/>
              <w:right w:w="90" w:type="dxa"/>
            </w:tcMar>
            <w:shd w:fill="E8EDF1"/>
          </w:tcPr>
          <w:p w14:paraId="7ACD3733" w14:textId="77777777" w:rsidR="00125155" w:rsidRDefault="00000000">
            <w:pPr>
              <w:keepNext w:val="0"/>
              <w:spacing w:before="0" w:after="0" w:line="252" w:lineRule="auto"/>
              <w:jc w:val="center"/>
            </w:pPr>
            <w:r>
              <w:rPr>
                <w:rFonts w:ascii="Times New Roman" w:hAnsi="Times New Roman"/>
                <w:b/>
                <w:color w:val="000000"/>
                <w:sz w:val="20"/>
              </w:rPr>
              <w:t>All records</w:t>
            </w:r>
          </w:p>
        </w:tc>
      </w:tr>
      <w:tr w:rsidR="00125155" w14:paraId="4B761FB1" w14:textId="77777777">
        <w:trPr>
          <w:cantSplit/>
          <w:jc w:val="center"/>
          <w:cantSplit/>
        </w:trPr>
        <w:tc>
          <w:tcPr>
            <w:tcW w:w="2376" w:type="dxa"/>
            <w:tcMar>
              <w:top w:w="75" w:type="dxa"/>
              <w:left w:w="75" w:type="dxa"/>
              <w:bottom w:w="75" w:type="dxa"/>
              <w:right w:w="75" w:type="dxa"/>
            </w:tcMar>
            <w:vAlign w:val="center"/>
            <w:tcMar>
              <w:top w:w="90" w:type="dxa"/>
              <w:left w:w="90" w:type="dxa"/>
              <w:bottom w:w="90" w:type="dxa"/>
              <w:right w:w="90" w:type="dxa"/>
            </w:tcMar>
          </w:tcPr>
          <w:p w14:paraId="741B2460" w14:textId="77777777" w:rsidR="00125155" w:rsidRDefault="00000000">
            <w:pPr>
              <w:keepNext w:val="0"/>
              <w:spacing w:before="0" w:after="0" w:line="252" w:lineRule="auto"/>
              <w:jc w:val="left"/>
            </w:pPr>
            <w:r>
              <w:rPr>
                <w:rFonts w:ascii="Times New Roman" w:hAnsi="Times New Roman"/>
                <w:b w:val="0"/>
                <w:color w:val="000000"/>
                <w:sz w:val="20"/>
              </w:rPr>
              <w:t>Coordination-related item</w:t>
            </w:r>
          </w:p>
        </w:tc>
        <w:tc>
          <w:tcPr>
            <w:tcW w:w="1728" w:type="dxa"/>
            <w:tcMar>
              <w:top w:w="75" w:type="dxa"/>
              <w:left w:w="75" w:type="dxa"/>
              <w:bottom w:w="75" w:type="dxa"/>
              <w:right w:w="75" w:type="dxa"/>
            </w:tcMar>
            <w:vAlign w:val="center"/>
            <w:tcMar>
              <w:top w:w="90" w:type="dxa"/>
              <w:left w:w="90" w:type="dxa"/>
              <w:bottom w:w="90" w:type="dxa"/>
              <w:right w:w="90" w:type="dxa"/>
            </w:tcMar>
          </w:tcPr>
          <w:p w14:paraId="504F6B0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11C940C3"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728" w:type="dxa"/>
            <w:tcMar>
              <w:top w:w="75" w:type="dxa"/>
              <w:left w:w="75" w:type="dxa"/>
              <w:bottom w:w="75" w:type="dxa"/>
              <w:right w:w="75" w:type="dxa"/>
            </w:tcMar>
            <w:vAlign w:val="center"/>
            <w:tcMar>
              <w:top w:w="90" w:type="dxa"/>
              <w:left w:w="90" w:type="dxa"/>
              <w:bottom w:w="90" w:type="dxa"/>
              <w:right w:w="90" w:type="dxa"/>
            </w:tcMar>
          </w:tcPr>
          <w:p w14:paraId="70C6372D" w14:textId="77777777" w:rsidR="00125155" w:rsidRDefault="00000000">
            <w:pPr>
              <w:keepNext w:val="0"/>
              <w:spacing w:before="0" w:after="0" w:line="252" w:lineRule="auto"/>
              <w:jc w:val="center"/>
            </w:pPr>
            <w:r>
              <w:rPr>
                <w:rFonts w:ascii="Times New Roman" w:hAnsi="Times New Roman"/>
                <w:b w:val="0"/>
                <w:color w:val="000000"/>
                <w:sz w:val="20"/>
              </w:rPr>
              <w:t>Not available</w:t>
            </w:r>
          </w:p>
        </w:tc>
        <w:tc>
          <w:tcPr>
            <w:tcW w:w="1800" w:type="dxa"/>
            <w:tcMar>
              <w:top w:w="75" w:type="dxa"/>
              <w:left w:w="75" w:type="dxa"/>
              <w:bottom w:w="75" w:type="dxa"/>
              <w:right w:w="75" w:type="dxa"/>
            </w:tcMar>
            <w:vAlign w:val="center"/>
            <w:tcMar>
              <w:top w:w="90" w:type="dxa"/>
              <w:left w:w="90" w:type="dxa"/>
              <w:bottom w:w="90" w:type="dxa"/>
              <w:right w:w="90" w:type="dxa"/>
            </w:tcMar>
          </w:tcPr>
          <w:p w14:paraId="7F3FBE58" w14:textId="77777777" w:rsidR="00125155" w:rsidRDefault="00000000">
            <w:pPr>
              <w:keepNext w:val="0"/>
              <w:spacing w:before="0" w:after="0" w:line="252" w:lineRule="auto"/>
              <w:jc w:val="center"/>
            </w:pPr>
            <w:r>
              <w:rPr>
                <w:rFonts w:ascii="Times New Roman" w:hAnsi="Times New Roman"/>
                <w:b w:val="0"/>
                <w:color w:val="000000"/>
                <w:sz w:val="20"/>
              </w:rPr>
              <w:t>86/120 (71.7%)</w:t>
            </w:r>
          </w:p>
        </w:tc>
      </w:tr>
      <w:tr w:rsidR="00125155" w14:paraId="5753271C" w14:textId="77777777">
        <w:trPr>
          <w:cantSplit/>
          <w:jc w:val="center"/>
          <w:cantSplit/>
        </w:trPr>
        <w:tc>
          <w:tcPr>
            <w:tcW w:w="2376" w:type="dxa"/>
            <w:shd w:val="clear" w:color="auto" w:fill="F6F7F8"/>
            <w:tcMar>
              <w:top w:w="75" w:type="dxa"/>
              <w:left w:w="75" w:type="dxa"/>
              <w:bottom w:w="75" w:type="dxa"/>
              <w:right w:w="75" w:type="dxa"/>
            </w:tcMar>
            <w:vAlign w:val="center"/>
            <w:tcMar>
              <w:top w:w="90" w:type="dxa"/>
              <w:left w:w="90" w:type="dxa"/>
              <w:bottom w:w="90" w:type="dxa"/>
              <w:right w:w="90" w:type="dxa"/>
            </w:tcMar>
          </w:tcPr>
          <w:p w14:paraId="0DAAAE88" w14:textId="77777777" w:rsidR="00125155" w:rsidRDefault="00000000">
            <w:pPr>
              <w:keepNext w:val="0"/>
              <w:spacing w:before="0" w:after="0" w:line="252" w:lineRule="auto"/>
              <w:jc w:val="left"/>
            </w:pPr>
            <w:r>
              <w:rPr>
                <w:rFonts w:ascii="Times New Roman" w:hAnsi="Times New Roman"/>
                <w:b w:val="0"/>
                <w:color w:val="000000"/>
                <w:sz w:val="20"/>
              </w:rPr>
              <w:t>Regular-use-related item</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67F65A17" w14:textId="77777777" w:rsidR="00125155" w:rsidRDefault="00000000">
            <w:pPr>
              <w:keepNext w:val="0"/>
              <w:spacing w:before="0" w:after="0" w:line="252" w:lineRule="auto"/>
              <w:jc w:val="center"/>
            </w:pPr>
            <w:r>
              <w:rPr>
                <w:rFonts w:ascii="Times New Roman" w:hAnsi="Times New Roman"/>
                <w:b w:val="0"/>
                <w:color w:val="000000"/>
                <w:sz w:val="20"/>
              </w:rPr>
              <w:t>25/38 (65.8%)</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70EB1785" w14:textId="77777777" w:rsidR="00125155" w:rsidRDefault="00000000">
            <w:pPr>
              <w:keepNext w:val="0"/>
              <w:spacing w:before="0" w:after="0" w:line="252" w:lineRule="auto"/>
              <w:jc w:val="center"/>
            </w:pPr>
            <w:r>
              <w:rPr>
                <w:rFonts w:ascii="Times New Roman" w:hAnsi="Times New Roman"/>
                <w:b w:val="0"/>
                <w:color w:val="000000"/>
                <w:sz w:val="20"/>
              </w:rPr>
              <w:t>28/41 (68.3%)</w:t>
            </w:r>
          </w:p>
        </w:tc>
        <w:tc>
          <w:tcPr>
            <w:tcW w:w="1728" w:type="dxa"/>
            <w:shd w:val="clear" w:color="auto" w:fill="F6F7F8"/>
            <w:tcMar>
              <w:top w:w="75" w:type="dxa"/>
              <w:left w:w="75" w:type="dxa"/>
              <w:bottom w:w="75" w:type="dxa"/>
              <w:right w:w="75" w:type="dxa"/>
            </w:tcMar>
            <w:vAlign w:val="center"/>
            <w:tcMar>
              <w:top w:w="90" w:type="dxa"/>
              <w:left w:w="90" w:type="dxa"/>
              <w:bottom w:w="90" w:type="dxa"/>
              <w:right w:w="90" w:type="dxa"/>
            </w:tcMar>
          </w:tcPr>
          <w:p w14:paraId="05F22A21" w14:textId="77777777" w:rsidR="00125155" w:rsidRDefault="00000000">
            <w:pPr>
              <w:keepNext w:val="0"/>
              <w:spacing w:before="0" w:after="0" w:line="252" w:lineRule="auto"/>
              <w:jc w:val="center"/>
            </w:pPr>
            <w:r>
              <w:rPr>
                <w:rFonts w:ascii="Times New Roman" w:hAnsi="Times New Roman"/>
                <w:b w:val="0"/>
                <w:color w:val="000000"/>
                <w:sz w:val="20"/>
              </w:rPr>
              <w:t>23/41 (56.1%)</w:t>
            </w:r>
          </w:p>
        </w:tc>
        <w:tc>
          <w:tcPr>
            <w:tcW w:w="1800" w:type="dxa"/>
            <w:shd w:val="clear" w:color="auto" w:fill="F6F7F8"/>
            <w:tcMar>
              <w:top w:w="75" w:type="dxa"/>
              <w:left w:w="75" w:type="dxa"/>
              <w:bottom w:w="75" w:type="dxa"/>
              <w:right w:w="75" w:type="dxa"/>
            </w:tcMar>
            <w:vAlign w:val="center"/>
            <w:tcMar>
              <w:top w:w="90" w:type="dxa"/>
              <w:left w:w="90" w:type="dxa"/>
              <w:bottom w:w="90" w:type="dxa"/>
              <w:right w:w="90" w:type="dxa"/>
            </w:tcMar>
          </w:tcPr>
          <w:p w14:paraId="3646DB2D" w14:textId="77777777" w:rsidR="00125155" w:rsidRDefault="00000000">
            <w:pPr>
              <w:keepNext w:val="0"/>
              <w:spacing w:before="0" w:after="0" w:line="252" w:lineRule="auto"/>
              <w:jc w:val="center"/>
            </w:pPr>
            <w:r>
              <w:rPr>
                <w:rFonts w:ascii="Times New Roman" w:hAnsi="Times New Roman"/>
                <w:b w:val="0"/>
                <w:color w:val="000000"/>
                <w:sz w:val="20"/>
              </w:rPr>
              <w:t>76/120 (63.3%)</w:t>
            </w:r>
          </w:p>
        </w:tc>
      </w:tr>
    </w:tbl>
    <w:p w14:paraId="2C104E3D" w14:textId="77777777" w:rsidR="00125155" w:rsidRDefault="00000000">
      <w:pPr>
        <w:pStyle w:val="Caption"/>
        <w:keepNext w:val="0"/>
        <w:keepLines/>
        <w:widowControl/>
        <w:spacing w:before="80"/>
      </w:pPr>
      <w:r>
        <w:t>Item labels are descriptive identifiers for the compiled counts. They do not replace the original administered wording, response scale or scoring threshold.</w:t>
      </w:r>
    </w:p>
    <w:p>
      <w:pPr>
        <w:pStyle w:val="Heading2"/>
        <w:widowControl/>
      </w:pPr>
      <w:r>
        <w:t>Stage 3B Pro Developmental Findings</w:t>
      </w:r>
    </w:p>
    <w:p>
      <w:pPr>
        <w:widowControl/>
      </w:pPr>
      <w:r>
        <w:t>After reconciliation, the exports represented 53 distinct runs in 16 software-defined visits under seven codes: 21 practice runs, ten warm-ups and 22 performance checks. Repeated run records showed no substantive conflicts. Five codes recorded touch input only, one recorded keyboard input, and one recorded touch input plus a stopped run with no input. Prior-play responses do not identify a paired follow-up cohort from Stage 3A. Software visits do not necessarily represent separate days or independent players.</w:t>
      </w:r>
    </w:p>
    <w:p>
      <w:pPr>
        <w:widowControl/>
      </w:pPr>
      <w:r>
        <w:t>Twelve decisions could be linked to the preceding performance and player-feedback records and to the settings recorded for the next run: nine were final local-rule decisions and three were player overrides of the proposed setting. No cloud-model request was recorded. Twenty-one practice-feedback records comprised 12 answered and nine explicitly skipped responses. This demonstrates recorded implementation of feedback-informed adaptation, without establishing a benefit of adaptation or of a language model.</w:t>
      </w:r>
    </w:p>
    <w:p>
      <w:pPr>
        <w:widowControl/>
      </w:pPr>
      <w:r>
        <w:t>Three complete opening–closing performance-check pairs occurred under two codes. Obstacle clearance changed from 100% to 90%, 80% to 90%, and 80% to 90%, respectively (−10, +10 and +10 percentage points). Each check involved 20 obstacles with a nominal 30-second duration, but course versions differed and equivalence was not established. These mixed immediate changes, without a comparator or delayed unassisted assessment, do not demonstrate durable learning.</w:t>
      </w:r>
    </w:p>
    <w:p w14:paraId="0BA59716" w14:textId="77777777" w:rsidR="00125155" w:rsidRDefault="00000000">
      <w:pPr>
        <w:pStyle w:val="Heading1"/>
        <w:widowControl/>
      </w:pPr>
      <w:r>
        <w:t>Discussion</w:t>
      </w:r>
    </w:p>
    <w:p w14:paraId="6AA1CD81" w14:textId="77777777" w:rsidR="00125155" w:rsidRDefault="00000000">
      <w:pPr>
        <w:pStyle w:val="Heading2"/>
        <w:widowControl/>
      </w:pPr>
      <w:r>
        <w:t>Principal Findings</w:t>
      </w:r>
    </w:p>
    <w:p w14:paraId="5C55B5A3" w14:textId="77777777" w:rsidR="00125155" w:rsidRDefault="00000000">
      <w:pPr>
        <w:pageBreakBefore w:val="0"/>
        <w:widowControl/>
      </w:pPr>
      <w:r>
        <w:t>This study places self-appraisal at the centre of a question raised by abandonment of a clinically attached coordination game. Stage 3A implemented one way to investigate that question: make the game available outside the FRA apparatus and remove clinical outputs while retaining coordination-oriented play. The summary contained returned classifications for 15 of 23 initial-dropout records, including 10 of 16 in the oldest band, alongside an age gradient in initial-dropout labels. These observations motivate further investigation of how players interpret and revisit challenging experiences. They do not demonstrate a psychological mechanism or an observed disengagement–return sequence.</w:t>
      </w:r>
    </w:p>
    <w:p w14:paraId="5F261E02" w14:textId="77777777" w:rsidR="00125155" w:rsidRDefault="00000000">
      <w:pPr>
        <w:pStyle w:val="Heading2"/>
        <w:widowControl/>
      </w:pPr>
      <w:r>
        <w:t>Comparison With Prior Work</w:t>
      </w:r>
    </w:p>
    <w:p w14:paraId="545A0CDD" w14:textId="77777777" w:rsidR="00125155" w:rsidRDefault="00000000">
      <w:pPr>
        <w:pageBreakBefore w:val="0"/>
        <w:widowControl/>
      </w:pPr>
      <w:r>
        <w:t>The comparison with the earlier clinical deployment is contextual. Stage 3A involved different participants, a wider age range, browser access, variable settings and assistance, and different equipment. Foot-pad and/or keypad control was intended to retain aspects of the earlier interaction, but does not make the deployments equivalent. Stage 3A players were new to this study game, whereas the Stage 2 residents had experience of the clinically attached system. Health-related framing at recruitment is incompletely documented. Differences between these deployments cannot identify an isolated effect of decoupling.</w:t>
      </w:r>
    </w:p>
    <w:p w14:paraId="1DAC67D5" w14:textId="77777777" w:rsidR="00125155" w:rsidRDefault="00000000">
      <w:pPr>
        <w:pageBreakBefore w:val="0"/>
        <w:widowControl/>
      </w:pPr>
      <w:r>
        <w:t>FIAS proposes that a personally adverse interpretation of an assessment experience contributes to subsequent withdrawal. This is a hypothesis about self-appraisal, rather than a diagnosis inferred from low use. A useful test would measure perceived failure or capability threat after comparable experiences and link those measures prospectively to a defined return outcome. The mainly zero-failure Stage 3A build, the unrecorded version each player received, absence of direct appraisal measures and unavailable event chronology prevent such a test. A bump is not necessarily experienced as failure. The earlier observation that three of six residents in the strongest-abandonment cluster showed a positive recorded balance-index change without returning [2] illustrates why measured performance and willingness to continue may diverge; it does not establish the cause of their withdrawal.</w:t>
      </w:r>
    </w:p>
    <w:p w14:paraId="7A181F48" w14:textId="77777777" w:rsidR="00125155" w:rsidRDefault="00000000">
      <w:pPr>
        <w:pageBreakBefore w:val="0"/>
        <w:widowControl/>
      </w:pPr>
      <w:r>
        <w:t>Existing acceptance and appraisal-based design frameworks already recognise self-efficacy, anxiety, meaning and personal interpretation [4,9,10]. The proposed contribution is therefore a specific, testable account of abandonment in the FRA context and a decoupling strategy for investigating it. The present design cannot exclude usability, game mechanics, access, fatigue or social support as contributing explanations. Age-band differences also do not establish uniform preferences or capabilities among older adults.</w:t>
      </w:r>
    </w:p>
    <w:p w14:paraId="0A75033F" w14:textId="77777777" w:rsidR="00125155" w:rsidRDefault="00000000">
      <w:pPr>
        <w:pStyle w:val="Heading2"/>
        <w:widowControl/>
      </w:pPr>
      <w:r>
        <w:t>Game Achievement and Learning From Experience</w:t>
      </w:r>
    </w:p>
    <w:p w14:paraId="460A458D" w14:textId="77777777" w:rsidR="00125155" w:rsidRDefault="00000000">
      <w:pPr>
        <w:pageBreakBefore w:val="0"/>
        <w:widowControl/>
      </w:pPr>
      <w:r>
        <w:t>Three outcomes require distinct interpretation. Game achievement concerns completion, distance, points or other performance within a game. Clinical FRA performance requires the relevant assessment apparatus and a validated relation between its measurements and the clinical construct. Learning from experience concerns changes in skill, strategy or appraisal arising through practice and feedback. Stage 3A retained game achievement recording but provided no corresponding clinical FRA measurement; this report analyses aggregate engagement classifications rather than achievement trajectories. Removing clinical measurement changes what can be inferred from the recorded game data.</w:t>
      </w:r>
    </w:p>
    <w:p w14:paraId="131B1EDF" w14:textId="77777777" w:rsidR="00125155" w:rsidRDefault="00000000">
      <w:pPr>
        <w:pageBreakBefore w:val="0"/>
        <w:widowControl/>
      </w:pPr>
      <w:r>
        <w:t>Continued participation creates an opportunity for learning but is not evidence that learning occurred. Immediate improvement may reflect familiarity, assistance or a change in difficulty. Durable learning requires suitable retention or transfer assessments [13]. Self-efficacy and stereotype-threat literature can guide hypotheses about how feedback is interpreted [14,15,16], but these mechanisms were not measured here. If clinically valid risk information is reintroduced, it should be communicated accurately with appropriate support. Game scores should not be presented as a diagnosis or a judgement of personal worth.</w:t>
      </w:r>
    </w:p>
    <w:p w14:paraId="3CF2A7FE" w14:textId="77777777" w:rsidR="00125155" w:rsidRDefault="00000000">
      <w:pPr>
        <w:pStyle w:val="Heading2"/>
        <w:widowControl/>
      </w:pPr>
      <w:r>
        <w:t>Stage 3B and Adaptive Learning Development</w:t>
      </w:r>
    </w:p>
    <w:p w14:paraId="44239ACF" w14:textId="77777777" w:rsidR="00125155" w:rsidRDefault="00000000">
      <w:pPr>
        <w:pageBreakBefore w:val="0"/>
        <w:widowControl/>
      </w:pPr>
      <w:r>
        <w:t>Stage 3B was a subsequent exploratory development phase intended to examine whether alternative mechanisms could support adaptation and the measurement of learning from gameplay. The design retained a similar skiing aesthetic while changing mechanisms with assistance from Anthropic’s Claude and introducing touchscreen input. The original component protocol, dated 8–9 August 2026, contrasted adaptive and static presentation and zero-failure and game-over modes; it did not manipulate clinical framing. Using Claude to help develop the software does not establish that a language model adapted play in real time.</w:t>
      </w:r>
    </w:p>
    <w:p>
      <w:pPr>
        <w:pageBreakBefore w:val="0"/>
        <w:widowControl/>
      </w:pPr>
      <w:r>
        <w:t>Some Stage 3B players had previously played the study game, and its instructions asked about previous play. The original component phase has yielded insufficient comparable data: five returns on a superseded build were excluded, and the frozen study edition had produced five returns by 30 September 2026, three of them single sessions, within a collection window that runs to 15 October 2026; the record reported here is closed at 30 September 2026, and later returns are archived but not reported. The September Pro exports are a separate developmental record: they demonstrate recorded operation of a rule-based adaptation process, without testing its learning benefit. Seven of 16 software visits contained no practice, and three of the nine visits with practice lacked a closing check. Prior exposure, input modality, changing builds and unresolved player attribution limit interpretation. Neither the original phase nor the Pro records are pooled with Stage 3A.</w:t>
      </w:r>
    </w:p>
    <w:p w14:paraId="34EC9C94" w14:textId="77777777" w:rsidR="00125155" w:rsidRDefault="00000000">
      <w:pPr>
        <w:pStyle w:val="Heading2"/>
        <w:widowControl/>
      </w:pPr>
      <w:r>
        <w:t>Limitations</w:t>
      </w:r>
    </w:p>
    <w:p w14:paraId="743FA66A" w14:textId="77777777" w:rsidR="00125155" w:rsidRDefault="00000000">
      <w:pPr>
        <w:pageBreakBefore w:val="0"/>
        <w:widowControl/>
      </w:pPr>
      <w:r>
        <w:t>The unknown invitation denominator and nonprobability recruitment limit generalisation beyond the returned-record sample. The target of 200 does not establish how many people were approached or explain why files were not returned. Selecting only file-returning players may favour those willing and able to engage; the direction and magnitude of the overall bias cannot be estimated from the available record. A source-linked participant reconstruction is needed to verify unique participants, exclusions and variable-level missingness. Unlinked source records, the unrecorded build version and missing event timing limit the behavioural meaning of the counts. The questionnaire as administered also requires linkage to the record.</w:t>
      </w:r>
    </w:p>
    <w:p w14:paraId="48E029BE" w14:textId="77777777" w:rsidR="00125155" w:rsidRDefault="00000000">
      <w:pPr>
        <w:pageBreakBefore w:val="0"/>
        <w:widowControl/>
      </w:pPr>
      <w:r>
        <w:t>Device combinations, assistance and distributor effects could influence participation but cannot be linked to individual outcomes; the 120 records include the distributors' own play. Changes across stages involve input modality, setting, mechanisms and prior experience, precluding attribution to any one change. No clinical outcome, identity-threat mechanism, durable learning outcome or language-model benefit was measured. The formal ethics decision followed Stage 3A collection; the chronology and the institution’s determination remain material to submission and reporting.</w:t>
      </w:r>
    </w:p>
    <w:p w14:paraId="5AAE33D1" w14:textId="77777777" w:rsidR="00125155" w:rsidRDefault="00000000">
      <w:pPr>
        <w:pStyle w:val="Heading2"/>
        <w:widowControl/>
      </w:pPr>
      <w:r>
        <w:t>Future Evaluation</w:t>
      </w:r>
    </w:p>
    <w:p w14:paraId="6806B1F0" w14:textId="77777777" w:rsidR="00125155" w:rsidRDefault="00000000">
      <w:pPr>
        <w:pageBreakBefore w:val="0"/>
        <w:widowControl/>
      </w:pPr>
      <w:r>
        <w:t>A test of the FIAS hypothesis could compare clinical and non-clinical presentations within the same recruitment population while holding equipment, mechanics and assistance constant. It should record exposure to framing, measure appraisal of capability and perceived failure, and prospectively define disengagement, prompting and a return window. Measures of usability, access and technology acceptance would help assess competing or interacting explanations. Prior play should be recorded and accounted for, with version identifiers, participant links and timestamps preserved. If fear of falling is relevant, a suitable instrument such as the Falls Efficacy Scale-International [17] could be included; it would not substitute for measuring the proposed self-appraisal mechanism and was not administered here.</w:t>
      </w:r>
    </w:p>
    <w:p w14:paraId="63E53C4C" w14:textId="77777777" w:rsidR="00125155" w:rsidRDefault="00000000">
      <w:pPr>
        <w:pageBreakBefore w:val="0"/>
        <w:widowControl/>
      </w:pPr>
      <w:r>
        <w:t>A future adaptive-learning study should specify the target skill and what the adaptation changes, compare appropriate conditions using equivalent assessments, and measure delayed unassisted retention or transfer. Repeated participation by the same person must be identifiable and analysed accordingly, with separate identifiers for invited players. Game achievement, perceived improvement and durable learning should remain separate outcomes. The Pro logs support the technical implementation of feedback-informed adaptation; feasibility of a complete learning evaluation and its efficacy remain unestablished. Feedback capture should also be built into the game. The Stage 3A builds had no in-game consent step or questionnaire, so responses were collected outside the game and returns arrived in mixed formats; the Stage 3B builds recorded consent, asked questions immediately after play and exported runs, condition and answers in one structured file, which made each return checkable but did not secure returns, because players still had to send the file. Any further collection requires the applicable prospective ethics determination and prespecified hypotheses and endpoints.</w:t>
      </w:r>
    </w:p>
    <w:p w14:paraId="6C470FF7" w14:textId="77777777" w:rsidR="00125155" w:rsidRDefault="00000000">
      <w:pPr>
        <w:pStyle w:val="Heading2"/>
        <w:widowControl/>
      </w:pPr>
      <w:r>
        <w:t>Conclusions</w:t>
      </w:r>
    </w:p>
    <w:p w14:paraId="7D3C6732" w14:textId="77777777" w:rsidR="00125155" w:rsidRDefault="00000000">
      <w:pPr>
        <w:pageBreakBefore w:val="0"/>
        <w:widowControl/>
      </w:pPr>
      <w:r>
        <w:t>Decoupling a coordination game from FRA apparatus and outputs provides a design approach for investigating whether self-appraisal contributes to abandonment. The Stage 3A aggregate record describes age-related engagement classifications, but cannot establish FIAS, verify an effect of decoupling or demonstrate learning. Stage 3B extends the research direction toward adaptive learning with similar aesthetics and different mechanisms. Its Pro logs document rule-based adaptation, while evidence of learning remains inconclusive. The contribution is an exploratory account linking the appraisal question to a concrete design change and identifying the behavioural and learning measurements needed to test it.</w:t>
      </w:r>
    </w:p>
    <w:p w14:paraId="114FDBBC" w14:textId="77777777" w:rsidR="00125155" w:rsidRDefault="00000000">
      <w:pPr>
        <w:pStyle w:val="Heading1"/>
        <w:widowControl/>
      </w:pPr>
      <w:r>
        <w:t>Acknowledgments</w:t>
      </w:r>
    </w:p>
    <w:p w14:paraId="3FAD646F" w14:textId="77777777" w:rsidR="00125155" w:rsidRDefault="00000000">
      <w:pPr>
        <w:pageBreakBefore w:val="0"/>
        <w:widowControl/>
      </w:pPr>
      <w:r>
        <w:t>The authors thank the distributors, research assistants, network partners and participants who supported the deployment and collection.</w:t>
      </w:r>
    </w:p>
    <w:p w14:paraId="79F2C572" w14:textId="77777777" w:rsidR="00125155" w:rsidRDefault="00000000">
      <w:pPr>
        <w:pStyle w:val="Heading2"/>
        <w:widowControl/>
      </w:pPr>
      <w:r>
        <w:t>Funding</w:t>
      </w:r>
    </w:p>
    <w:p w14:paraId="718D9F6C" w14:textId="77777777" w:rsidR="00125155" w:rsidRDefault="00000000">
      <w:pPr>
        <w:pageBreakBefore w:val="0"/>
        <w:widowControl/>
      </w:pPr>
      <w:r>
        <w:t>This research received no external funding.</w:t>
      </w:r>
    </w:p>
    <w:p w14:paraId="6129D98F" w14:textId="77777777" w:rsidR="00125155" w:rsidRDefault="00000000">
      <w:pPr>
        <w:pStyle w:val="Heading2"/>
        <w:widowControl/>
      </w:pPr>
      <w:r>
        <w:t>Data Availability</w:t>
      </w:r>
    </w:p>
    <w:p w14:paraId="1D8C2F5F" w14:textId="77777777" w:rsidR="00125155" w:rsidRDefault="00000000">
      <w:pPr>
        <w:pageBreakBefore w:val="0"/>
        <w:widowControl/>
      </w:pPr>
      <w:r>
        <w:t>The aggregate Stage 3A data logbook and archived game build are retained with the first author’s thesis records. Distributor invitations are retained. The returned results and questionnaire responses were compiled into the aggregate summary and were not retained as separate records, so no participant-level Stage 3A dataset exists. The twelve Stage 3B Pro source exports and the dated batch review are retained by the first author; the exports' software metadata and the investigator's account of who played are distinguished in reporting. Requests for access should be directed to the corresponding author and require review of de-identification, participant consent and institutional conditions.</w:t>
      </w:r>
    </w:p>
    <w:p w14:paraId="260222FC" w14:textId="77777777" w:rsidR="00125155" w:rsidRDefault="00000000">
      <w:pPr>
        <w:pStyle w:val="Heading2"/>
        <w:widowControl/>
      </w:pPr>
      <w:r>
        <w:t>Author Contributions</w:t>
      </w:r>
    </w:p>
    <w:p w14:paraId="3B04DE5C" w14:textId="77777777" w:rsidR="00125155" w:rsidRDefault="00000000">
      <w:pPr>
        <w:pageBreakBefore w:val="0"/>
        <w:widowControl/>
      </w:pPr>
      <w:r>
        <w:t>SKTT led the research programme, deployment, compilation of records and manuscript preparation. CFC supervised the research programme and reviewed the preceding manuscript version.</w:t>
      </w:r>
    </w:p>
    <w:p w14:paraId="44D34DD5" w14:textId="77777777" w:rsidR="00125155" w:rsidRDefault="00000000">
      <w:pPr>
        <w:pStyle w:val="Heading2"/>
        <w:widowControl/>
      </w:pPr>
      <w:r>
        <w:t>Conflicts of Interest</w:t>
      </w:r>
    </w:p>
    <w:p w14:paraId="795DB91F" w14:textId="77777777" w:rsidR="00125155" w:rsidRDefault="00000000">
      <w:pPr>
        <w:pageBreakBefore w:val="0"/>
        <w:widowControl/>
      </w:pPr>
      <w:r>
        <w:t>The authors declare no competing financial interests. The Stage-2 study was conducted with the residential care provider operating that facility; the provider had no role in the present Stage-3 study. Participants were recruited through the authors' networks.</w:t>
      </w:r>
    </w:p>
    <w:p w14:paraId="1B93C4D0" w14:textId="77777777" w:rsidR="00125155" w:rsidRDefault="00000000">
      <w:pPr>
        <w:pStyle w:val="Heading2"/>
        <w:widowControl/>
      </w:pPr>
      <w:r>
        <w:t>Use of Generative Artificial Intelligence</w:t>
      </w:r>
    </w:p>
    <w:p w14:paraId="0EF21E48" w14:textId="77777777" w:rsidR="00125155" w:rsidRDefault="00000000">
      <w:pPr>
        <w:pageBreakBefore w:val="0"/>
        <w:widowControl/>
      </w:pPr>
      <w:r>
        <w:t>Anthropic’s Claude Code assisted system development, including the HTML port and subsequent mechanism development. OpenAI’s ChatGPT and Anthropic’s Claude assisted manuscript revision, consistency review and plotting-code preparation for the 27 September 2026 version; ChatGPT assisted the revision and descriptive review of Pro records on 29 September 2026. Figures 2 and 3 were generated deterministically from the reported aggregate counts using plotting software. No participant observations were generated. The authors retain responsibility for the accuracy of the text, references, analyses and figures. Development or writing assistance does not establish operation or effectiveness of a language model during gameplay.</w:t>
      </w:r>
    </w:p>
    <w:p w14:paraId="798064E7" w14:textId="77777777" w:rsidR="00125155" w:rsidRDefault="00000000">
      <w:pPr>
        <w:pStyle w:val="Heading2"/>
        <w:widowControl/>
      </w:pPr>
      <w:r>
        <w:t>Related Publications</w:t>
      </w:r>
    </w:p>
    <w:p w14:paraId="4DABED53" w14:textId="77777777" w:rsidR="00125155" w:rsidRDefault="00000000">
      <w:pPr>
        <w:pageBreakBefore w:val="0"/>
        <w:widowControl/>
      </w:pPr>
      <w:r>
        <w:t>The programme’s Stage 1 conference manuscript [1] and Stage 2 companion manuscript [2] concern separate study records. Their results are cited as background and are not new Stage 3A findings. The primary quantitative results use the Stage 3A summary compiled in July 2026. September Stage 3B Pro logs are reported separately as developmental evidence and are not pooled with Stage 3A or the original Stage 3B component-phase records.</w:t>
      </w:r>
    </w:p>
    <w:p w14:paraId="57BC6949" w14:textId="77777777" w:rsidR="00125155" w:rsidRDefault="00000000">
      <w:pPr>
        <w:pStyle w:val="Heading2"/>
        <w:widowControl/>
      </w:pPr>
      <w:r>
        <w:t>Abbreviations</w:t>
      </w:r>
    </w:p>
    <w:p w14:paraId="721FF114" w14:textId="77777777" w:rsidR="00125155" w:rsidRDefault="00000000">
      <w:pPr>
        <w:pageBreakBefore w:val="0"/>
        <w:widowControl/>
      </w:pPr>
      <w:r>
        <w:t>API: application programming interface</w:t>
        <w:br/>
        <w:t>CI: confidence interval</w:t>
        <w:br/>
        <w:t>FIAS: failure-induced abandonment syndrome</w:t>
        <w:br/>
        <w:t>FRA: fall risk assessment</w:t>
        <w:br/>
        <w:t>HTML: Hypertext Markup Language</w:t>
        <w:br/>
        <w:t>STROBE: Strengthening the Reporting of Observational Studies in Epidemiology</w:t>
      </w:r>
    </w:p>
    <w:p w14:paraId="4E708B1E" w14:textId="77777777" w:rsidR="00125155" w:rsidRDefault="00000000">
      <w:pPr>
        <w:pStyle w:val="Heading1"/>
        <w:widowControl/>
      </w:pPr>
      <w:r>
        <w:t>References</w:t>
      </w:r>
    </w:p>
    <w:p>
      <w:pPr>
        <w:keepLines/>
        <w:pageBreakBefore w:val="0"/>
        <w:widowControl/>
        <w:spacing w:after="100"/>
      </w:pPr>
      <w:r>
        <w:t>1. Tam SKT, Cheung CF. Investigating low utilisation of fall risk assessment among elderly users: A critical review through TAM and Octalysis frameworks with gamification approach. Paper SS-293. 10th International Conference on Management Engineering, Software Engineering and Service Sciences (ICMSS 2026); March 20–22, 2026; Wuhan, China. Conference manuscript accepted for presentation and publication.</w:t>
      </w:r>
    </w:p>
    <w:p>
      <w:pPr>
        <w:keepLines/>
        <w:pageBreakBefore w:val="0"/>
        <w:widowControl/>
        <w:spacing w:after="100"/>
      </w:pPr>
      <w:r>
        <w:t>2. Tam SKT, Cheung CF. Gamification as a proactive approach: A study of elderly failure-induced abandonment in gamified Fall Risk Assessment. Unpublished manuscript submitted for publication; 2026.</w:t>
      </w:r>
    </w:p>
    <w:p>
      <w:pPr>
        <w:keepLines/>
        <w:pageBreakBefore w:val="0"/>
        <w:widowControl/>
        <w:spacing w:after="100"/>
      </w:pPr>
      <w:r>
        <w:t>3. An S, Cheung CF, Willoughby KW. A gamification approach for enhancing older adults' technology adoption and knowledge transfer: A case study in mobile payments technology. Technological Forecasting and Social Change. 2024;205:123456. doi:10.1016/j.techfore.2024.123456.</w:t>
      </w:r>
    </w:p>
    <w:p>
      <w:pPr>
        <w:keepLines/>
        <w:pageBreakBefore w:val="0"/>
        <w:widowControl/>
        <w:spacing w:after="100"/>
      </w:pPr>
      <w:r>
        <w:t>4. Chen K, Chan AHS. Gerontechnology acceptance by elderly Hong Kong Chinese: A senior technology acceptance model (STAM). Ergonomics. 2014;57(5):635-652. doi:10.1080/00140139.2014.895855.</w:t>
      </w:r>
    </w:p>
    <w:p>
      <w:pPr>
        <w:keepLines/>
        <w:pageBreakBefore w:val="0"/>
        <w:widowControl/>
        <w:spacing w:after="100"/>
      </w:pPr>
      <w:r>
        <w:t>5. Chou YK. Actionable Gamification: Beyond Points, Badges, and Leaderboards. Fremont, CA: Octalysis Media; 2015.</w:t>
      </w:r>
    </w:p>
    <w:p>
      <w:pPr>
        <w:keepLines/>
        <w:pageBreakBefore w:val="0"/>
        <w:widowControl/>
        <w:spacing w:after="100"/>
      </w:pPr>
      <w:r>
        <w:t>6. Thaler R. Toward a positive theory of consumer choice. Journal of Economic Behavior &amp; Organization. 1980;1(1):39-60.</w:t>
      </w:r>
    </w:p>
    <w:p>
      <w:pPr>
        <w:keepLines/>
        <w:pageBreakBefore w:val="0"/>
        <w:widowControl/>
        <w:spacing w:after="100"/>
      </w:pPr>
      <w:r>
        <w:t>7. Kahneman D, Knetsch JL, Thaler RH. Experimental tests of the endowment effect and the Coase theorem. Journal of Political Economy. 1990;98(6):1325-1348.</w:t>
      </w:r>
    </w:p>
    <w:p>
      <w:pPr>
        <w:keepLines/>
        <w:pageBreakBefore w:val="0"/>
        <w:widowControl/>
        <w:spacing w:after="100"/>
      </w:pPr>
      <w:r>
        <w:t>8. Kahneman D, Tversky A. Prospect theory: An analysis of decision under risk. Econometrica. 1979;47(2):263-291.</w:t>
      </w:r>
    </w:p>
    <w:p>
      <w:pPr>
        <w:keepLines/>
        <w:pageBreakBefore w:val="0"/>
        <w:widowControl/>
        <w:spacing w:after="100"/>
      </w:pPr>
      <w:r>
        <w:t>9. De Schutter B, Vanden Abeele V. Towards a gerontoludic manifesto. Anthropology &amp; Aging. 2015;36(2):112-120. doi:10.5195/aa.2015.104.</w:t>
      </w:r>
    </w:p>
    <w:p>
      <w:pPr>
        <w:keepLines/>
        <w:pageBreakBefore w:val="0"/>
        <w:widowControl/>
        <w:spacing w:after="100"/>
      </w:pPr>
      <w:r>
        <w:t>10. Khalili-Mahani N, De Schutter B. Affective game planning for health applications: Quantitative extension of gerontoludic design based on the appraisal theory of stress and coping. JMIR Serious Games. 2019;7(2):e13303. doi:10.2196/13303.</w:t>
      </w:r>
    </w:p>
    <w:p>
      <w:pPr>
        <w:keepLines/>
        <w:pageBreakBefore w:val="0"/>
        <w:widowControl/>
        <w:spacing w:after="100"/>
      </w:pPr>
      <w:r>
        <w:t>11. Eysenbach G. The law of attrition. Journal of Medical Internet Research. 2005;7(1):e11. doi:10.2196/jmir.7.1.e11.</w:t>
      </w:r>
    </w:p>
    <w:p>
      <w:pPr>
        <w:keepLines/>
        <w:pageBreakBefore w:val="0"/>
        <w:widowControl/>
        <w:spacing w:after="100"/>
      </w:pPr>
      <w:r>
        <w:t>12. von Elm E, Altman DG, Egger M, Pocock SJ, Gøtzsche PC, Vandenbroucke JP; STROBE Initiative. The Strengthening the Reporting of Observational Studies in Epidemiology (STROBE) statement: guidelines for reporting observational studies. PLoS Medicine. 2007;4(10):e296. doi:10.1371/journal.pmed.0040296.</w:t>
      </w:r>
    </w:p>
    <w:p>
      <w:pPr>
        <w:keepLines/>
        <w:pageBreakBefore w:val="0"/>
        <w:widowControl/>
        <w:spacing w:after="100"/>
      </w:pPr>
      <w:r>
        <w:t>13. Soderstrom NC, Bjork RA. Learning versus performance: an integrative review. Perspectives on Psychological Science. 2015;10(2):176–199. doi:10.1177/1745691615569000.</w:t>
      </w:r>
    </w:p>
    <w:p>
      <w:pPr>
        <w:keepLines/>
        <w:pageBreakBefore w:val="0"/>
        <w:widowControl/>
        <w:spacing w:after="100"/>
      </w:pPr>
      <w:r>
        <w:t>14. Barber SJ. An examination of age-based stereotype threat about cognitive decline. Perspectives on Psychological Science. 2017;12(1):62-90. doi:10.1177/1745691616656345.</w:t>
      </w:r>
    </w:p>
    <w:p>
      <w:pPr>
        <w:keepLines/>
        <w:pageBreakBefore w:val="0"/>
        <w:widowControl/>
        <w:spacing w:after="100"/>
      </w:pPr>
      <w:r>
        <w:t>15. McGlone MS, Aronson J. Stereotype threat, identity salience, and spatial reasoning. Journal of Applied Developmental Psychology. 2006;27(5):486-493.</w:t>
      </w:r>
    </w:p>
    <w:p>
      <w:pPr>
        <w:keepLines/>
        <w:pageBreakBefore w:val="0"/>
        <w:widowControl/>
        <w:spacing w:after="100"/>
      </w:pPr>
      <w:r>
        <w:t>16. Bandura A. Self-Efficacy: The Exercise of Control. New York, NY: WH Freeman; 1997.</w:t>
      </w:r>
    </w:p>
    <w:p>
      <w:pPr>
        <w:keepLines/>
        <w:pageBreakBefore w:val="0"/>
        <w:widowControl/>
        <w:spacing w:after="100"/>
      </w:pPr>
      <w:r>
        <w:t>17. Yardley L, Beyer N, Hauer K, Kempen G, Piot-Ziegler C, Todd C. Development and initial validation of the Falls Efficacy Scale-International (FES-I). Age and Ageing. 2005;34(6):614-619. doi:10.1093/ageing/afi196.</w:t>
      </w:r>
    </w:p>
    <w:sectPr w:rsidR="00125155" w:rsidSect="00034616">
      <w:headerReference w:type="default" r:id="rId13"/>
      <w:footerReference w:type="default" r:id="rId14"/>
      <w:pgSz w:w="12240" w:h="15840"/>
      <w:pgMar w:top="1152" w:right="1440" w:bottom="1152" w:left="1440" w:header="432"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4F73B95" w14:textId="77777777" w:rsidR="00302AF5" w:rsidRDefault="00302AF5">
      <w:pPr>
        <w:spacing w:after="0" w:line="240" w:lineRule="auto"/>
      </w:pPr>
      <w:r>
        <w:separator/>
      </w:r>
    </w:p>
  </w:endnote>
  <w:endnote w:type="continuationSeparator" w:id="0">
    <w:p w14:paraId="1CD8BB5E" w14:textId="77777777" w:rsidR="00302AF5" w:rsidRDefault="00302A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B060402020202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84ACE8" w14:textId="77777777" w:rsidR="00125155" w:rsidRDefault="00000000">
    <w:pPr>
      <w:pStyle w:val="Footer"/>
      <w:jc w:val="center"/>
    </w:pPr>
    <w:r>
      <w:rPr>
        <w:sz w:val="18"/>
      </w:rPr>
      <w:t xml:space="preserve">Tam and Cheung  |  </w:t>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55C7652" w14:textId="77777777" w:rsidR="00302AF5" w:rsidRDefault="00302AF5">
      <w:pPr>
        <w:spacing w:after="0" w:line="240" w:lineRule="auto"/>
      </w:pPr>
      <w:r>
        <w:separator/>
      </w:r>
    </w:p>
  </w:footnote>
  <w:footnote w:type="continuationSeparator" w:id="0">
    <w:p w14:paraId="72F29ADA" w14:textId="77777777" w:rsidR="00302AF5" w:rsidRDefault="00302A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56CC411" w14:textId="77777777" w:rsidR="00125155" w:rsidRDefault="001251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0428074">
    <w:abstractNumId w:val="8"/>
  </w:num>
  <w:num w:numId="2" w16cid:durableId="1672414227">
    <w:abstractNumId w:val="6"/>
  </w:num>
  <w:num w:numId="3" w16cid:durableId="305621985">
    <w:abstractNumId w:val="5"/>
  </w:num>
  <w:num w:numId="4" w16cid:durableId="1052121642">
    <w:abstractNumId w:val="4"/>
  </w:num>
  <w:num w:numId="5" w16cid:durableId="398284857">
    <w:abstractNumId w:val="7"/>
  </w:num>
  <w:num w:numId="6" w16cid:durableId="2059237896">
    <w:abstractNumId w:val="3"/>
  </w:num>
  <w:num w:numId="7" w16cid:durableId="1622028393">
    <w:abstractNumId w:val="2"/>
  </w:num>
  <w:num w:numId="8" w16cid:durableId="626860626">
    <w:abstractNumId w:val="1"/>
  </w:num>
  <w:num w:numId="9" w16cid:durableId="175088391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5155"/>
    <w:rsid w:val="0015074B"/>
    <w:rsid w:val="001C19B0"/>
    <w:rsid w:val="0029639D"/>
    <w:rsid w:val="002A3DEE"/>
    <w:rsid w:val="00302AF5"/>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FDA331"/>
  <w14:defaultImageDpi w14:val="300"/>
  <w15:docId w15:val="{6959C1D6-14B2-BE45-83E8-1209A0573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color w:val="000000"/>
      <w:sz w:val="23"/>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contextualSpacing/>
    </w:pPr>
    <w:rPr>
      <w:rFonts w:asciiTheme="majorHAnsi" w:eastAsiaTheme="majorEastAsia" w:hAnsiTheme="majorHAnsi" w:cstheme="majorBidi"/>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80"/>
    </w:pPr>
    <w:rPr>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4562</Words>
  <Characters>28610</Characters>
  <Application>Microsoft Office Word</Application>
  <DocSecurity>0</DocSecurity>
  <Lines>484</Lines>
  <Paragraphs>228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R8 - JMIR manuscript (author R7 of 29 Sep 2026, corrected)</dc:title>
  <dc:subject>Paper 3 R7 revision of 29 September 2026</dc:subject>
  <dc:creator>Sidney K. T. Tam; Chi Fai Cheung</dc:creator>
  <cp:keywords/>
  <dc:description>R6 (27 Sep 2026): revised to the editorial review; exploratory formative positioning; compiled-classification register; ethics chronology; Stage 3B reduced; refs [14]-[15]; Figure 1 corrected.</dc:description>
  <cp:lastModifiedBy>TAM, Sidney [Student]</cp:lastModifiedBy>
  <cp:revision>2</cp:revision>
  <dcterms:created xsi:type="dcterms:W3CDTF">2013-12-23T23:15:00Z</dcterms:created>
  <dcterms:modified xsi:type="dcterms:W3CDTF">2026-09-29T15:00:00Z</dcterms:modified>
  <cp:category/>
</cp:coreProperties>
</file>