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and including the distributors' own records.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The investigator reports that the distributors, members of separate Hong Kong groups without prior knowledge of the gamified FRA, were eligible and also played, and that their own records are among the 120; their records cannot be separated from those of the players they recruited.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distributors received both this archived build, first created on 13 July 2026, and an earlier version in which a run could end in a game over, and passed them on; returns did not record which version a participant played, so the number who played each is unknown. The investigator reports that implementation limitations with the earlier version led to this build and that the main period of play was postponed to late July 2026, so most returns fell within a few weeks before the summary was compiled.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including a game over in the earlier version, was classified as an initial dropout; one who later played again, on either build and at any time before the July 2026 compilation, as returned, regardless of how long or how often they then played; and one who never played again as a non-return. For older players, the failure and the stop were observed by an assistant; for others, they were inferred from reported results or from not playing again after the first game, so some initial dropouts have no recorded failure. Exporting results from the archived build was optional, so returns arrived over several weeks.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Stage 3A did not conduct a clinical health-performance assessment.</w:t>
      </w:r>
    </w:p>
    <w:p w14:paraId="77F5A6B9" w14:textId="77777777" w:rsidR="00125155" w:rsidRDefault="00000000">
      <w:pPr>
        <w:pageBreakBefore w:val="0"/>
        <w:widowControl/>
      </w:pPr>
      <w:commentRangeStart w:id="2"/>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runs to 15 October 2026; the record reported here is closed at 30 September 2026, and later returns are archived but not reported.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the 120 records include the distributors' own play.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