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Table 3. Sensitivity analysis of the principal statistics with and without the unverified record. The primary analysis retains all thirty records; eligibility follows record provenance, not the favourability of values.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All records (n = 30)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Unverified record excluded (n = 29)</w:t>
            </w:r>
          </w:p>
        </w:tc>
      </w:tr>
      <w:tr>
        <w:tc>
          <w:tcPr>
            <w:tcW w:type="dxa" w:w="2880"/>
          </w:tcPr>
          <w:p>
            <w:r>
              <w:t>Mean FRA index change (points)</w:t>
            </w:r>
          </w:p>
        </w:tc>
        <w:tc>
          <w:tcPr>
            <w:tcW w:type="dxa" w:w="2880"/>
          </w:tcPr>
          <w:p>
            <w:r>
              <w:t>+4.03</w:t>
            </w:r>
          </w:p>
        </w:tc>
        <w:tc>
          <w:tcPr>
            <w:tcW w:type="dxa" w:w="2880"/>
          </w:tcPr>
          <w:p>
            <w:r>
              <w:t>+4.07</w:t>
            </w:r>
          </w:p>
        </w:tc>
      </w:tr>
      <w:tr>
        <w:tc>
          <w:tcPr>
            <w:tcW w:type="dxa" w:w="2880"/>
          </w:tcPr>
          <w:p>
            <w:r>
              <w:t>95% CI for mean change</w:t>
            </w:r>
          </w:p>
        </w:tc>
        <w:tc>
          <w:tcPr>
            <w:tcW w:type="dxa" w:w="2880"/>
          </w:tcPr>
          <w:p>
            <w:r>
              <w:t>0.47–7.60</w:t>
            </w:r>
          </w:p>
        </w:tc>
        <w:tc>
          <w:tcPr>
            <w:tcW w:type="dxa" w:w="2880"/>
          </w:tcPr>
          <w:p>
            <w:r>
              <w:t>0.38–7.76</w:t>
            </w:r>
          </w:p>
        </w:tc>
      </w:tr>
      <w:tr>
        <w:tc>
          <w:tcPr>
            <w:tcW w:type="dxa" w:w="2880"/>
          </w:tcPr>
          <w:p>
            <w:r>
              <w:t>Paired t test, p</w:t>
            </w:r>
          </w:p>
        </w:tc>
        <w:tc>
          <w:tcPr>
            <w:tcW w:type="dxa" w:w="2880"/>
          </w:tcPr>
          <w:p>
            <w:r>
              <w:t>0.028</w:t>
            </w:r>
          </w:p>
        </w:tc>
        <w:tc>
          <w:tcPr>
            <w:tcW w:type="dxa" w:w="2880"/>
          </w:tcPr>
          <w:p>
            <w:r>
              <w:t>0.032</w:t>
            </w:r>
          </w:p>
        </w:tc>
      </w:tr>
      <w:tr>
        <w:tc>
          <w:tcPr>
            <w:tcW w:type="dxa" w:w="2880"/>
          </w:tcPr>
          <w:p>
            <w:r>
              <w:t>Satisfaction–sustained-engagement association (Fisher's exact test), p</w:t>
            </w:r>
          </w:p>
        </w:tc>
        <w:tc>
          <w:tcPr>
            <w:tcW w:type="dxa" w:w="2880"/>
          </w:tcPr>
          <w:p>
            <w:r>
              <w:t>0.013</w:t>
            </w:r>
          </w:p>
        </w:tc>
        <w:tc>
          <w:tcPr>
            <w:tcW w:type="dxa" w:w="2880"/>
          </w:tcPr>
          <w:p>
            <w:r>
              <w:t>0.027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Gamification as a Proactive Approach (JIKM submission)</dc:title>
  <dc:subject/>
  <dc:creator/>
  <cp:keywords/>
  <dc:description/>
  <cp:lastModifiedBy/>
  <cp:revision>1</cp:revision>
  <dcterms:created xsi:type="dcterms:W3CDTF">2026-09-20T19:20:19Z</dcterms:created>
  <dcterms:modified xsi:type="dcterms:W3CDTF">2026-09-20T19:20:19Z</dcterms:modified>
  <cp:category/>
</cp:coreProperties>
</file>