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sz w:val="18"/>
        </w:rPr>
        <w:t>Table 4. Recorded FRA index changes, sustained participants (N = 9).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Measure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Gamified FRA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Baseline FRA index (mean ± SD)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42.0 ± 8.3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Post-intervention (mean ± SD)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48.9 ± 9.4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Change (mean ± SD; 95% CI)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+6.9 ± 3.1 (4.5–9.3)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Cohen's dz (paired; 95% CI)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2.22 (0.95–3.46)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Improvement (therapist-observed)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7/9 (78%)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Satisfaction (Satisfied/Very Satisfied)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9/9 (100%)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Gamification as a Proactive Approach (JIKM submission)</dc:title>
  <dc:subject/>
  <dc:creator/>
  <cp:keywords/>
  <dc:description>JIKM build from KM-framed manuscript; F4 and ethics corrected; unblinded.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