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supports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 (Interview date, format and the expert's written attribution confirmation to be appended at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i w:val="0"/>
        </w:rPr>
        <w:t>(Protocol documentation to be inserted.)</w:t>
      </w:r>
    </w:p>
    <w:p>
      <w:r>
        <w:t>Stage-3 data collection is complete. The participant-level records — paper questionnaires, staff session logs and terminal exports — are held in the study archive, and the full participant-level analysis is in progress. Preliminary aggregate results have been compiled while that analysis proceeds, and Chapter 6 reports that preliminary record. The data logbook (Appendix G, item G.3) holds the preliminary aggregate results and a reconciliation sheet whose live formulas recompute every preliminary indicator from the participant-level entries, so the full analysis can be verified against the preliminary record as it is completed.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with the full participant-level analysis in progress;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The Stage-3 dataset was collected in full; preliminary aggregate results have been compiled, and the full participant-level analysis is in progress.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 (Full participant-level analysis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(Interview date, format and language, the question list used, and Dr Yuan's written confirmation of named attribution to be appended here at binding.)</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v19</dc:title>
  <dc:subject>EngD thesis revised following academic methodological review</dc:subject>
  <dc:creator>python-docx</dc:creator>
  <cp:keywords/>
  <dc:description>Submission draft v19 (19 Jul 2026). Expert consultation with Dr Sarah C.W. Yuan integrated: 3.2 method, 3.4 ethics, new 6.8A, 7.5.3, 8.5, Appendix H. Pending: interview date/format, written attribution consent, photos, Stage-3 transcription.</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