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r>
              <w:t>2023–2024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jc w:val="both"/>
      </w:pPr>
      <w:r>
        <w:t>The finding's shortest statement is this: the threat lives in the artefact - in the verdict a clinical station stands ready to deliver - while the abandonment is its observable shadow; and the mechanism connecting the two is the participant's own loss-averse appraisal and collapsed self-efficacy, not the FRA's difficulty and not the game's design.</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