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(returned dropouts counted as retained),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the figures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jc w:val="both"/>
      </w:pPr>
      <w:r>
        <w:t>Figure 2.1 renders the synthesis of this chapter graphically as the author's five-part literature-to-design framework. Parts 1 and 2 state the initial design expectation drawn from technology-acceptance and gamification theory - the origin of H0, formalised retrospectively (§2.3.5). Parts 3 and 4 assemble the competing and complementary explanations that field difficulty brought under examination: self-efficacy on one side, and the behavioural-appraisal candidates - loss aversion, identity-related endowment, mental accounting, stereotype threat - on the other, considered alongside continuance and information avoidance. Part 5 states the design response they inform. The lower band connects the five parts to the three empirical stages and the proposed response, and carries the two caveats this architecture keeps in view throughout: Stage 3 changed cohort, input and context together, so framing effects were not isolated; and credible improvement claims require comparable observations, disclosed task changes and separate reporting of incompatible phases. The figure states structure and argumentative connection only - arrows are not causal claims, and stage outcomes are reported in Chapters 4 to 6.</w:t>
      </w:r>
    </w:p>
    <w:p>
      <w:pPr>
        <w:keepNext/>
        <w:jc w:val="center"/>
      </w:pPr>
      <w:r>
        <w:drawing>
          <wp:inline>
            <wp:extent cx="5688000" cy="4153737"/>
            <wp:docPr id="40" name="Picture 40"/>
            <wp:cNvGraphicFramePr>
              <a:graphicFrameLocks noChangeAspect="1"/>
            </wp:cNvGraphicFramePr>
            <a:graphic>
              <a:graphicData uri="http://schemas.openxmlformats.org/drawingml/2006/picture">
                <pic:pic>
                  <pic:nvPicPr>
                    <pic:cNvPr id="0" name="fig_2_1_literature_synthesis.png"/>
                    <pic:cNvPicPr/>
                  </pic:nvPicPr>
                  <pic:blipFill>
                    <a:blip r:embed="rId49"/>
                    <a:stretch>
                      <a:fillRect/>
                    </a:stretch>
                  </pic:blipFill>
                  <pic:spPr>
                    <a:xfrm>
                      <a:off x="0" y="0"/>
                      <a:ext cx="5688000" cy="4153737"/>
                    </a:xfrm>
                    <a:prstGeom prst="rect"/>
                  </pic:spPr>
                </pic:pic>
              </a:graphicData>
            </a:graphic>
          </wp:inline>
        </w:drawing>
      </w:r>
    </w:p>
    <w:p>
      <w:pPr>
        <w:pStyle w:val="FigureCaption"/>
      </w:pPr>
      <w:r>
        <w:t>Figure 2.1. The five-part literature-to-design synthesis: conceptual rationale for gamification, continuous improvement and innovation enhancement. Five conceptual parts organise the rationale for the three empirical stages and the proposed design response; arrows indicate argumentative connections, not causal proof. Source: author's synthesis of the cited literature (Chapters 2-8).</w:t>
      </w:r>
    </w:p>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t>June–August 2025 (eight weeks)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6 August 2026 (approval period 16 Jun 2024 – 30 Oct 2026)</w:t>
            </w:r>
          </w:p>
        </w:tc>
        <w:tc>
          <w:tcPr>
            <w:tcW w:type="dxa" w:w="1994"/>
          </w:tcPr>
          <w:p>
            <w:r>
              <w:t>§3.4</w:t>
            </w:r>
          </w:p>
        </w:tc>
      </w:tr>
      <w:tr>
        <w:trPr>
          <w:cantSplit/>
        </w:trPr>
        <w:tc>
          <w:tcPr>
            <w:tcW w:type="dxa" w:w="3927"/>
          </w:tcPr>
          <w:p>
            <w:r>
              <w:t>Stage 3B — pre-registered 2x2 field experiment</w:t>
            </w:r>
          </w:p>
        </w:tc>
        <w:tc>
          <w:tcPr>
            <w:tcW w:type="dxa" w:w="2584"/>
          </w:tcPr>
          <w:p>
            <w:r>
              <w:rPr/>
              <w:t>August–October 2026 (planned window)</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6 August 2026 by the Departmental Research Committee of the Department of Industrial and Systems Engineering on behalf of the PolyU Institutional Review Board, for the approval period 16 June 2024 to 30 October 2026 - a period that covers all of the programme's fieldwork, including the planned Stage 3B window; the approval memo is archived in the ethics record);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t>The reconciliation with Appendix C's after-game questionnaire is documented by the deployment logbook's own column provenance (Stage-2 ID register, received 11 September 2026): the satisfaction ratings were collected by the after-game paper questionnaire completed by players, while the presenting symptoms and the symptom-improvement entries are therapist observations relayed to and compiled by the researcher. The satisfaction variable is therefore participant-reported and the symptom variables therapist-observed; the two earlier accounts were each accurate for its own variable.</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t>Per-generation development dates and tooling are recorded in the build-lineage matrix (Appendix G, item G.0A) as it is completed; where a generation's tooling is not yet documented there, no tooling claim is made for it.</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highlight w:val="yellow"/>
        </w:rPr>
      </w:r>
      <w:r/>
      <w:r>
        <w:rPr/>
      </w:r>
      <w:r/>
    </w:p>
    <w:p>
      <w:pPr>
        <w:jc w:val="both"/>
      </w:pPr>
      <w:r>
        <w:t>A corresponding caution attaches to the symptom variables, which are therapist-observed and researcher-compiled rather than self-administered: therapists reported their observations in ordinary practice, and the researcher attributed values to individuals when compiling near-daily field notes. The satisfaction ratings, by contrast, were collected by the after-game paper questionnaire completed by players (§3.4; Appendix C).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r>
        <w:t xml:space="preserve">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jc w:val="both"/>
      </w:pPr>
      <w:r>
        <w:t>A recorded observation sequence from the deployment gives the discrepancy its field texture, and it is the cause-and-consequence chain from which the FIAS construct was subsequently built. The researcher's field notes record, in this order: several players acknowledged the benefits of the FRA and recorded positive index gains through game play; across their second and third cycles the same players encountered recurring in-game failure events - obstacle hits, falls, low-scoring runs - and gave up despite the recorded gains; and as dropouts accumulated, remaining players saw that many of their peers had stopped attending, and that visible thinning of the group contributed to further abandonment. Provenance is stated plainly: this is the researcher's field-note record, retrieved from the archive in September 2026 during examination-driven verification; it is a recorded qualitative sequence, not an instrumented measure, and no per-participant counts attach to it. Three readings follow, each taken up elsewhere. Failure events outweighing recorded gains in the participants' own weighing is the loss-aversion signature the FIAS account formalises (§5.7). Under the coupled deployment each in-game failure carried the assessment frame's verdict meaning (§5.2A) - the attachment Stage 3 examines by removing it. And the visible-dropout effect is a within-deployment social channel, taken up with the group-narrative account in §8.6B and the panel's group-dynamics interpretation in §6.8A.</w:t>
      </w:r>
    </w:p>
    <w:p>
      <w:pPr>
        <w:jc w:val="both"/>
      </w:pPr>
      <w:r>
        <w:t>The sustained participants' interview record, entered in the author's entry-and-results sheet and archived with the raw data (Appendix C), adds documented texture on the persistence side of the same discrepancy. All nine would play the game again and all nine were willing to continue using the FRA; enjoyment and perceived usefulness were rated high (means 4.3 and 4.7 of 5) with low discouragement (mean 1.9), and self-rated steering and recovery confidence averaged 7.4 and 7.7 of 10 - measures that exist only for the nine and cannot speak to the dropouts' self-appraisals. Two of the nine spontaneously puzzled over the non-participants ('don't know why others don't try') - the sustained side of the visible-participation channel taken up in §8.6B. Four of the nine criticised the game's visuals as weak or childish even while rating the experience highly, an echo of the infantilisation risk raised in the expert consultations; and one record contains an internal contradiction (usefulness disclaimed in one item, endorsed in another), retained as recorded. The exact administered wording of the instrument awaits verification against the paper forms (Appendix C).</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dispersed home play also removed the communal setting in which peers' dropout had been visible in Stage 2 (§5.6), a further component of the package.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offered as jointly covering the appraisal chain as this programme has mapped it - a design claim about coverage of the observed chain, not a claim of empirical exhaustiveness or unique necessity - with the principles individually non-redundant,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 The retrieved observation sequence of §5.6 adds a further discriminating point: the field notes record players who acknowledged the system's benefits and were recording index gains, yet gave up after recurring in-game failures across their second and third cycles - a profile that boredom, limited-relevance and competing-priority accounts do not naturally produce.</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One strand of the account is nonetheless anchored in the deployment record: the researcher's field notes record that, as dropouts accumulated, remaining players saw that many peers had stopped attending, and that visible thinning contributed to further abandonment (§5.6). This is a field-note observation of within-deployment dropout visibility, not sociometric or narrative-circulation data; it documents a social channel operating, while leaving the source, content and causal role of any circulating narrative unmeasured.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confirmatory programme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discoveries.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t>June–August 2025 (eight weeks)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6 August 2026 (approval period 16 Jun 2024 – 30 Oct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t>August–October 2026 (planned window)</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post-deployment interviews were conducted during August and September 2025, in the weeks following the eight-week cycle and the small rewards presentation at which the persistent players' written consent was recorded. Because the game was coupled to the FRA, the interviews were arranged through the facility therapists, who knew the players from the sessions. Each player was invited to an interview after the games; a very few were interviewed immediately, others deferred, and the therapists completed the remaining interviews as players could be reached over this period — all thirty were sought and twenty-nine could be reached. Nine accepted, and the nine who accepted were the nine persistent participants. The interviews were conducted with the therapists' assistance, some in person and some by telephone, in Mandarin or Cantonese at the participant's preference, using the paper interview questionnaire as the schedule. Responses were recorded by the therapists onto the questionnaire forms and into a logbook kept at the centre — in some cases after, rather than during, the interview — and the researcher received the therapists' summaries and collected the logbook, and the therapists reported when all interviews were done. The researcher did not directly observe the interviews, and their individual timing rests on the dated forms and the therapists' report. The therapist-completed record, not researcher notes, is therefore the primary record, and recorded free-text wording is the therapists' rendering rather than the participants' verbatim words. That twenty reachable players declined is itself part of the record: the interview subgroup is self-selected, and the interviews accordingly speak to persistence only. The interview instrument's structure is now documented from the author's entry-and-results record (received and archived 10 September 2026 with the raw data): nine items - a free-text memorable-experience item; enjoyment, FRA usefulness and discouragement on five-point scales; steering confidence and recovery confidence on 0-10 scales; play-again and FRA-again willingness items; and a free-text reasons item. The entry record holds all nine participants' responses (entered complete, no corrections), and the entry workbook's question guide documents the full bilingual wording of the nine items with their scale anchors (1-5 agreement, strongly disagree to strongly agree; 0-10 confidence, none to complete, the two confidence items assuming the same staff support as at the session; Q7/Q8 offer Yes/Undecided/No and Willing/Undecided/Unwilling), drawn from the researcher's revised-draft pack. A photographic copy of one completed interview form (participant S2-P024, dated 25 August 2025) has been sighted and matches the entry record and the documented wording; archival copies of the completed forms (including that exemplar) and of the after-game questionnaire sheets remain to be filed. Entered ratings: enjoyment mean 4.3 (range 4-5), usefulness 4.7 (4-5), discouragement 1.9 (1-3), steering confidence 7.4 (6-8), recovery confidence 7.7 (6-9); all nine would play again and all nine were willing to continue with the FRA.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G.2  Stage-2 participant dataset (FRA_Raw_Data_N30.xlsx; 30 elderly participants plus two younger staff test plays; stable pseudonymous IDs S2-P001–S2-P030 and S2-C001/S2-C002 per the Stage-2 ID register, received 11 September 2026):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with the control person's written consent (pending - author checklist, item 9).</w:t>
      </w:r>
    </w:p>
    <w:p>
      <w:pPr/>
      <w:r>
        <w:t>G.11  Expert interview guide (Expert_Interview_Guide_2026.docx), the semi-structured guide used across the consultation panel; reproduced compactly as Appendix H.5.</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V40 CLOSED - 10 September 2026. The examination-driven revision cycle is complete. The remaining yellow marks in this document are confined to: (a) the Stage-2 instrument scans and as-administered wording confirmation (Appendix C; the s3.4 reconciliation and the interview-instrument wording are RESOLVED via the Stage-2 ID register and entry workbook, 11 Sep 2026) and the D1-D2 response scale and bilingual wording (Appendix D); (b) Stage-2 game telemetry and AI-call logs (G.2/G.7 - archive or one disclosed not-retained sentence); (c) consent-gated panel items that close on receipt of the signed member-check and elections (s6.12, H.6, H.7); (d) Stage 3B cells that close when the August-October 2026 window ends (s8.8, Table 9.1); and (e) the Appendix G manifest and build-lineage stubs (G.0, G.0A), which complete as the archive records land. External gates tracked in the working file PENDING_ITEMS.md, outside this document: the SS-293 camera-ready consent check, the supervisor's report and the Stage-3B protocol sign-off. Final production remains as one pass: regenerate the ToC, List of Figures and List of Tables as Word fields (Figure 2.1, Figure 8.1 and the tables added since V37 enter the lists there), regularise figure numbering, remove this page together with every remaining mark, and proofread.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