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an initially promising health-technology intervention encounters difficulty. The empirical setting is gamified Fall Risk Assessment (FRA) with older adults. The central problem is continued voluntary engagement after an adverse experience, rather than initial acceptance alone. A three-stage field programme examines this problem and develops a proposed adaptive-learning framework. Gamification supplies the participatory setting and feedback opportunities; adaptation is a candidate design mechanism through which difficulty can inform the next interaction and the next design revision. These roles connect the thesis title to the adaptive system without assuming that adaptation itself establishes improvement.</w:t>
      </w:r>
    </w:p>
    <w:p w14:paraId="4BEDA2C7" w14:textId="77777777" w:rsidR="0062437E" w:rsidRDefault="00000000">
      <w:pPr>
        <w:jc w:val="both"/>
      </w:pPr>
      <w:r>
        <w:t>Stage 1 surveyed 200 residents from a population of 280 at a Guangzhou care facility and identified retrospective accounts of adverse first experiences followed by non-return. Stage 2 prospectively observed thirty residents using an AI-assisted skiing game in which weight-shift control also contributed to FRA measurement.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browser game. Continued or resumed play was 93.3% overall and 85.4% in the 65-80 band among the 120 participants whose returned files were compiled (including dropouts who played again; the invitation denominator and return timing are not recoverable from the aggregate record),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 adaptive support (difficulty adjustment with coaching) against static presentation, crossed with zero-failure against game-over failure modes — was built and distributed during the programme; its design, builds and returns to 15 October 2026 are documented descriptively in Appendix I and are not used to test the adaptive-learning proposition, which is carried forward as future study.</w:t>
      </w:r>
      <w:commentRangeEnd w:id="1"/>
      <w:r>
        <w:rPr>
          <w:rStyle w:val="CommentReference"/>
        </w:rPr>
        <w:commentReference w:id="1"/>
      </w:r>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xiii</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Why the Empty Station Is an Industry Problem, Not a Local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4</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7</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8</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9</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10</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11</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13</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13</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14</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14</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14</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15</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15</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15</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16</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16</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17</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17</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18</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18</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18</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19</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19</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20</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20</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21</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21</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22</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22</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23</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23</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23</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23</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24</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25</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25</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26</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26</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27</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27</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28</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28</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28</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29</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34</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34</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34</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37</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39</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40</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42</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44</w:t>
      </w:r>
    </w:p>
    <w:p>
      <w:pPr>
        <w:pStyle w:val="TOC2"/>
        <w:keepNext w:val="0"/>
        <w:keepLines/>
        <w:tabs>
          <w:tab w:pos="8496" w:val="right" w:leader="dot"/>
        </w:tabs>
        <w:spacing w:before="0" w:after="80" w:line="276" w:lineRule="auto"/>
        <w:ind w:right="374"/>
      </w:pPr>
      <w:r>
        <w:rPr>
          <w:rFonts w:ascii="Times New Roman" w:hAnsi="Times New Roman"/>
          <w:sz w:val="22"/>
        </w:rPr>
        <w:t>4.1 Purpose</w:t>
        <w:tab/>
        <w:t>44</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44</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48</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49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50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51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51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52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52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54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54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55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55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59</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59</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59</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60</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63</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64</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65</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66</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66</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The Claude Code-Assisted Workflow</w:t>
        <w:tab/>
        <w:t>67</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69</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71</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71</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75</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77</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79</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80</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80</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82</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82</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82</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83</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83</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84</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88</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89</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89</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91</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92</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93</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93</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94</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95</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95</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95</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96</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98</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100</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100</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100</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101</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101</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103</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103</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104</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106</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107</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107</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(in development)</w:t>
        <w:tab/>
        <w:t>107</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108</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108</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108</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108</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109</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110</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110</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113</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114</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114</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115</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115</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116</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116</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116</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117</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117</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117</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117</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117</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118</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118</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119</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119</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120</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120</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121</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122</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122</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122</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123</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123</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123</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123</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126</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128</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128</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128</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129</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133</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134</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136</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137</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138</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138</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139</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140</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140</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142</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144</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144</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145</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145</w:t>
      </w:r>
    </w:p>
    <w:p>
      <w:pPr>
        <w:pStyle w:val="TOC1"/>
        <w:keepNext w:val="0"/>
        <w:keepLines/>
        <w:tabs>
          <w:tab w:pos="8496" w:val="right" w:leader="dot"/>
        </w:tabs>
        <w:spacing w:before="0" w:after="80" w:line="276" w:lineRule="auto"/>
        <w:ind w:right="374"/>
      </w:pPr>
      <w:r>
        <w:rPr>
          <w:rFonts w:ascii="Times New Roman" w:hAnsi="Times New Roman"/>
          <w:sz w:val="22"/>
        </w:rPr>
        <w:t>References</w:t>
        <w:tab/>
        <w:t>148</w:t>
      </w:r>
    </w:p>
    <w:p>
      <w:pPr>
        <w:pStyle w:val="TOC1"/>
        <w:keepNext w:val="0"/>
        <w:keepLines/>
        <w:tabs>
          <w:tab w:pos="8496" w:val="right" w:leader="dot"/>
        </w:tabs>
        <w:spacing w:before="0" w:after="80" w:line="276" w:lineRule="auto"/>
        <w:ind w:right="374"/>
      </w:pPr>
      <w:r>
        <w:rPr>
          <w:rFonts w:ascii="Times New Roman" w:hAnsi="Times New Roman"/>
          <w:sz w:val="22"/>
        </w:rPr>
        <w:t>Appendices</w:t>
        <w:tab/>
        <w:t>155</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156</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156</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157</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158</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158</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160</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160</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160</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161</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161</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162</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162</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163</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165</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166</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15 October 2026 Cut-off</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11</w:t>
      </w:r>
      <w:r>
        <w:rPr/>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w:t>
        <w:tab/>
        <w:t>38</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46</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47</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56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61</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w:t>
        <w:tab/>
        <w:t>62</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w:t>
        <w:tab/>
        <w:t>63</w:t>
      </w:r>
    </w:p>
    <w:p>
      <w:pPr>
        <w:pStyle w:val="TOC1"/>
        <w:keepNext w:val="0"/>
        <w:keepLines/>
        <w:tabs>
          <w:tab w:pos="8496" w:val="right" w:leader="dot"/>
        </w:tabs>
        <w:spacing w:before="0" w:after="80" w:line="276" w:lineRule="auto"/>
        <w:ind w:right="374"/>
      </w:pPr>
      <w:r>
        <w:rPr>
          <w:rFonts w:ascii="Times New Roman" w:hAnsi="Times New Roman"/>
          <w:sz w:val="22"/>
        </w:rPr>
        <w:t>Figure 5.2. Five-layer architecture of the gamified FRA system</w:t>
        <w:tab/>
        <w:t>64</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70</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for the Stage-2 cohort (N = 30), by engagement group</w:t>
        <w:tab/>
        <w:t>74</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w:t>
        <w:tab/>
        <w:t>75</w:t>
      </w:r>
    </w:p>
    <w:p>
      <w:pPr>
        <w:pStyle w:val="TOC1"/>
        <w:keepNext w:val="0"/>
        <w:keepLines/>
        <w:tabs>
          <w:tab w:pos="8496" w:val="right" w:leader="dot"/>
        </w:tabs>
        <w:spacing w:before="0" w:after="80" w:line="276" w:lineRule="auto"/>
        <w:ind w:right="374"/>
      </w:pPr>
      <w:r>
        <w:rPr>
          <w:rFonts w:ascii="Times New Roman" w:hAnsi="Times New Roman"/>
          <w:sz w:val="22"/>
        </w:rPr>
        <w:t>Figure 5.6. Distribution of provisional FIAS composite scores across all 30 participants</w:t>
        <w:tab/>
        <w:t>78</w:t>
      </w:r>
    </w:p>
    <w:p>
      <w:pPr>
        <w:pStyle w:val="TOC1"/>
        <w:keepNext w:val="0"/>
        <w:keepLines/>
        <w:tabs>
          <w:tab w:pos="8496" w:val="right" w:leader="dot"/>
        </w:tabs>
        <w:spacing w:before="0" w:after="80" w:line="276" w:lineRule="auto"/>
        <w:ind w:right="374"/>
      </w:pPr>
      <w:r>
        <w:rPr>
          <w:rFonts w:ascii="Times New Roman" w:hAnsi="Times New Roman"/>
          <w:sz w:val="22"/>
        </w:rPr>
        <w:t>Figure 5.7. Observed non-return and candidate explanatory pathways</w:t>
        <w:tab/>
        <w:t>80</w:t>
      </w:r>
    </w:p>
    <w:p>
      <w:pPr>
        <w:pStyle w:val="TOC1"/>
        <w:keepNext w:val="0"/>
        <w:keepLines/>
        <w:tabs>
          <w:tab w:pos="8496" w:val="right" w:leader="dot"/>
        </w:tabs>
        <w:spacing w:before="0" w:after="80" w:line="276" w:lineRule="auto"/>
        <w:ind w:right="374"/>
      </w:pPr>
      <w:r>
        <w:rPr>
          <w:rFonts w:ascii="Times New Roman" w:hAnsi="Times New Roman"/>
          <w:sz w:val="22"/>
        </w:rPr>
        <w:t>Figure 6.1. Stage-3 continued or resumed play and observed non-return by the July 2026 compilation, by age band (N = 120).</w:t>
        <w:tab/>
        <w:t>87</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88</w:t>
      </w:r>
    </w:p>
    <w:p>
      <w:pPr>
        <w:pStyle w:val="TOC1"/>
        <w:keepNext w:val="0"/>
        <w:keepLines/>
        <w:tabs>
          <w:tab w:pos="8496" w:val="right" w:leader="dot"/>
        </w:tabs>
        <w:spacing w:before="0" w:after="80" w:line="276" w:lineRule="auto"/>
        <w:ind w:right="374"/>
      </w:pPr>
      <w:r>
        <w:rPr>
          <w:rFonts w:ascii="Times New Roman" w:hAnsi="Times New Roman"/>
          <w:sz w:val="22"/>
        </w:rPr>
        <w:t>Figure 6.3. Continued or resumed play and regular-use intention by age band</w:t>
        <w:tab/>
        <w:t>91</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104</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112</w:t>
      </w:r>
    </w:p>
    <w:p>
      <w:pPr>
        <w:pStyle w:val="TOC1"/>
        <w:keepNext w:val="0"/>
        <w:keepLines/>
        <w:tabs>
          <w:tab w:pos="8496" w:val="right" w:leader="dot"/>
        </w:tabs>
        <w:spacing w:before="0" w:after="80" w:line="276" w:lineRule="auto"/>
        <w:ind w:right="374"/>
      </w:pPr>
      <w:r>
        <w:rPr>
          <w:rFonts w:ascii="Times New Roman" w:hAnsi="Times New Roman"/>
          <w:sz w:val="22"/>
        </w:rPr>
        <w:t>Figure 9.2. Proposed person-conditioned adaptive loop</w:t>
        <w:tab/>
        <w:t>144</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20</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31</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33</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37</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calendar order, July 2024 – October 2026, with the chapter that reports each</w:t>
        <w:tab/>
        <w:t>39</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49</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elderly FRA users.</w:t>
        <w:tab/>
        <w:t>50</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51</w:t>
      </w:r>
    </w:p>
    <w:p>
      <w:pPr>
        <w:pStyle w:val="TOC1"/>
        <w:keepNext w:val="0"/>
        <w:keepLines/>
        <w:tabs>
          <w:tab w:pos="8496" w:val="right" w:leader="dot"/>
        </w:tabs>
        <w:spacing w:before="0" w:after="80" w:line="276" w:lineRule="auto"/>
        <w:ind w:right="374"/>
      </w:pPr>
      <w:r>
        <w:rPr>
          <w:rFonts w:ascii="Times New Roman" w:hAnsi="Times New Roman"/>
          <w:sz w:val="22"/>
        </w:rPr>
        <w:t>Table 5.0. Skiing-game parameters by which the FRA COP signal is integrated into gameplay (extract; full specification in Game_States_and_Parameters.xlsx).</w:t>
        <w:tab/>
        <w:t>57</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65</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72</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mapped onto the game's technical characteristics</w:t>
        <w:tab/>
        <w:t>76</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84</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85</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86</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94</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96</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102</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103</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106</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113</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calendar order, 2023 - October 2026</w:t>
        <w:tab/>
        <w:t>132</w:t>
      </w:r>
    </w:p>
    <w:p>
      <w:pPr>
        <w:pStyle w:val="TOC1"/>
        <w:keepNext w:val="0"/>
        <w:keepLines/>
        <w:tabs>
          <w:tab w:pos="8496" w:val="right" w:leader="dot"/>
        </w:tabs>
        <w:spacing w:before="0" w:after="80" w:line="276" w:lineRule="auto"/>
        <w:ind w:right="374"/>
      </w:pPr>
      <w:r>
        <w:rPr>
          <w:rFonts w:ascii="Times New Roman" w:hAnsi="Times New Roman"/>
          <w:sz w:val="22"/>
        </w:rPr>
        <w:t>Table 9.3. The sequence from empirical observations to candidate explanations and a proposed engineering response</w:t>
        <w:tab/>
        <w:t>136</w:t>
      </w:r>
    </w:p>
    <w:p>
      <w:pPr>
        <w:pStyle w:val="TOC1"/>
        <w:keepNext w:val="0"/>
        <w:keepLines/>
        <w:tabs>
          <w:tab w:pos="8496" w:val="right" w:leader="dot"/>
        </w:tabs>
        <w:spacing w:before="0" w:after="80" w:line="276" w:lineRule="auto"/>
        <w:ind w:right="374"/>
      </w:pPr>
      <w:r>
        <w:rPr>
          <w:rFonts w:ascii="Times New Roman" w:hAnsi="Times New Roman"/>
          <w:sz w:val="22"/>
        </w:rPr>
        <w:t>Table 9.2. Deployed Stage-2 adaptation configuration versus a proposed person-conditioned extension</w:t>
        <w:tab/>
        <w:t>142</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 xml:space="preserve">The station's own history sharpens the puzzle. The FRA had been installed roughly twelve years before this research began </w:t>
      </w:r>
      <w:r>
        <w:rPr/>
      </w:r>
      <w:r/>
      <w:r>
        <w:rPr/>
      </w:r>
      <w:r/>
      <w:r>
        <w:rPr/>
      </w:r>
      <w:r/>
      <w:r>
        <w:rPr/>
      </w:r>
      <w:r/>
      <w:r>
        <w:rPr/>
      </w:r>
      <w:r>
        <w:t>, and its decade of near-silence sat oddly beside the platform's standing in its Korean home market, where the system was introduced with an active clinical research base - a community validation study of 289 older adults at a Seoul senior welfare centre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archived headline records from this survey provide the programme's descriptive problem signature; they are reported and analysed in Chapter 4.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level progression and adaptive difficulty in the skiing game under the coupled clinical condition;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and distributed by e-mail, and participants played on their own computers, using a trackpad or arrow keys, or a foot-pad sensor where one was available. The skiing mechanic, session structure and five-attempt rule were retained in the ported build; the pressure-panel apparatus, the clinical setting and in-person supervision were not, and in-run difficulty adaptation operated through the build's built-in rule agent rather than the Stage-2 large-language-model layer (Appendix E). Stage 3 thereby changed a package of participant-facing clinical cues: no clinical pre-scan was conducted; the in-game interface carried no clinical labels, scores or risk outputs; the participant invitation on file (a 4 August 2026 reconstruction of the invitation, headed with a study period of March to April 2026, although recruitment began on 3 April 2026 by the research assistant's account,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return by age band, endorsement of the coordination-challenge frame,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15 October 2026, the close of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F4 interview protocol (designed,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e-mailed HTML build of the game on their own computers. The action-research cycle therefore involved continuity of problem setting and design learning, not a single repeated cohort across all three stages. The principal theoretical revisions were the renaming and re-specification of the initial FIDS conjecture in the light of the Stage-2 field evidence (Chapter 4),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continued play with stated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V39 revised conceptual figure associated with source paragraph 320; empirical and proposed components distinguished."/>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on their own computers.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15 October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to the 15 October 2026 cut-off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share a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baseline survey reported in Chapter 4 supplies the corresponding population-level signature. The Stage-1 survey, reported in Chapter 4,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with their subgroup denominators, are reported in Chapter 4 (Table 4.1).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demonstrated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Stage-2 difficulty system's 80 per cent and 40 per cent success thresholds (§5.3.5)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session structure and five-attempt rule in an HTML port of the game, but not the pressure-panel apparatus or the supervised setting: the build was distributed by e-mail and played on participants' own computers with a trackpad, arrow keys or, where available, a foot-pad sensor,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Session telemetry, recorded performance,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unsupervised on participants' own computers, with a trackpad or arrow keys, or a foot-pad sensor where one was available.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elderly chronic disease (4 August 2026, telephone, approximately 30 minutes, Cantonese and English). Each expert gave written consent on a nine-statement form with an explicit identification election: three authorised named attribution and one elected pseudonymity; where an interview preceded its signed form, the record states both dates plainly. The researcher's notes are the primary records; each consultation summary is returned to its participant for validation (member checking).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is 15 October 2026, the close of the frozen edition's clean-run window.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difference between continued play and stated intention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15 October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V39 revised conceptual figure associated with source paragraph 435; empirical and proposed components distinguished."/>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 validation</w:t>
            </w:r>
          </w:p>
        </w:tc>
        <w:tc>
          <w:tcPr>
            <w:tcW w:type="dxa" w:w="2584"/>
          </w:tcPr>
          <w:p>
            <w:r>
              <w:t>2023–2024</w:t>
            </w:r>
          </w:p>
        </w:tc>
        <w:tc>
          <w:tcPr>
            <w:tcW w:type="dxa" w:w="1994"/>
          </w:tcPr>
          <w:p>
            <w:r>
              <w:t>Chapter 5, Appendix G.8</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April–July 2026 (recruitment from 3 April; main play from late July on the revised build; returns compiled in July)</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15 October 2026 cut-off; no results form part of the thesis evidence and the study is not used as the adaptive-learning test</w:t>
            </w:r>
          </w:p>
        </w:tc>
        <w:tc>
          <w:tcPr>
            <w:tcW w:type="dxa" w:w="2584"/>
          </w:tcPr>
          <w:p>
            <w:r>
              <w:rPr/>
              <w:t>August–October 2026 (9-August build distributed 10–12 August; 13-August revision not distributed to the August cohort, a copy re-sent 15 September; frozen study edition 15 September; clean-run window closing at the thesis cut-off of 15 October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FigureCaption"/>
        <w:keepNext/>
        <w:keepLines/>
        <w:jc w:val="center"/>
      </w:pPr>
      <w:r>
        <w:t>Table 3.1A. Programme timeline: programme activities in calendar order, July 2024 – October 2026, with the chapter that reports each; the Stage-3B row is stated at the thesis cut-off of 15 October 2026. The research programme closes in October 2026.</w:t>
      </w:r>
    </w:p>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15 October 2026 cut-off (§8.8; Appendix I); the examiner's report of 15 September 2026 asks that this be verified against the approved protocol or an amendment, so whether the Stage-3B collection falls within the approved scope is recorded as an open item of the ethics record (Appendix I.7). The application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yet part of the record.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covering the Stage 1–3 procedures as conducted and described in this section; whether it also covers the Stage-3B collection is the open item stated above.</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administered form and anchors await archival confirmation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 results and the questionnaire responses constituted consent to their use in the research. No written consent instrument was administered in Stage 3, and this is acknowledged as a limitation of the remote design. No participant names or e-mail addresses were collected. The returned results and questionnaire responses were compiled into the aggregate summary in July 2026 and were not retained as separate participant records, so the returns that constituted consent are evidenced by the aggregate record and the distributor invitations on file (Appendix G, item G.5), not by individual returned files; this is a further limitation of the consent record.</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15 October 2026 cut-off in §8.8 and Appendix I.</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difference between continued play and stated intention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difference between continued play and stated intention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15 October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for presentation and publication at the 10th International Conference on Management Engineering, Software Engineering and Service Sciences (ICMSS 2026), Wuhan, China, 20-22 March 2026; Conference Publishing Services (CPS), submitted to IEEE Xplore (Ei Compendex/Scopus indexing).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same platform is shown under game control in Figure 5.1A.</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the programme's central finding is that utilisation collapses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and as future work (s8.7, s8.8).</w:t>
      </w:r>
    </w:p>
    <w:p>
      <w:pPr>
        <w:jc w:val="both"/>
      </w:pPr>
      <w:r>
        <w:t>Three features of the station's operating practice at the facility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its rigour visibly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Earlier drafts described the interviewed sample as aged 65–88, but no per-respondent Stage-1 response file has yet been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until the response file is archived.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are computed on all 200 respondents.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is listed as Appendix G, item G.1).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elderly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elderly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inversion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The vendor-derived engagement figure mentioned in earlier drafts is not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and as an input to the FRA measurement pathway described in §4.1A. This links gameplay and assessment at the physical interaction while allowing their outputs to be presented differently. Stage 3 retained a skiing-game concept but used a remote desktop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V39 revised conceptual figure associated with source paragraph 502; empirical and proposed components distinguished."/>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linked the pressure-panel game with FRA measurement; Stage 3 used a decoupled desktop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 xml:space="preserve">The integration is mediated by a small set of design parameters that have been frozen in a project-internal data file (Game_States_and_Parameters.xlsx; archived alongside this 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that govern the integration are summarised in Table 5.0.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FRA-game integration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COP shifts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COP shift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proxy for the COP-derived stability index used by FRA Step 1.</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COP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elderly cohort without rendering a fail-state in the first run. Third, the described Stage-2 build retained a Game Over state.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integration are described in detail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COP-derived game telemetry, the silent FRA pipeline,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with sub-centimetre spatial resolution and sub-second temporal resolution. The panel was 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No equivalence or validation study was conducted to establish that either role left the other unimpaired. The dual role is recorded as a design property — both functions read the same vendor-calibrated COP stream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represents Centre-of-Pressure control;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specified as a LangChain runtime calling a large-language-model endpoint to adjust obstacle density and skier speed at five-minute intervals using a prompt template anchored to the user's recent success rate (raise difficulty above 80%, lower below 40%); its operational status in the deployed Stage-2 build is to be recorded in the build-lineage matrix (Appendix G, item G.0A; §5.3.5), and no operational claim is made for it until that row is entered.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as specified. The '80% / 40%' values in the L2 box are the controller's rule thresholds (step up above an 80% success rate, ease off below 40%), not a measured flow state. The solid arrows show the layer stack order only; the dashed line marks the COP-derived data path from L0 to the clinician-side L4 output, and the data movement between layers is described in §5.3.4. The dual-purpose mechanic links Layer 0 (sensor input) and Layer 4 (clinical output) through the gameplay layers without exposing clinical numbers to the user during play.</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is specified to adjust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described in-session rule increases difficulty above an 80% success rate and decreases it below 40%. These are tunable design defaults intended to balance challenge and support. They do not measure flow or demonstrate prevention of a failure cascade. Future deployment should justify the thresholds against task demands and safety limits and examine their effects on performance, burden and return. The Stage-3B component-study builds carried the same 80%/40% thresholds in a local rule agent for their adaptive arm (Appendix I); no comparison is computed from the returns in that record and no confirmatory analysis is reported, so the thresholds' effects on performance, burden and return remain unexamined. Which of the six stages operated live in the deployed Stage-2 build, which were exercised only against synthetic profiles (§5.3.7, §5.3.9), and which remain proposed (§5.3.10) is recorded per build generation in the build-lineage matrix (Appendix G, item G.0A) as it is completed, together with the G.7 endpoint record; where a function's operational status is not yet documented there, no operational claim is made for it.</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(COP shift)</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 xml:space="preserve">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a trackpad or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jc w:val="both"/>
      </w:pPr>
      <w:r>
        <w:t xml:space="preserve">A chronology note is required for the auditability of this account. Development of the skiing games began in 2023, taking the manufacturer's installed games as the starting point (§5.3.8), whereas Claude Code became available as a research preview only in February 2025. The AI-assisted workflow described in this section therefore applies to the build generations engineered from 2025 onward; the earliest prototypes predate it. </w:t>
      </w:r>
      <w:r>
        <w:rPr/>
        <w:t>Per-generation development dates and tooling are recorded in the build-lineage matrix (Appendix G, item G.0A) as it is completed; where a generation's tooling is not yet documented there, no tooling claim is made for it.</w:t>
      </w:r>
    </w:p>
    <w:p>
      <w:pPr>
        <w:pStyle w:val="Normal"/>
        <w:jc w:val="both"/>
      </w:pPr>
      <w:r>
        <w:rPr>
          <w:szCs w:val="22"/>
          <w:lang w:val="en-US" w:eastAsia="en-US" w:bidi="ar-SA"/>
          <w:rFonts w:ascii="Times New Roman" w:hAnsi="Times New Roman" w:eastAsia="Times New Roman" w:cs="Times New Roman"/>
          <w:sz w:val="24"/>
        </w:rPr>
        <w:t>Before any custom code was written, the platform-to-game input coupling was validated on an off-the-shelf scaffold. In the earliest development phase the balance platform was connected to the open-source Tux Racer skiing game — a 3D title in which a penguin slides belly-down over a snow slope collecting fish — so that weight-shift steering could be demonstrated end-to-end before the study game existed.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proving the input coupling before engineering effort was committed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non-return persisted. This observation motivates testing whether feedback and clinical framing contribute beyond the game’s existing recovery features,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15 October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(aged 36 and 53) are retained in the archive but not analysed in this thesis,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(§5.5)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dual-purpose mechanic routes the pressure-panel signal into the FRA measurement pathway (§5.2A), every play produced assessment output, and the system displayed the balance-test indexes whenever a participant's play concluded - by choice, at the end of a run, or at the end of the protocol. A participant who played only one, two or three cycles therefore still generated interpretable index data - within a single session, the five-attempt structure yields multiple measurement points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without the game link, and then played the FRA through the game, so the archive holds one assessment-mode index and one game-mode index per participant, both generated automatically by the same measurement engine from the same centre-of-pressure pathway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administered form and anchors await archival confirmation (Appendix C), cross-tabulated against observed engagement; it is a descriptive association under an as-yet-unverified instrument,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because its categorical cross-tabulation is not specified in the present summary.</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clinician-side output of the game-linked pipeline;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game-derived final value, which rests on the shared measurement pathway described in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These margins do not identify how many participants simultaneously recorded a score increase and were reported as showing no symptom improvement.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as Table 5.3.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15 October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examination-driven verification;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exact administered wording of the instrument awaits verification against the paper forms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an outstanding author record and is not reproduced in this thesis: Appendix B states the scheme's structure only and defers the item-level codebook, weights and thresholds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every evidential statement in this section rests on the directly observed behaviours — single-session exit, non-return during the observation window, and the divergence between recorded score direction and return. Six participants clustered at scores 9-10 (F4): S2-P006, S2-P007, S2-P011, S2-P015, S2-P026 and S2-P028 (author's identification, 30 September 2026; each played a single session). Three of the six (S2-P006, S2-P007 and S2-P015) recorded positive change in the FRA index during their single session and did not return during the observation period; S2-P015 is the record that failed verification (§5.5).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5.6. Distribution of provisional FIAS composite scores across all 30 participants. The composite includes engagement-outcome attributes, so the separation of the F4 cluster is expected by construction; the figure is descriptive case identification, not evidence (§5.6).</w:t>
      </w:r>
      <w:bookmarkEnd w:id="89"/>
    </w:p>
    <w:p>
      <w:pPr>
        <w:pStyle w:val="Normal"/>
        <w:jc w:val="both"/>
      </w:pPr>
      <w:r>
        <w:rPr>
          <w:szCs w:val="22"/>
          <w:lang w:val="en-US" w:eastAsia="en-US" w:bidi="ar-SA"/>
          <w:rFonts w:ascii="Times New Roman" w:hAnsi="Times New Roman" w:eastAsia="Times New Roman" w:cs="Times New Roman"/>
          <w:sz w:val="24"/>
        </w:rPr>
        <w:t>The empty interval between scores 5 and 9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w:t>
      </w:r>
    </w:p>
    <w:p>
      <w:pPr>
        <w:pStyle w:val="Normal"/>
        <w:keepNext/>
        <w:spacing w:before="160" w:after="40"/>
        <w:jc w:val="center"/>
      </w:pPr>
      <w:r>
        <w:drawing>
          <wp:inline>
            <wp:extent cx="5358384" cy="3302502"/>
            <wp:docPr id="36" name="Picture 36" descr="V39 revised conceptual figure associated with source paragraph 585; empirical and proposed components distinguished."/>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5.7.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15 October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coordination-endorsement item is a check on recognition of the intended participant-facing frame;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Recruitment began on 3 April 2026, later than the period stated in the invitation's heading. By the account of the research assistant who handled collection, relayed by the author on 30 September 2026, most participants played after the recruitment deadline, and returns - especially from the oldest band, who could be reached only with proper communication and arrangements - continued to arrive until July 2026, when the returns were compiled and processed. The invitation on file (a 4 August 2026 reconstruction of the participant invitation, headed 'From March to April 2026')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returns for 120 participants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the same archived build (which has no touch controls); the number of such sessions and the participants concerned were not recorded, so assistance cannot be linked to individual records. By the author's account (2 October 2026), the twenty distributors - members of separate Hong Kong groups, eligible to play and without prior knowledge of the gamified FRA - also played, and their own records are among the 120; they were briefed only on the distribution task, and their records cannot be separated from those of the players they recruited. Of the 120 participants, 48 were recorded as male and 72 as female in the aggregate summary, which gives no breakdown of sex by age band, and all were recorded as having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distributor invitations on file (Appendix G, item G.5) record what recipients were told; because the returns were not retained as separate records (§6.4), no index of dates, channels and returned files can be compiled, and the invitation-and-return accounting cannot be reconstructed.</w:t>
      </w:r>
    </w:p>
    <w:p>
      <w:pPr>
        <w:pStyle w:val="Normal"/>
        <w:jc w:val="both"/>
      </w:pPr>
      <w:r>
        <w:rPr>
          <w:szCs w:val="22"/>
          <w:lang w:val="en-US" w:eastAsia="en-US" w:bidi="ar-SA"/>
          <w:rFonts w:ascii="Times New Roman" w:hAnsi="Times New Roman" w:eastAsia="Times New Roman" w:cs="Times New Roman"/>
          <w:sz w:val="24"/>
        </w:rPr>
        <w:t>Stage-3 data collection is complete. The primary records were the participants' returned materials, and they were not retained as separate records. The build saved nothing automatically: after each run it displayed a summary that the player could export as a CSV file or copy, so the returns arrived by e-mail in mixed formats - exported files or copied or typed text - together with the questionnaire responses, and they were not organised at the time. With the first build, results and stopping were recorded by hand by assistants who were not always beside the player, so stopping times are approximate (author's account, 2 October 2026). Exporting results from the archived build was optional and not every player did so, so returns arrived over several weeks; they were compiled into the aggregate summary in July 2026 and were not kept separately afterwards. Three outcome definitions are used throughout this chapter. The classifications follow a failure-then-stop rule stated by the author (30 September and 2 October 2026): initial dropout denotes a participant who stopped playing after a failure, an outcome the aggregate register labels 'dropped out before completing 5 attempts'. For older participants the failure and the stop were observed by an assistant beside them; for others they were inferred from the reported results - a run ending in failure, which was possible before the zero-failure mode was in use - or from not playing a further session after the first game, so a participant who stopped after the first game was counted as an initial dropout even where no failure was recorded. Distributors received both builds - an earlier version, in which a run could end in a game over, and later the archived build with its zero-failure mode, first created on 13 July 2026 - and passed them on to their networks. Implementation limitations observed with the earlier version led to the archived build, and the main period of play was postponed to late July 2026 (author's account, 2 October 2026), so most returns, including returns after an initial dropout, fell within a few weeks before the compilation; a participant may have played either or both, and the returns did not record which, so the number who played each build is unknown.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on either build, at any time before the July 2026 compilation; how long or how often a participant played on return was not counted, and some returners played the archived build. Whether a return followed a reminder or the receipt of a newer build was not recorded.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Because the returns were not retained separately, a participant-level compilation into the logbook (Appendix G, item G.3) cannot be made, so per-participant observation timelines are not available and the dropout and return counts are reported as compiled, subject to this definitional limit. Observed non-return denotes an initial dropout who never played again inside the study window, and continued or resumed play is its complement over the cohort: a participant who did not drop out, or who dropped out and later played again, is counted. Because a single later play of any length counted as a return and no activity was checked at the end of the window, this is not a retention measure; the single term continued or resumed play is used throughout this chapter for that construct. The chapter therefore reports the aggregate summary compiled from the returns in July 2026 (Appendix G, item G.3); the logbook's participant-level sheets are not populated, so the summary cannot be checked against individual entries.</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by the July 2026 compilation</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Continued or resumed play</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continued or resumed play was recorded for 85.4% of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continued or resumed play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Continued or resumed play</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Positive responses to the coordination-related item were recorded for 71.7% (86 of 120), and positive responses to the regular-use item for 63.3% overall and 56.1% in the 65-80 band. No comparison is made with the Stage-2 motivational-orientation classification, which has been withdrawn (§5.5). The coordination item was included to check whether players recognised the game as a coordination challenge (Appendix D). Because the questionnaire as sent has not been linked to the study record and the summary's item labels differ from the invitation wording, its count is reported as a positive-coded response; it is not treated as a validated manipulation check or as evidence that the intended frame was perceived.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(positive-coded coordination-related item)</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the coordination item was designed to ask whether the participant recognised the presented activity as a coordination challenge. Its count is not read as a measure of motivational orientation, nor as a validated check that the intended frame was perceived.</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436083"/>
            <wp:docPr id="26" name="Picture 26"/>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436083"/>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continued or resumed play and observed non-return by the July 2026 compilation,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was regenerated directly from the counts reported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continued or resumed play was 85.4% and stated regular-use intention was 56.1%, a difference of 29.3 percentage points. These are marginal proportions for different constructs: recorded continued or resumed play and hypothetical future intention. Because continued or resumed play includes dropouts who played again even once (§6.4), the 29.3-point contrast is between recorded play and stated intention, not between uninterrupted play and intention. They do not reveal which of these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difference between continued play and stated intention.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15 October 2026 cut-off is documented in §8.8 without any adaptive-learning result.</w:t>
      </w:r>
    </w:p>
    <w:p>
      <w:pPr>
        <w:pStyle w:val="Normal"/>
        <w:keepNext/>
        <w:spacing w:before="160" w:after="40"/>
        <w:jc w:val="center"/>
      </w:pPr>
      <w:r>
        <w:drawing>
          <wp:inline>
            <wp:extent cx="5303520" cy="3436083"/>
            <wp:docPr id="27" name="Picture 27"/>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43608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Continued or resumed play and regular-use intention by age band. In the 65–80 band the marginal proportions differ by 29.3 percentage points; the figure does not show an individual-level transition from continued play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elderly behaviour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continued-play–intention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continued or resumed play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difference between continued or resumed play and stated intention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difference between continued play and stated intention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elderly chronic-disease patients,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elderly people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he played the decoupled build itself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independently corroborated the verdict-fear reading from their own practice: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highlight w:val="yellow"/>
        </w:rPr>
        <w:t>[AUTHOR INPUT NEEDED: member-check endorsement of the second-consultation summary is in progress (review form issued); the doctoral researcher's attribution election is pending (treated pseudonymously until received); Dr Lau's product-development convergence is withheld pending his sensitivity election; his own played-the-game feedback remains to be recorded; exact session date to confirm.]</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continued or resumed play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includes a partial difficulty-adjustment implementation.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difference between continued play and stated intention.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carried a partial calibration implementation, yet non-return occurred while the frame and target links were untreated; and the Stage-3 package addressed the target link — not alone, but within a multi-component redesign that simultaneously changed platform, setting, supervision and cohort (§6.3) — and was associated with restored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zero-failure presentation appears above as the element P1 and P3 share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difference between continued play and stated intention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in Stage 2;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15 October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remains subject to the documentary records identified elsewhere in the thesis.</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V39 revised conceptual figure associated with source paragraph 684; empirical and proposed components distinguished."/>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yet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a researcher self-test, near ceiling and on course forms whose equivalence was not established (§8.8; Appendix 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(in development)</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yet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V39 revised conceptual figure associated with source paragraph 718; empirical and proposed components distinguished."/>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elders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voluntary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retention mechanism for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8.1 maps this design space.</w:t>
      </w:r>
    </w:p>
    <w:p>
      <w:pPr>
        <w:keepNext/>
        <w:jc w:val="center"/>
      </w:pPr>
      <w:r>
        <w:drawing>
          <wp:inline>
            <wp:extent cx="5120640" cy="3995517"/>
            <wp:docPr id="39" name="Picture 39"/>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8.1.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without a recorded symptom-improvement entry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positive responses to the coordination-related item (not treated as a validated manipulation check); 63.3% regular-use intention overall; and a descriptive 29.3-percentage-point difference between continued or resumed play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on participants' own computers rather than on the 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the pressure panel, whereas in Stage 3 most steered with a trackpad or arrow keys (§6.3).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15 October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15 October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voluntary participation with no consequence for refusal; and difficulty curves calibrated so that even the worst-balance participant could complete an opening session.</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achieved sustained end-of-window participation in its cohort,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15 October 2026, the close of the clean-run window, and compiled in Appendix I.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with any further returns received by 15 October 2026 entered in Appendix I (Table I.4) on the same descriptive terms.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(recorded in the thesis repository),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the record is stated at the close of the clean-run window rather than at 26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jc w:val="both"/>
      </w:pPr>
      <w:r>
        <w:rPr/>
        <w:t>The two remote deployments also yield a practical lesson about capturing field data, drawn from how the records arrived rather than from any Stage-3B result. The Stage-3A build saved nothing automatically and asked its questions outside the game, so returns arrived in mixed formats - exported files or copied text in e-mails - and could not later be compiled participant by participant (§6.4). The Stage-3B builds recorded an in-game consent event, asked the questionnaire inside the game immediately after play, and exported the runs, the assigned condition and the answers in one structured file, so each Stage-3B return on record could be checked for build, condition, timing and score arithmetic (Appendix I.4). Embedding consent, an immediate post-play questionnaire and a structured export in the game itself therefore improved the completeness and checkability of each return. It did not by itself secure returns: Stage 3B still depended on the player sending the file, few returns arrived, and one reached the author only as a converted copy. A future field study should capture feedback inside the game immediately after play and, with ethics approval and the participant's consent, transmit it automatically rather than rely on manual export.</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de-identified Stage-2 participant dataset (Appendix G, item G.2); the Stage-3 data logbook with its codebook and the aggregate summary compiled in July 2026 (item G.3; its participant-level sheets are not populated); the photographic and screenshot record (items G.4 and G.6); the labelled synthetic pipeline-test workbook (item G.8); the further supplementary items listed in Appendix G; and the instrument documentation of Appendices A, C and D, whose completeness the third boundary below states exactly. Pending, and tracked in the Appendix G source-to-result manifest (item G.0) and build-lineage matrix (item G.0A) until the corresponding archive records land, are the cleaned Stage-1 survey response file (item G.1); the AI prompt-template archive with the deployed endpoint and run-time settings (item G.7); the completed manifest and lineage rows themselves, including code versions, hardware, input devices and the cleaning and derivation scripts behind each output table; the archival scans of the completed Stage-2 interview forms and after-game questionnaire sheets (Appendix C); and the written consent for the item G.10 demonstration videos. The Stage-3B record to its 15 October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results reported in Chapter 6 come from the aggregate summary compiled in July 2026 from returns that arrived in mixed formats; a participant-level compilation that would let the summary be checked entry by entry cannot be made, because the returns were not retained as separate records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(item G.7). Stage-2 play took place at the centre and was recorded by hand;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remain to be filed;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two of eight reported symptom improvement; none returned. These are separate descriptive margins and do not imply that the same participants met both improvement criteria.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e-mailed HTML port of the game on their own computers.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The coordination-item count is reported as a positive-coded response, not as a validated manipulation check or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to the 15 October 2026 cut-off comprises one verified return, five researcher-solicited returns excluded on verification, the clean-run returns listed in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 validation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April–July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difference between continued play and stated intention</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August–October 2026 (stated at the 15 October 2026 cut-off)</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with any later returns to 15 October 2026 in Appendix I;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Planned programme close and thesis completion</w:t>
            </w:r>
          </w:p>
        </w:tc>
        <w:tc>
          <w:tcPr>
            <w:tcW w:type="dxa" w:w="2460"/>
          </w:tcPr>
          <w:p>
            <w:r>
              <w:t>-</w:t>
            </w:r>
          </w:p>
        </w:tc>
        <w:tc>
          <w:tcPr>
            <w:tcW w:type="dxa" w:w="3422"/>
          </w:tcPr>
          <w:p>
            <w:r>
              <w:t>Planned 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pStyle w:val="FigureCaption"/>
        <w:keepNext/>
        <w:keepLines/>
        <w:jc w:val="center"/>
      </w:pPr>
      <w:r>
        <w:t>Table 9.1. The programme diary: knowledge evolution in calendar order, 2023 - October 2026. The Stage 3B row records that study to its 15 October 2026 cut-off (§8.8; Appendix I).</w:t>
      </w:r>
    </w:p>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9.3).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continued or resumed play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to the 15 October 2026 cut-off (§8.8; Appendix I); separate framing comparison proposed</w:t>
            </w:r>
          </w:p>
        </w:tc>
        <w:tc>
          <w:tcPr>
            <w:tcW w:w="1796" w:type="dxa"/>
          </w:tcPr>
          <w:p>
            <w:r>
              <w:t>Proposed; complete framework and progress specification not yet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FigureCaption"/>
        <w:keepNext/>
        <w:keepLines/>
      </w:pPr>
      <w:r>
        <w:t>Table 9.3. The sequence from empirical observations to candidate explanations and a proposed engineering response. Each entry identifies its evidence and evidential status; the sequence does not establish a causal chain.</w:t>
      </w:r>
    </w:p>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continued or resumed play (dropouts who played again included)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coordination-item count is a positive-coded response, not a validated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to the 15 October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documented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to the 15 October 2026 cut-off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[Vendor press release: connected-device data collection with transmission to remote caregivers when values fall outside the normal range; used to identify functions, not to establish effectiveness].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the validation analysis is therefore reported separately from the scoring rules.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now documented from the author's entry-and-results record (received and archived 10 September 2026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forms (including that exemplar) and of the after-game questionnaire sheets remain to be filed.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These conversations informed the learn-to-earn design orientation of §5.2.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their game results, as an exported CSV file or as copied or typed text. The Stage-3B component study used a four-item in-build questionnaire whose D2 item ('I would be willing to play this game regularly.') differs in wording from the Stage-3 D2; its one pre-specified contrast, defined on that item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ported HTML build of the L1 game layer on participants' own computers: L0 was replaced by trackpad or arrow-key input (or a foot-pad sensor where available),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InBody pressure-panel sensor stream; calibrated by InBody engineers; centre-of-pressure (COP) sampled at vendor-default rate.</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(as specified): LangChain orchestration over large-language-model API calls (deployed endpoint recorded in Appendix G, item G.7);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Per-session JSON event log including COP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in place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available at the staff console at all times.</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continued or resumed play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 xml:space="preserve">G.0 Source-to-result manifest. </w:t>
      </w:r>
      <w:r>
        <w:rPr>
          <w:highlight w:val="yellow"/>
        </w:rPr>
        <w:t>[AUTHOR INPUT NEEDED - to be completed when the records arrive: one row per claimed artifact - source file, collection date, anonymised participant IDs covered, cleaning/derivation script, output table it feeds, access location, verification status. Every deposited item must actually be accessible to examiners; results that cannot be reconstructed from a manifest row are withdrawn or qualified. Synthetic pipeline-test records remain labelled and wholly separate (G.8). Stage-3B artifacts (items G.12–G.13; Appendix I) enter the manifest as descriptive-record rows: they feed no result table outside Appendix I, whose tables are descriptive record only.]</w:t>
      </w:r>
    </w:p>
    <w:p>
      <w:pPr>
        <w:jc w:val="both"/>
      </w:pPr>
      <w:r>
        <w:t>G.0A Build-lineage matrix. [AUTHOR INPUT NEEDED: one version-controlled row per build generation - 2024 control demonstration, deployed Stage-2 build, Stage-3 HTML port, v2.x successor builds - recording dates, code version/hash, hardware, input devices, adaptation mechanism (static / rule agent / LLM, with the G.7 endpoint record), logging capability versus retained logs, and which participants used which build. Resolves the s5.3.9 chronology note and the Table 7.2 hardware description.] The v3.x Stage-3B row is entered here from the version-controlled repository record. Dates and identifiers: mini-protocol drafted and amended 8 August 2026; the single-file bilingual build v3.0 first committed 9 August 2026 (06:09); the five deployed device copies (Alpine3B_DEV1–DEV5.html) committed 9 August 2026 (07:09), adding the randomised 2×2 assignment (adaptive/static × zero-failure/game-over); the pre-specified analysis hierarchy committed 9 August 2026 (07:20); recruitment pitch sent 9 August 2026 (15:42); distributions 10–12 August 2026; first verified participant return 15 August 2026; v3.1 revisions (gains-only scoring, run-end CSV export, input-mode logging) committed 13 August 2026; study edition frozen 15 September 2026 (build stamp Alpine_Coordination_Game_v3.1s_Stage3B_FROZEN20260915; twenty distributor-tagged copies D01–D20, hosted on GitHub Pages; clean-run window 15 September–15 October 2026; Appendix I). The Pro v4.1 self-test edition (Batch 01, 19–20 September 2026) is recorded as a separate Pro development entry — researcher self-test only, not the frozen study build (Appendix I.5). Hardware and input: participants' own phones and computers running the distributed HTML file, with keyboard/arrow-key and touch input and a WeChat in-app browser mode. Functionality present, from code inspection of the deployed copies: the adaptive arm runs the build's built-in rule agent (step up above an 80% avoid rate, ease off below 40%) with coaching enabled — an adaptive-support package rather than difficulty adjustment alone; an optional model-call path exists but is off by default, the file embeds no API credential, and the code falls back to the rule agent when a call fails — each difficulty decision is logged with its source (rules, model or fallback); the static arm holds a fixed ×0.85 multiplier with coaching suppressed. Logging capability versus retained logs: each copy writes enrolment, per-run state and questionnaire records locally in the participant's browser and returns nothing automatically — records reach the study only through the participant's own export (message-text return with copy and file-save fallbacks; the 13 August v3.1 revision added a run-end CSV export) — so the retained logs are the returns on record to the 15 October 2026 cut-off: one verified return (15 August 2026), five returns received 15 September 2026 and excluded on verification, and the clean-run returns listed in Appendix I (Table I.4). The participant-to-device-copy mapping is recorded for those returns only; no further mapping is claimed.</w:t>
      </w:r>
      <w:r>
        <w:rPr>
          <w:highlight w:val="yellow"/>
        </w:rPr>
      </w:r>
    </w:p>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the stated cut-off: bound with the thesis, pending (tracked in items G.0 and G.0A and in §8.9), or not retained.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 xml:space="preserve">G.1  Cleaned Stage-1 survey response file (CSV).</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elderly participants plus two younger staff test plays; stable pseudonymous IDs S2-P001–S2-P030 and S2-C001/S2-C002 per the Stage-2 ID register, received 11 September 2026): gender, age, pre/post recorded FRA index, presenting symptoms, completed game cycles, therapist-reported symptom change, satisfaction and verification flag. The analysis file is the source for every Stage-2 statistic in §5.5 and for Figure 5.4. Play was recorded by hand at the centre; the game software's electronic session records were not kept (§8.9).</w:t>
      </w:r>
    </w:p>
    <w:p>
      <w:pPr>
        <w:pStyle w:val="Normal"/>
        <w:jc w:val="both"/>
      </w:pPr>
      <w:r>
        <w:rPr>
          <w:szCs w:val="22"/>
          <w:lang w:val="en-US" w:eastAsia="en-US" w:bidi="ar-SA"/>
          <w:rFonts w:ascii="Times New Roman" w:hAnsi="Times New Roman" w:eastAsia="Times New Roman" w:cs="Times New Roman"/>
          <w:sz w:val="24"/>
        </w:rPr>
        <w:t>G.3  Stage-3 data logbook (Stage3_Data_Logbook_120cases_with_Reconciliation.xlsx): codebook with provenance note; the aggregate results compiled in July 2026 (Preliminary_Summary sheet), which are the source of every Stage-3 figure in Chapter 6; participant, telemetry, questionnaire and outcome sheets for IDs 3001–3120, which are not populated; and a Reconciliation sheet, which therefore cannot yet check the summary against individual entries. A raw import sheet whose figures disagree with the summary is retained but quarantined and is not used. The primary records were the returned materials - hand records made by assistants for the first build, and e-mails carrying the game results in mixed formats (exported CSV files or copied or typed text) together with the questionnaire responses. They were compiled into the summary in July 2026 and were not retained as separate records, so the summary cannot be checked against individual returns. Later attempts to rebuild participant-level records (October 2026) could not be traced to retained records and are not used.</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record: the distributor-tier invitations on file. No return index exists, because the returns were not retained as separate records (item G.3).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AI prompt-template archive used in Layer 2 (system and user prompts, versions and settings).</w:t>
      </w:r>
    </w:p>
    <w:p>
      <w:pPr>
        <w:jc w:val="both"/>
      </w:pPr>
      <w:r>
        <w:t>G.8  Synthetic pipeline-test dataset (TestData_Stage3_Pipeline_v1_dates_corrected.xlsx): a simulation-generated workbook of 120 fictitious records (IDs TEST-001 to TEST-120, outside the study ID range) used to verify the Stage-3 logbook structure, formulas and analysis pipeline. Every sheet is watermarked as synthetic, and the workbook deliberately does not match the study aggregates. It is archived solely as a pipeline-verification artifact, in the same spirit as the synthetic centre-of-pressure traces of §5.3.9, and contains no data from any human participant.</w:t>
      </w:r>
    </w:p>
    <w:p>
      <w:pPr/>
      <w:r>
        <w:t>G.9  HUR SmartBalance vendor brochure (the author's industry documentation supporting the §4.1A platform-lineage account).</w:t>
      </w:r>
    </w:p>
    <w:p>
      <w:pPr/>
      <w:r>
        <w:t>G.10  The two development-office demonstration videos of 27 August 2024 (platform-to-game coupling on the off-the-shelf scaffold; source of the Figure 5.1A frame), with the control person's written consent (pending - author checklist, item 9).</w:t>
      </w:r>
    </w:p>
    <w:p>
      <w:pPr/>
      <w:r>
        <w:t>G.11  Expert interview guide (Expert_Interview_Guide_2026.docx), the semi-structured guide used across the consultation panel; reproduced compactly as Appendix H.5.</w:t>
      </w:r>
    </w:p>
    <w:p>
      <w:pPr/>
      <w:r>
        <w:t>G.12  Stage-3B component-study record to the 15 October 2026 cut-off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clean-run returns from 29 September 2026, with SHA-256); the verification findings for the five excluded returns of 15 September 2026; and the dated decision record of 26 September 2026 with its amendment of 29 September 2026 setting the cut-off at 15 October 2026.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 September 2026), and each Batch 01 file matches the reports run for run.</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confirmed that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elderly behaviour, supported the FIDS-to-FIAS construction and the adaptive-learning proposition, and confirmed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elderly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highlight w:val="yellow"/>
        </w:rPr>
        <w:t>[AUTHOR INPUT NEEDED - H.6 completion: second-consultation record (game feedback with date and build; Mirror-project paragraph subject to Dr Lau's clearance; member-check outcome).]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elderly patients, concentrated in chronic disease. He practises naturopathic and complementary medicine and is not a registered medical practitioner under the Medical Registration Ordinance; his contribution is practice-based insight into elderly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panel's only record needing no dual-dating;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highlight w:val="yellow"/>
        </w:rPr>
        <w:t>[AUTHOR INPUT NEEDED - H.7: member-check outcome (send Dr Choy his summary for validation).]</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elderly.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15 October 2026 Cut-off</w:t>
      </w:r>
    </w:p>
    <w:p>
      <w:pPr>
        <w:pStyle w:val="Heading3"/>
      </w:pPr>
      <w:r>
        <w:t>I.1 · Status and Scope</w:t>
      </w:r>
    </w:p>
    <w:p>
      <w:pPr/>
      <w:r>
        <w:t>This appendix records the Stage-3B component study as it stands at a stated cut-off, 15 October 2026, the close of the frozen edition's clean-run window. It is a descriptive record, not a results chapter. The examiner-style report of 15 September 2026 on V42 stated that "the completed thesis can present a settled account of this ongoing programme at a stated cut-off" and that open results cells and author-input stubs should be removed if the study remains outside the evidence base; the author's decision of 26 September 2026 (recorded in the thesis repository as a dated decision note, Appendix G item G.12) took that course, and the author's amendment of 29 September 2026 set the cut-off at the close of the clean-run window.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stated at the cut-off of 15 October 2026, which coincides with the close of the frozen edition's clean-run window (15 September – 15 October 2026); the window is not extended, and any return received after it is archived as received and could be reported only as a dated addendum outside the thesis evidence base. The returns listed in this version are those received to 29 September 2026; Table I.4 is completed at the cut-off with any further returns received by 15 October 2026, on the same descriptive terms and without any arm comparison. Nothing in this appendix feeds a result table in the main text.</w:t>
      </w:r>
    </w:p>
    <w:p>
      <w:pPr>
        <w:pStyle w:val="FigureCaption"/>
      </w:pPr>
      <w:r>
        <w:t>Table I.1. Status of the Stage-3B record to the 15 October 2026 cut-off (returns received to 29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window 15 Sep–15 Oct 2026 closes at the thesis cut-off; later returns to 15 Oct entered in Table I.4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As the examiner noted,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PENDING_ITEMS.md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 V42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29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(6ef4f3f per PENDING_ITEMS A10b)</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sets the thesis cut-off at the close of the clean-run window</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15 Oct 2026</w:t>
            </w:r>
          </w:p>
        </w:tc>
        <w:tc>
          <w:tcPr>
            <w:tcW w:type="dxa" w:w="1872"/>
          </w:tcPr>
          <w:p>
            <w:r>
              <w:rPr>
                <w:sz w:val="15"/>
              </w:rPr>
              <w:t>cut-off</w:t>
            </w:r>
          </w:p>
        </w:tc>
        <w:tc>
          <w:tcPr>
            <w:tcW w:type="dxa" w:w="2880"/>
          </w:tcPr>
          <w:p>
            <w:r>
              <w:rPr>
                <w:sz w:val="15"/>
              </w:rPr>
              <w:t>Clean-run window closes; thesis cut-off</w:t>
            </w:r>
          </w:p>
        </w:tc>
        <w:tc>
          <w:tcPr>
            <w:tcW w:type="dxa" w:w="1872"/>
          </w:tcPr>
          <w:p>
            <w:r>
              <w:rPr>
                <w:sz w:val="15"/>
              </w:rPr>
              <w:t>—</w:t>
            </w:r>
          </w:p>
        </w:tc>
        <w:tc>
          <w:tcPr>
            <w:tcW w:type="dxa" w:w="1440"/>
          </w:tcPr>
          <w:p>
            <w:r>
              <w:rPr>
                <w:sz w:val="15"/>
              </w:rPr>
              <w:t>Final clean-run count entered in Table I.4</w:t>
            </w:r>
          </w:p>
        </w:tc>
      </w:tr>
    </w:tbl>
    <w:p>
      <w:pPr/>
      <w:r/>
    </w:p>
    <w:p>
      <w:pPr>
        <w:jc w:val="center"/>
      </w:pPr>
      <w:r>
        <w:drawing>
          <wp:inline>
            <wp:extent cx="5486400" cy="2821577"/>
            <wp:docPr id="41" name="Picture 41"/>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21577"/>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window and the thesis cut-off close on 15 October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to be stripped and are not reproduced here.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author records not yet on file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to 29 September 2026, completed at the 15 October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(to be stripped from the archive copy)</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(to be stripped from the archive copy)</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to be recorded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to be recorded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r>
        <w:tc>
          <w:tcPr>
            <w:tcW w:type="dxa" w:w="1080"/>
          </w:tcPr>
          <w:p>
            <w:r>
              <w:rPr>
                <w:sz w:val="15"/>
              </w:rPr>
              <w:t>Further clean-run returns</w:t>
            </w:r>
          </w:p>
        </w:tc>
        <w:tc>
          <w:tcPr>
            <w:tcW w:type="dxa" w:w="1440"/>
          </w:tcPr>
          <w:p>
            <w:r>
              <w:rPr>
                <w:sz w:val="15"/>
              </w:rPr>
              <w:t>by 15 Oct 2026</w:t>
            </w:r>
          </w:p>
        </w:tc>
        <w:tc>
          <w:tcPr>
            <w:tcW w:type="dxa" w:w="1728"/>
          </w:tcPr>
          <w:p>
            <w:r>
              <w:rPr>
                <w:sz w:val="15"/>
              </w:rPr>
              <w:t>Frozen study edition</w:t>
            </w:r>
          </w:p>
        </w:tc>
        <w:tc>
          <w:tcPr>
            <w:tcW w:type="dxa" w:w="864"/>
          </w:tcPr>
          <w:p>
            <w:r>
              <w:rPr>
                <w:sz w:val="15"/>
              </w:rPr>
              <w:t>D01–D20</w:t>
            </w:r>
          </w:p>
        </w:tc>
        <w:tc>
          <w:tcPr>
            <w:tcW w:type="dxa" w:w="1008"/>
          </w:tcPr>
          <w:p>
            <w:r>
              <w:rPr>
                <w:sz w:val="15"/>
              </w:rPr>
              <w:t>—</w:t>
            </w:r>
          </w:p>
        </w:tc>
        <w:tc>
          <w:tcPr>
            <w:tcW w:type="dxa" w:w="1944"/>
          </w:tcPr>
          <w:p>
            <w:r>
              <w:rPr>
                <w:sz w:val="15"/>
              </w:rPr>
              <w:t>Mode A distributor-forwarded or Mode B participant e-mail (rule)</w:t>
            </w:r>
          </w:p>
        </w:tc>
        <w:tc>
          <w:tcPr>
            <w:tcW w:type="dxa" w:w="2016"/>
          </w:tcPr>
          <w:p>
            <w:r>
              <w:rPr>
                <w:sz w:val="15"/>
              </w:rPr>
              <w:t>Entered at the 15 October 2026 cut-off on the same descriptive terms</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yet part of the record.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ethics-scope gate for Stage 3B was closed in the working record on the basis that the approval period covers the window and the memo carries no completion or no-new-collection statement. The examiner's report, however, asks that the scope be verified against the approved protocol or an amendment, observing that "the chronology alone proves neither approval nor non-approval". Whether the Stage-3B collection falls within the approved scope or requires an amendment is therefore recorded as an open item of the ethics record (§3.4), and no clarification or amendment is on file at 29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and are to be stripped from the archive copies.</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an open clarification that does not affect the return's authenticity. The synthetic demonstration dataset under docs/thesis/stage3b/demo/ is watermarked SYNTHETIC and is never evidence.</w:t>
      </w:r>
    </w:p>
    <w:p>
      <w:pPr/>
      <w:r>
        <w:t>Outstanding deposits and author records at 29 September 2026 (tracked in the working file, entry A15):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15 October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p>
      <w:pPr>
        <w:pStyle w:val="Heading1"/>
        <w:pageBreakBefore/>
      </w:pPr>
      <w:r>
        <w:rPr>
          <w:color w:val="000000"/>
        </w:rPr>
        <w:t>Author completion checklist</w:t>
      </w:r>
    </w:p>
    <w:p>
      <w:pPr>
        <w:pageBreakBefore/>
      </w:pPr>
      <w:r>
        <w:rPr>
          <w:color w:val="000000"/>
        </w:rPr>
        <w:t>V44 - 27 September 2026 (consistency patch with Paper 3 R7). Three factual corrections from the Stage-3 record: §3.2 and §6.4 no longer state that the game's instructions carried no medical or fall-prevention language — the participant invitation on file (a 4 August 2026 reconstruction) opens with falls and balance training and discloses the FRA origin, so the decoupling is stated as artefact-level; §6.4 states the author's account of 27 September 2026 that supervision was not required and that some older participants had a research assistant beside them to help operate a tablet (sessions not recorded individually); §3.4 names the invitation alongside the distribution e-mails as the consent channel, with the reconstruction caveat. Open decision (author and supervisor): Paper 3 R7 withdraws the end-of-window retention figure and reports only compiled classifications, whereas §6.4–§6.5, Tables 6.1–6.3, §9.3 and the abstract still report retention 93.3%/85.4% as a compiled classification with its timing caveat; the two documents differ in claim level, not in counts.</w:t>
      </w:r>
    </w:p>
    <w:p>
      <w:pPr>
        <w:pageBreakBefore/>
      </w:pPr>
      <w:r>
        <w:rPr>
          <w:color w:val="000000"/>
        </w:rPr>
        <w:t>V45 - 29 September 2026 (author's account of Stage-3 distribution, mirrored from Paper 3 R7). §6.4 now records that distribution was carried out by research assistants recruited and briefed by the author; that most participants received the build by e-mail with a written introduction; that some older participants played on a pre-installed iPad with an external keyboard and a research assistant beside them to help operate the device; that keyboard or foot-pad control was retained in Stage 3A to keep control demands closer to the Stage-2 station; that twenty distributors were each asked to find about ten players (invitations not counted; 120 files received); that no Stage-3A participant had played the game before; and that touch input was introduced only in Stage 3B, whose build asks about prior play because some Stage-3B players had played the Stage-3A game. These are the author's statements of 27–29 September 2026; no per-participant device record exists. Also added to §9.12, at the author's request (29 September 2026): a two-paragraph closing statement of the contribution (exploratory account of engagement; Stage-3B design as an implemented means of investigating learning from gameplay experience; future research requirements), with the Pro records labelled as researcher self-test.</w:t>
      </w:r>
    </w:p>
    <w:p>
      <w:pPr>
        <w:pageBreakBefore/>
      </w:pPr>
      <w:r>
        <w:rPr>
          <w:color w:val="000000"/>
        </w:rPr>
        <w:t>V46 - 29 September 2026 (Stage-3B cut-off moved to 15 October 2026). The author's amendment of 29 September 2026 sets the thesis cut-off for the Stage-3B record at the close of the frozen edition's clean-run window, 15 October 2026, in place of 26 September 2026; the decision that Stage 3B is not used as the test of adaptive learning is unchanged. The first three clean-run returns (BVSU69, B7GRDA, BZ323A; 29 September 2026; D01; game-over mode) are entered in §8.8, Appendix I (Tables I.1, I.3, I.4; Figure I.1 redrawn) and Table 9.1. Passages that stated "no clean-run returns" now state that no comparison is computed from the returns, so they remain true at the cut-off. One completion step remains after 15 October 2026: any further returns are entered in Table I.4 and the counts in §8.8 and Appendix I.4 are updated, on the same descriptive terms. The choice between the Batch 01 and Paper 3 R8 sets of Pro v4.1 exports (Appendix I.5) is pending the author's decision and is not changed here.</w:t>
      </w:r>
    </w:p>
    <w:p>
      <w:pPr>
        <w:pageBreakBefore/>
      </w:pPr>
      <w:r>
        <w:rPr>
          <w:color w:val="000000"/>
        </w:rPr>
        <w:t>V47 - 29 September 2026 (Pro record counts all seven codes). By the author's decision of 29 September 2026, the Stage-3B Pro v4.1 record counts all seven stored codes: the five summarised in the Batch 01 reports of 20 September 2026 and two whose exports reached the record on 29 September 2026 (PFWU9V, PXG3R9), because the exports were received by different routes and on different dates and the reports were written before all of them had arrived. Appendix I.5 reproduces the Batch 01 figures as reported and adds seven-code totals (53 runs, 16 visits, 12 decisions, six paired checks); Tables I.1, I.3 and I.5–I.10, Table I.12 and Figures I.2–I.3 are updated, and §8.8 and item G.13 follow. The exploratory statistics of Table I.11 remain as reproduced from the addendum, with the added pair described but no statistic recomputed. Raw exports for PT8FJC, PEVNZ8 and PZTPCG remain outstanding (I.7).</w:t>
      </w:r>
    </w:p>
    <w:p>
      <w:pPr>
        <w:pageBreakBefore/>
      </w:pPr>
      <w:r>
        <w:rPr>
          <w:color w:val="000000"/>
        </w:rPr>
        <w:t>V48 - 29 September 2026 (raw Pro exports deposited). The raw exports for PT8FJC and PZTPCG were received and archived with SHA-256; with P8P2Z9 and PU5K58 they reproduce the Batch 01 report figures run for run, including PT8FJC's three player overrides and one local-rule decision. Raw exports are now on file for six of the seven codes; PEVNZ8 remains outstanding (I.7; item G.13; Table I.1). No count changes.</w:t>
      </w:r>
    </w:p>
    <w:p>
      <w:pPr>
        <w:pageBreakBefore/>
      </w:pPr>
      <w:r>
        <w:rPr>
          <w:color w:val="000000"/>
        </w:rPr>
        <w:t>V49 - 30 September 2026 (all Pro exports on file; fourth clean-run return). The raw PEVNZ8 export was received and matches the Batch 01 report, so raw exports are now on file for all seven Pro codes. The author's account that the codes were played by volunteers and their families or friends recruited for selected age groups is entered beside the software's self-test label (I.5, I.7, §8.8, item G.13, Table I.12), and that use is placed within the open ethics-scope item. A fourth clean-run return, B59AGN (29 September 2026; D01; arm B; zero-failure mode; three sessions), is entered in §8.8, Appendix I (Tables I.1, I.3, I.4; Figure I.1 redrawn) and Table 9.1. Re-sent copies of BVSU69, B7GRDA and BZ323A were byte-identical to the archived files.</w:t>
      </w:r>
    </w:p>
    <w:p>
      <w:pPr>
        <w:pageBreakBefore/>
      </w:pPr>
      <w:r>
        <w:rPr>
          <w:color w:val="000000"/>
        </w:rPr>
        <w:t>V50 - 30 September 2026 (ethics-application wording corrected). §3.4 and Appendix I.7 no longer attribute to the submitted ethics application a Part B stating that no new experimental deployment was planned. That wording came from a pre-submission draft of the research proposal and protocol held in the repository (5 August 2026), not from the application as submitted, and the author confirms the submitted application did not contain it. The Stage-3B scope question remains an open item, now resting on the examiner's request of 15 September 2026 that coverage be verified against the approved protocol or an amendment.</w:t>
      </w:r>
    </w:p>
    <w:p>
      <w:pPr>
        <w:pageBreakBefore/>
      </w:pPr>
      <w:r>
        <w:rPr>
          <w:color w:val="000000"/>
        </w:rPr>
        <w:t>V51 - 30 September 2026 (housekeeping). Appendix G.13 and I.7 now state that raw exports for all seven Pro codes are archived and that only the derived workbooks and extraction scripts named in the Batch 01 reports are not deposited; stray yellow highlighting removed from §1.1, §5.5 and §8.8. The remaining author records are listed in Thesis_Submission_Worksheet_to_15Oct2026.xlsx.</w:t>
      </w:r>
    </w:p>
    <w:p>
      <w:pPr>
        <w:pageBreakBefore/>
      </w:pPr>
      <w:r>
        <w:rPr>
          <w:color w:val="000000"/>
        </w:rPr>
        <w:t>V52 - 30 September 2026 (author's answers to the submission worksheet). §6.4 states the failure-then-stop rule behind the Stage-3 dropout and return classifications and records that some players received an earlier build with a game over, unrecorded per player. Appendix D and §8.9 record the author's confirmation of the two-item, five-point instrument, its scoring and its timing, and disclose the shorter item labels in the aggregate summary. §8.9 and G.2 state that Stage-2 play was recorded by hand and the software's electronic logs were not kept. §5.5 and G.2 cite the Stage-2 files on record. The retention figures are kept by the author's decision.</w:t>
      </w:r>
    </w:p>
    <w:p>
      <w:pPr>
        <w:pageBreakBefore/>
      </w:pPr>
      <w:r>
        <w:rPr>
          <w:color w:val="000000"/>
        </w:rPr>
        <w:t>V53 - 30 September 2026 (fifth clean-run return; purpose of the coordination item). B53Y2F, played on 16 September 2026 on distributor copy D13 (arm B, zero-failure mode, two sessions) and received on 30 September 2026 as a copy converted from a rich-text document, is entered in §8.8, Appendix I (Tables I.1, I.3, I.4; Figure I.1 redrawn) and Table 9.1; it is the earliest clean-run play on record. Appendix D records the author's statement that the coordination item was included to check whether players recognised the game as exercising the eye-leg coordination the FRA measures, as a perception measure only.</w:t>
      </w:r>
    </w:p>
    <w:p>
      <w:pPr>
        <w:pageBreakBefore/>
      </w:pPr>
      <w:r>
        <w:rPr>
          <w:color w:val="000000"/>
        </w:rPr>
        <w:t>V55 - 30 September 2026 (F4 membership; supersedes V54). §5.6 names the six F4 participants as identified by the author: S2-P006, S2-P007, S2-P011, S2-P015, S2-P026 and S2-P028, checked against the Stage-2 ID register and dataset. All six played a single session; S2-P006, S2-P007 and S2-P015 are the three with a positive index change, and S2-P015 is the record that failed verification. V54 had named S2-P027 and S2-P029 in error. The composite scoring rule remains an outstanding author record.</w:t>
      </w:r>
    </w:p>
    <w:p>
      <w:pPr>
        <w:pageBreakBefore/>
      </w:pPr>
      <w:r>
        <w:rPr>
          <w:color w:val="000000"/>
        </w:rPr>
        <w:t>V56 - 30 September 2026 (Stage-3 timeline corrected). On the research assistant's account relayed by the author, Stage-3 recruitment began on 3 April 2026, most participants played after the recruitment deadline, and returns - especially from the 65-80 band - continued until July 2026, when they were compiled and processed. §3.2, §6.4, Table 3.1A and Table 9.1 no longer give March-April 2026 as the collection period.</w:t>
      </w:r>
    </w:p>
    <w:p>
      <w:pPr>
        <w:pageBreakBefore/>
      </w:pPr>
      <w:r>
        <w:rPr>
          <w:color w:val="000000"/>
        </w:rPr>
        <w:t>V57 - 30 September 2026 (invitation date disclosed). §3.2 and §6.4 record that the invitation reconstruction on file is headed 'From March to April 2026', whereas the research assistant reports that recruitment began on 3 April 2026.</w:t>
      </w:r>
    </w:p>
    <w:p>
      <w:pPr>
        <w:pageBreakBefore/>
      </w:pPr>
      <w:r>
        <w:rPr>
          <w:color w:val="000000"/>
        </w:rPr>
        <w:t>V58 - 1 October 2026 (abstract within the 500-word limit). The abstract is shortened from 518 to 496 words to meet the University's 200-500-word requirement, without changing its content; 'desktop game' becomes 'browser game', because some Stage-3 participants played on prepared iPads.</w:t>
      </w:r>
    </w:p>
    <w:p>
      <w:pPr>
        <w:pageBreakBefore/>
      </w:pPr>
      <w:r>
        <w:rPr>
          <w:color w:val="000000"/>
        </w:rPr>
        <w:t>V59 - 1 October 2026 (Stage-3 claim level). By the author's approval, §6.4, §8.9, Appendix D and item G.3 now state that the Chapter-6 results come from the aggregate summary compiled in July 2026, that the build saved nothing automatically so returns arrived in mixed formats (exported CSV files or copied or typed text), and that a participant-level compilation could not be completed before submission. Every figure is unchanged. §8.9 also lists the AI prompt-template archive (G.7) as pending rather than bound, and no longer promises a later statement on the Stage-2 electronic logs, whose non-retention it already states.</w:t>
      </w:r>
    </w:p>
    <w:p>
      <w:pPr>
        <w:pageBreakBefore/>
      </w:pPr>
      <w:r>
        <w:rPr>
          <w:color w:val="000000"/>
        </w:rPr>
        <w:t>V60 - 1 October 2026 (field data-capture lesson). §8.8 adds a paragraph, at the author's suggestion, contrasting how Stage-3A and Stage-3B returns arrived: in-game consent, an immediate in-game questionnaire and a structured export made each Stage-3B return complete and checkable, but did not by themselves secure returns. It is a methodological lesson, not a Stage-3B result.</w:t>
      </w:r>
    </w:p>
    <w:p>
      <w:pPr>
        <w:pageBreakBefore/>
      </w:pPr>
      <w:r>
        <w:rPr>
          <w:color w:val="000000"/>
        </w:rPr>
        <w:t>V61 - 1 October 2026 (Stage-3 questionnaire wording; sex record). The coordination-item count (86 of 120, 71.7%) is no longer called a manipulation check or evidence that the intended frame was perceived (§6.5 text and interpretive note, Table 6.3, §8.3, §9.2, §9.8), matching Paper 3; the questionnaire as sent is not linked to the record and the summary labels differ from the invitation wording. §6.4 states that the 48 male / 72 female split is from the aggregate summary, with no breakdown by age band. Every number is unchanged.</w:t>
      </w:r>
    </w:p>
    <w:p>
      <w:pPr>
        <w:pageBreakBefore/>
      </w:pPr>
      <w:r>
        <w:rPr>
          <w:color w:val="000000"/>
        </w:rPr>
        <w:t>V62 - 2 October 2026 (Stage-3A returns not retained). On the author's account (2 October 2026), no participant names or e-mail addresses were collected, the returned results were not kept as separate records after the July 2026 compilation, and with the first build results and stopping were recorded by hand by assistants not always beside the player. §3.4 (consent record), §6.4 (records, compilation, denominator), §8 reproducibility paragraph, Appendix G.3 and G.5 now say so; statements that the return e-mails are retained and that a return index remains to be compiled are withdrawn. G.3 notes that October 2026 reconstruction attempts are not used. Every number is unchanged.</w:t>
      </w:r>
    </w:p>
    <w:p>
      <w:pPr>
        <w:pageBreakBefore/>
      </w:pPr>
      <w:r>
        <w:rPr>
          <w:color w:val="000000"/>
        </w:rPr>
        <w:t>V63 - 2 October 2026 (Stage-3A outcome definitions). §6.4 states the author's clarified rules: initial dropout = stopped after a failure, observed by an assistant for older participants and otherwise inferred from reported results or from no further session after the first game (so some dropouts have no recorded failure); return = played again on either build before the July 2026 compilation, duration and frequency not counted, some on the archived build, prompting not recorded; returns arrived over weeks because export was optional. §1 drops 'voluntary' from 'voluntary return'. Every number is unchanged.</w:t>
      </w:r>
    </w:p>
    <w:p>
      <w:pPr>
        <w:pageBreakBefore/>
      </w:pPr>
      <w:r>
        <w:rPr>
          <w:color w:val="000000"/>
        </w:rPr>
        <w:t>V64 - 2 October 2026 (Stage-3 term: continued or resumed play). With the author's agreement (supervisor's confirmation pending), 'end-of-window retention' (93.3% overall, 85.4% aged 65-80) is renamed 'continued or resumed play' throughout - Abstract, §1, §6.4-6.8 and the 6.8 consultation reference, Chapter 7, §8.3, §9, Tables 6.1, 6.2 and 6.5, the glossary and Chapter 3/8 tables - because a single later play of any length counted as a return and no end-of-window activity was checked; §6.4 states that it is not a retention measure. Figures 6.1 and 6.3 redrawn with the new label (6.3 bracket now reads '29.3 pp difference'). Matches Paper 3, which already declines to call the 112 records a retention outcome. Every number is unchanged.</w:t>
      </w:r>
    </w:p>
    <w:p>
      <w:pPr>
        <w:pageBreakBefore/>
      </w:pPr>
      <w:r>
        <w:rPr>
          <w:color w:val="000000"/>
        </w:rPr>
        <w:t>V65 - 2 October 2026 (Stage-3A builds and distributors). §6.4: distributors received both builds (the earlier version with a possible game over; the archived build, created 13 July 2026) and passed them on; which build each participant played was not recorded, replacing 'most played the archived build'. §6.4 also states, on the author's account, that the twenty distributors' own records are among the 120 and that, having been briefed, they were not naive to the framing. Every number is unchanged.</w:t>
      </w:r>
    </w:p>
    <w:p>
      <w:pPr>
        <w:pageBreakBefore/>
      </w:pPr>
      <w:r>
        <w:rPr>
          <w:color w:val="000000"/>
        </w:rPr>
        <w:t>V66 - 2 October 2026 (distributors; Stage-3A timing). On the author's account: the twenty distributors belonged to separate Hong Kong groups, were eligible, had no prior knowledge of the gamified FRA and were briefed only on distribution (V65's 'not naive to the framing' withdrawn); implementation limitations with the earlier build led to the archived build (13 July 2026) and the main period of play was postponed to late July 2026 (§6.4; Table 3.1A). Every number is unchanged.</w:t>
      </w:r>
    </w:p>
    <w:p>
      <w:pPr>
        <w:pageBreakBefore/>
      </w:pPr>
      <w:r>
        <w:rPr>
          <w:color w:val="000000"/>
        </w:rPr>
        <w:t>V43 - 26 September 2026 (pivot pass; V42 closed 14 September 2026). This pass actions the author's decision of 26 September 2026 to conclude the thesis on the FIAS finding of Stages 1–3A and to treat adaptive learning as a discussion and future-study direction, and it actions the textual items of the updated examination report of 15 September 2026. Stage 3B is reported as a descriptive component-study record at the 26 September 2026 cut-off (new Appendix I with Tables I.1–I.12 and Figures I.1–I.3; Appendix G items G.12–G.13; the G.0A lineage row extended to the frozen study edition of 15 September 2026 and the Pro v4.1 self-test); no confirmatory analysis is reported and no Stage-3B results cell or author-input stub remains in §8.8, Table 3.1A or Table 9.1; passages that promised Stage-3B results or made the adaptive-learning claim depend on them are reframed to the record (§1.8–§1.9, §1.13–§1.14, §2.3.4, §2.6.2C, Tables 2.1–2.3, §3.2, Table 3.1, Table 3.1A, §3.4–§3.6, §5.3.5, §5.3.10, §5.5A, §6.1, §6.8, §7.4, §7.5, §7.9, §8.5.8, §8.6, §8.8–§8.9, §9.1–§9.2, Table 9.1, Table 9.3, §9.5, §9.8A–§9.10, §9.12, Appendices D, E and G); the study is described as pre-specified (repository-dated) throughout and its adaptive arm as a support package. Examiner textual items closed in this pass: §3.4 satisfaction/symptom provenance and Stage-1 consent; §3.4 Stage-3B ethics scope stated as an open item of the record; §5.2A instrument sentence; §5.5–§5.6 terminology and the Appendix B rule statement; §5.6 and §8.6B co-occurrence wording; Table 5.3 coin-loop cell; §2.3.5 sentence repair; §6.4 attempts-versus-sessions unit; abstract and Figures 6.1–6.2 retention qualification; §7.4 taxonomy over-defence; §7.9 adaptive-learning proposition and GrandPad verdict-exposure narrowing (text, Figure 8.1 caption and artwork); §8.5.9 ordinary-attrition wording; Figures 5.1B, 5.2, 5.4 and 5.5 captions with the Figure 5.2 and 5.5 artwork regenerated from the archived counts; Appendix E as-specified labelling; Appendix G status statement; the fused NBS reference split and the Tha et al. entry marked as advance online. The Stage-3B protocol sign-off is no longer a thesis dependency. The remaining marks are confined to items (a), (b), (c) and (e) of the V42 entry below; item (d) is closed. Final production adds Appendix I to the regenerated ToC, List of Figures and List of Tables.</w:t>
      </w:r>
    </w:p>
    <w:p>
      <w:r>
        <w:rPr>
          <w:highlight w:val="yellow"/>
        </w:rPr>
        <w:t>V42 - 14 September 2026 (V41 earlier the same day; V40 closed 10 September 2026). This pass actions the updated examination report of 14 September 2026: 45 verified text corrections (Stage-1 conditional denominators; the withdrawn 65-88 Stage-1 age range; H1 and §5.5 index-claim calibration; Kim et al. scoping; §6.4 dropout-definition timing limit; §6.10 design-only framing; ethics-terminology alignment with the archived memo and the two-part application structure; Stage-3B in-build consent; §8.9 restated to match the actual deposit; G.4/G.6 photographic-record accuracy; G.0A v3.x build row entered from the repository record; §5.3.1/§5.3.5/E.3 capability-versus-evidence distinctions; §5.6/§7.4/§8.3/§8.5.9 interpretation framing with the §8.3 joint count 3-of-8 read from the archived record; §1.3 corrected to 310.31 million (NBS 2025) with the reference added; §1.4 service-design reframing; §7.9 GrandPad configuration-specific comparison; Stage-3B consistency in Table 3.1A, §3.4 and §8.5.8; §7.9 heading aligned to the contents entry). Figure 8.1's caption and painted artwork are additionally recalibrated to the intended-design-target framing, with the GrandPad functions verified at vendor source (2020 connected-device announcement; 2021 PACE/Element Care release) and the dated vendor references added.  This pass merges the author's 14 September edits, embeds the Stage-3B status in §8.8 and Table 9.1 (designed after Stage 3A; pre-specified, repository-dated 8–9 August 2026; collection commenced August 2026; superseded in V43 by the descriptive record at the 26 September 2026 cut-off, Appendix I), and adds the Stage-3A designation note in §6.1. The examination-driven revision cycle continues; the items below remain open at the stated cut-off. The remaining yellow marks in this document are confined to: (a) the Stage-2 instrument scans and as-administered wording confirmation (Appendix C; the s3.4 reconciliation and the interview-instrument wording are RESOLVED via the Stage-2 ID register and entry workbook, 11 Sep 2026) and the D1-D2 response scale and bilingual wording (Appendix D); (b) Stage-2 game telemetry and AI-call logs (G.2/G.7 - archive or one disclosed not-retained sentence); (c) consent-gated panel items that close on receipt of the signed member-check and elections (s6.12, H.6, H.7); (d) none for Stage 3B — its cells in §8.8 and Table 9.1 are closed as a descriptive record at the 26 September 2026 cut-off (Appendix I), with no results cell left open; and (e) the Appendix G manifest and build-lineage stubs (G.0, G.0A), which complete as the archive records land. External gates tracked in the working file PENDING_ITEMS.md, outside this document: the SS-293 camera-ready consent check, the supervisor's report and the Stage-3B protocol sign-off (no longer a thesis dependency: no Stage-3B confirmatory analysis is reported). Final production remains as one pass: regenerate the ToC, List of Figures and List of Tables as Word fields (Figure 2.1, Figure 8.1 and the tables added since V37 enter the lists there), regularise figure numbering, remove this page together with every remaining mark, and proofread.</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