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vii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vii</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vii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vii</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vii</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vii</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vii</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vii</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vii</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vii</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vii</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vii</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vii</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vii</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vii</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vii</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vii</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vii</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vii</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vii</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vii</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vii</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vii</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vii</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vii</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vii</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vii</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vii</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vii</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vii</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vii</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vii</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viii</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viii</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viii</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69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70</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75</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76</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77</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78</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80</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82</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83</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90</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93</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96</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97</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97</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100</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100</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100</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101</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102</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106</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110</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111</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111</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113</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114</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115</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115</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116</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117</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117</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118</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118</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120</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123</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123</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123</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124</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124</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127</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128</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129</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131</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132</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132</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132</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133</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133</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133</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134</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135</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135</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148</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149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150</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151</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152</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153</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153</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154</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154</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154</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155</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155</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161</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163</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163</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163</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165</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171</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172</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175</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175</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176</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177</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178</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179</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181</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183</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184</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185</w:t>
      </w:r>
    </w:p>
    <w:p>
      <w:pPr>
        <w:pStyle w:val="TOC1"/>
        <w:keepNext w:val="0"/>
        <w:keepLines/>
        <w:tabs>
          <w:tab w:pos="8496" w:val="right" w:leader="dot"/>
        </w:tabs>
        <w:spacing w:before="0" w:after="80" w:line="276" w:lineRule="auto"/>
        <w:ind w:right="374"/>
      </w:pPr>
      <w:r>
        <w:rPr>
          <w:rFonts w:ascii="Times New Roman" w:hAnsi="Times New Roman"/>
          <w:sz w:val="22"/>
        </w:rPr>
        <w:t>References</w:t>
        <w:tab/>
        <w:t>188</w:t>
      </w:r>
    </w:p>
    <w:p>
      <w:pPr>
        <w:pStyle w:val="TOC1"/>
        <w:keepNext w:val="0"/>
        <w:keepLines/>
        <w:tabs>
          <w:tab w:pos="8496" w:val="right" w:leader="dot"/>
        </w:tabs>
        <w:spacing w:before="0" w:after="80" w:line="276" w:lineRule="auto"/>
        <w:ind w:right="374"/>
      </w:pPr>
      <w:r>
        <w:rPr>
          <w:rFonts w:ascii="Times New Roman" w:hAnsi="Times New Roman"/>
          <w:sz w:val="22"/>
        </w:rPr>
        <w:t>Appendices</w:t>
        <w:tab/>
        <w:t>196</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197</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197</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198</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199</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200</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202</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202</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203</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204</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204</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205</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205</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206</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208</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215</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219</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219</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221</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223</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226</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230</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238</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240</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81</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89</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89</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97</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109</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110</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113</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129</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138</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142</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183</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198</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226</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235</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236</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xiv</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xiv</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xiv</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xiv</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xiv</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xiv</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xiv</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xiv</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xiv</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xiv</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86</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91</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106</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107</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108</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116</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118</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126</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128</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131</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166</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172</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182</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220</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221</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224</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228</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232</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232</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233</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234</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235</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236</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237</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239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'after' FRA index reported in §5.5 is computed from this silent pipeline;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its build generations engineered from 2025 onward used Anthropic Claude Code as the engineering assistant (§5.3.9), and its automatic difficulty-adjustment subsystem is specified as LangChain orchestration over a large-language-model endpoint (the endpoint and run-time settings belong to the AI prompt-template archive, Appendix G, item G.7, which is not deposited, §8.9).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COP stream is polled by the game at 60 Hz, §5.2A, and the calibration function is treated as a black-box vendor component, §8.9).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prompt archive (item G.7) or AI-call log is deposited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recorded the balance-test indexes on the clinician-side terminal (§5.2A; not on the play screen)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AI prompt-template archive with the deployed endpoint and run-time settings (item G.7; no claim rests on it);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the AI prompt-template archive with the deployed endpoint and run-time settings (Appendix G, item G.7) is not deposited with this thesis, so the exact Stage-2 run-time configuration cannot be reproduced from the record, and no claim in this thesis rests on it. Stage-2 play took place at the centre and was recorded by hand;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mechanic in which one centre-of-pressure stream drives play and a silent assessment pipeline, so that measurement is carried inside play without clinical numbers on the play screen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Appendix G, item G.7, not deposited);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build (2D Pygame skiing game on the InBody pressure panel)</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InBody FRA510S pressure panel (COP stream); clinician-side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The analysis file is the source for every Stage-2 statistic in §5.5 and for Figure 5.4. Play was recorded by hand at the centre; the game software's electronic session records were not kept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deployed endpoint and run-time settings). Status: not deposited at 30 September 2026. The deployed endpoint, model version and run-time settings are therefore not on record; the Stage-2 AI-call logs were not retained (item G.2); no claim in this thesis rests on either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