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276</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276</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75</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76</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77</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78</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276</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219</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223</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223</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225</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227</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230</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234</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242</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244</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75</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230</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239</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240</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224</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225</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227</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232</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236</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236</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237</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238</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239</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240</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241</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243</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(foot pad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did not read the InBody COP stream.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and the footplate driving the InBody FRA measurement, and each system recorded its own data set (author's account, 3 October 2026). The first version of the Stage-2 build had been tested by keyboard before the foot pad was adopted.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translated lateral weight shifts into left/right movement of the on-screen skier and forward/backward shifts into trail scrolling speed; the FRA510S exposes no application programming interface, so the game never read the panel's COP stream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specified as the InBody pressure panel with a stream of COP coordinates as output; in the deployed Stage-2 build it was an FSR pressure-sensor mat placed on the footplate and read over a serial connection, because the FRA510S exposes no application programming interface (§5.2A). Layer 1 (Game Engine) is the Pygame skiing task; it consumes the input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as specified; in the deployed Stage-2 configuration the recorded index was produced by the InBody FRA software running in parallel from the same footplate, not by the game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as specified; in the deployed Stage-2 build no data passed between the game and the InBody system, and the clinical index was read by the therapist from the InBody terminal (§5.2A). The data movement between layers is described in §5.3.4. As specified,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Two methodological points follow from this development pattern. First, the use of Claude Code did not change the engineering content of the system. The five-layer architecture, the dual-purpose mechanic, the weight-shift-to-control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as specified, the InBody pressure-panel sensor stream (calibrated by InBody engineers; COP sampled at vendor-default rate). As deployed in Stage 2, a generic FSR plantar-pressure mat (64 × 64 points, about 3 mm; item G.15) placed on top of the FRA510S footplate and read by the game over a serial connection; the footplate drove the InBody FRA software in parallel, with no application programming interface between the two (§5.2A); the first version was tested by keyboard.</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input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(as specified; in deployment the recorded index came from the InBody FRA software measuring from the footplate beneath the game's foot pad, read and logged by the therapist, §5.2A);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a development-office photograph supplied 3 Oct 2026 shows the prototype steered from the HUR-type balance platform (coupling method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 two screenshots). Added 3 October 2026: a showroom photograph of an InBody FRA510S with the vendor's balance-training game menu on screen (location, date and photographer not stated;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