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75</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76</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77</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78</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198</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219</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223</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223</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225</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227</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230</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234</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242</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244</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75</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230</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239</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240</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224</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225</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227</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232</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236</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236</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237</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238</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239</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240</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241</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243</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(foot pad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did not read the InBody COP stream.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and the footplate driving the InBody FRA measurement, and each system recorded its own data set (author's account, 3 October 2026). The first version of the Stage-2 build had been tested by keyboard before the foot pad was adopted.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translated lateral weight shifts into left/right movement of the on-screen skier and forward/backward shifts into trail scrolling speed; the FRA510S exposes no application programming interface, so the game never read the panel's COP stream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specified as the InBody pressure panel with a stream of COP coordinates as output; in the deployed Stage-2 build it was an FSR pressure-sensor mat placed on the footplate and read over a serial connection, because the FRA510S exposes no application programming interface (§5.2A). Layer 1 (Game Engine) is the Pygame skiing task; it consumes the input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as specified; in the deployed Stage-2 configuration the recorded index was produced by the InBody FRA software running in parallel from the same footplate, not by the game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as specified; in the deployed Stage-2 build no data passed between the game and the InBody system, and the clinical index was read by the therapist from the InBody terminal (§5.2A). The data movement between layers is described in §5.3.4. As specified,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Two methodological points follow from this development pattern. First, the use of Claude Code did not change the engineering content of the system. The five-layer architecture, the dual-purpose mechanic, the weight-shift-to-control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as specified, the InBody pressure-panel sensor stream (calibrated by InBody engineers; COP sampled at vendor-default rate). As deployed in Stage 2, a generic FSR plantar-pressure mat (64 × 64 points, about 3 mm; item G.15) placed on top of the FRA510S footplate and read by the game over a serial connection; the footplate drove the InBody FRA software in parallel, with no application programming interface between the two (§5.2A); the first version was tested by keyboard.</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input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(as specified; in deployment the recorded index came from the InBody FRA software measuring from the footplate beneath the game's foot pad, read and logged by the therapist, §5.2A);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the HUR-type balance platform (coupling method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