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xii</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xiv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69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70</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75</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76</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77</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78</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78</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81</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83</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84</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91</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94</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97</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98</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98</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101</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101</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101</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102</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107</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111</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112</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112</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114</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115</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116</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116</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117</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118</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118</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119</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119</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121</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124</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124</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124</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125</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125</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128</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129</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130</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132</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133</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133</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133</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134</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134</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135</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136</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136</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144</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147</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147</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147</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148</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148</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148</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148</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149</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149</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149</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150</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151</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151</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152</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153</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154</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154</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155</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155</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155</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156</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156</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162</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165</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165</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165</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167</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177</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179</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180</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181</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182</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183</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185</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186</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186</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187</w:t>
      </w:r>
    </w:p>
    <w:p>
      <w:pPr>
        <w:pStyle w:val="TOC1"/>
        <w:keepNext w:val="0"/>
        <w:keepLines/>
        <w:tabs>
          <w:tab w:pos="8496" w:val="right" w:leader="dot"/>
        </w:tabs>
        <w:spacing w:before="0" w:after="80" w:line="276" w:lineRule="auto"/>
        <w:ind w:right="374"/>
      </w:pPr>
      <w:r>
        <w:rPr>
          <w:rFonts w:ascii="Times New Roman" w:hAnsi="Times New Roman"/>
          <w:sz w:val="22"/>
        </w:rPr>
        <w:t>References</w:t>
        <w:tab/>
        <w:t>190</w:t>
      </w:r>
    </w:p>
    <w:p>
      <w:pPr>
        <w:pStyle w:val="TOC1"/>
        <w:keepNext w:val="0"/>
        <w:keepLines/>
        <w:tabs>
          <w:tab w:pos="8496" w:val="right" w:leader="dot"/>
        </w:tabs>
        <w:spacing w:before="0" w:after="80" w:line="276" w:lineRule="auto"/>
        <w:ind w:right="374"/>
      </w:pPr>
      <w:r>
        <w:rPr>
          <w:rFonts w:ascii="Times New Roman" w:hAnsi="Times New Roman"/>
          <w:sz w:val="22"/>
        </w:rPr>
        <w:t>Appendices</w:t>
        <w:tab/>
        <w:t>198</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199</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199</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200</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201</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202</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204</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204</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205</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206</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206</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207</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208</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210</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219</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223</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223</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225</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227</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230</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234</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242</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244</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 as specified</w:t>
        <w:tab/>
        <w:t>75</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82</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90</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90</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98</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110</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111</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114</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130</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139</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143</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185</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200</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230</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240</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240</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67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77</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87</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92</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107</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108</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109</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117</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119</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127</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129</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132</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144</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168</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174</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184</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224</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226</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228</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232</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236</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237</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237</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238</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240</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241</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241</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244</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most participants received it by e-mail and played on their own computers, using arrow keys or a foot-pad sensor where one was available, while some older participants played on an iPad on which the build had been pre-installed, with an external keyboard (§6.4). The skiing mechanic, session structure and five-attempt rule were retained in the ported build;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without required supervision, mostly on participants' own computers with arrow keys or a foot-pad sensor where one was available, and for some older participants on a pre-installed iPad with an external keyboard (§6.4).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a request for such a determination is being made through the Principal Investigator, and the thesis will report the Committee's determination when it is received.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(register-style and form-style illustrations of this data structure, produced in 2026 while organising the archive, are not records and are listed as such in Appendix G, item G.16). Separately,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a skiing-game concept but used a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Configurations compared across Stages 2 and 3."/>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(foot pad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integration is mediated by a small set of design parameters that have been frozen in a project-internal data file (Game_States_and_Parameters.xlsx; a project-internal specification record whose deposit status is stated in Appendix G, item G.14).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on the game side: they turn the weight shifts that the FRA510S footplate measures beneath the foot pad into a gameplay surface in which the same movements are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did not read the InBody COP stream. The FRA510S exposes no application programming interface, and the attempt to integrate the developed and tested game with it failed on that point; the deployed arrangement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and the footplate driving the InBody FRA measurement, and each system recorded its own data set (author's account, 3 October 2026). The first version of the Stage-2 build had been tested by keyboard before the foot pad was adopted.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older-adult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played at the InBody pressure-panel station. The game was developed in Pygame; its build generations engineered from 2025 onward used Anthropic Claude Code as the engineering assistant (§5.3.9), and its automatic difficulty-adjustment subsystem is specified as LangChain orchestration over a large-language-model endpoint (the prompt template of the August 2024 browser prototype is deposited as Appendix G, item G.7; the model version and run-time settings of the deployed Stage-2 build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translated lateral weight shifts into left/right movement of the on-screen skier and forward/backward shifts into trail scrolling speed; the FRA510S exposes no application programming interface, so the game never read the panel's COP stream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weight shifts read through the foot pad placed on the InBody footplate (by keyboard in the first tested version);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specified as the InBody pressure panel with a stream of COP coordinates as output; in the deployed Stage-2 build it was an FSR pressure-sensor mat placed on the footplate and read over a serial connection, because the FRA510S exposes no application programming interface (§5.2A). Layer 1 (Game Engine) is the Pygame skiing task; it consumes the input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not documented in the retained record — the game software's electronic session telemetry and AI-call records were not kept (§8.9), and no Stage-2 build file is deposited (Appendix G, item G.0A) — so no operational claim is made for it (§5.3.5). Layer 3 (Logging) records cycle counts, COP traces, session-level affect and dropout flags in JSON format. This states logging capability, not retained evidence: Stage-2 play was recorded by hand at the centre and the game software's electronic session telemetry and AI-call records were not kept (§8.9; Appendix G, items G.2 and G.7), so no claim in this thesis rests on them. Layer 4 (Clinical Output) computes pre/post FRA indices from the COP stream for clinician review, as specified; in the deployed Stage-2 configuration the recorded index was produced by the InBody FRA software running in parallel from the same footplate, not by the game (§5.2A).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descr="Figure 5.2. Five-layer architecture of the gamified FRA system as specified."/>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as specified; in the deployed Stage-2 build no data passed between the game and the InBody system, and the clinical index was read by the therapist from the InBody terminal (§5.2A). The data movement between layers is described in §5.3.4. As specified,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The build-lineage matrix (Appendix G, item G.0A) records that no Stage-2 build file or AI-call log is deposited, that the prompt archive (item G.7) holds the August 2024 prototype's template rather than the deployed build's, and that the game software's session telemetry was not kept (§8.9), so the retained record does not document which of the six stages operated live in the deployed Stage-2 build. The loop is reported here as specified and as exercised against synthetic inputs for pipeline verification (§5.3.7, §5.3.9), the state repertoire of §5.3.10 remains proposed, and no operational claim is made for any stage in the deployed build.</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 The August 2024 browser prototype's specification (Appendix G, item G.7) carries that prototype's own worked example on a comparable synthetic 72-year-old profile, with the prompt that produced its analysis.</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a browser prototype in Three.js, with a pre-game ability form, deterministic difficulty formulas and a server-side large-language-model analysis module, is documented by its specification of 29 August 2024 and a code print of 30 August 2024 (Appendix G, items G.0A and G.7), the same week as the input-coupling demonstration of item G.10. </w:t>
      </w:r>
      <w:r>
        <w:rPr/>
        <w:t>Per-generation development dates and tooling are stated in the build-lineage matrix (Appendix G, item G.0A); the Claude Code account in this section applies only to the generations engineered from 2025 onward, and no tooling claim is made for any earlier generation beyond the dated 2024 demonstration recorded in item G.10.</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by the author's count, between the first runnable prototype and the version deployed in Stage 2; this count is author-reported and is not verified by any repository artifact, since no Stage-2 build file is deposited (Appendix G, item G.0A).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Two methodological points follow from this development pattern. First, the use of Claude Code did not change the engineering content of the system. The five-layer architecture, the dual-purpose mechanic, the weight-shift-to-control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Proposed dynamic game-state architecture for the FRA skiing gam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HTML port of the game, distributed mainly by e-mail, on their own computers or, for some older participants, on a pre-installed iPad with a research assistant beside them (§6.4).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browser port of the game that retained its skiing mechanic, five-attempt rule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keyboard arrow-key input (or a foot-pad sensor where available; some older participants used an iPad with an external keyboard, §6.4),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as specified, the InBody pressure-panel sensor stream (calibrated by InBody engineers; COP sampled at vendor-default rate). As deployed in Stage 2, a generic FSR plantar-pressure mat (64 × 64 points, about 3 mm; item G.15) placed on top of the FRA510S footplate and read by the game over a serial connection; the footplate drove the InBody FRA software in parallel, with no application programming interface between the two (§5.2A); the first version was tested by keyboard.</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(the August 2024 prototype's prompt template and endpoint family are deposited as Appendix G, item G.7; the deployed build's endpoint settings are not on record);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(as specified): Per-session JSON event log including input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(as specified; in deployment the recorded index came from the InBody FRA software measuring from the footplate beneath the game's foot pad, read and logged by the therapist, §5.2A);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August 2024 Three.js prototype records (G.7, G.0A)</w:t>
            </w:r>
          </w:p>
        </w:tc>
        <w:tc>
          <w:tcPr>
            <w:tcW w:type="dxa" w:w="2340"/>
          </w:tcPr>
          <w:p>
            <w:r>
              <w:rPr>
                <w:sz w:val="15"/>
              </w:rPr>
              <w:t>docs/thesis/game/2024_threejs_prototype/ (specification PDF, code print PDF, game_v2.html, July 2026 overview)</w:t>
            </w:r>
          </w:p>
        </w:tc>
        <w:tc>
          <w:tcPr>
            <w:tcW w:type="dxa" w:w="1029"/>
          </w:tcPr>
          <w:p>
            <w:r>
              <w:rPr>
                <w:sz w:val="15"/>
              </w:rPr>
              <w:t>29–30 Aug 2024; 12 Jul 2026; received 3 Oct 2026</w:t>
            </w:r>
          </w:p>
        </w:tc>
        <w:tc>
          <w:tcPr>
            <w:tcW w:type="dxa" w:w="1029"/>
          </w:tcPr>
          <w:p>
            <w:r>
              <w:rPr>
                <w:sz w:val="15"/>
              </w:rPr>
              <w:t>None (development only)</w:t>
            </w:r>
          </w:p>
        </w:tc>
        <w:tc>
          <w:tcPr>
            <w:tcW w:type="dxa" w:w="1123"/>
          </w:tcPr>
          <w:p>
            <w:r>
              <w:rPr>
                <w:sz w:val="15"/>
              </w:rPr>
              <w:t>—</w:t>
            </w:r>
          </w:p>
        </w:tc>
        <w:tc>
          <w:tcPr>
            <w:tcW w:type="dxa" w:w="1123"/>
          </w:tcPr>
          <w:p>
            <w:r>
              <w:rPr>
                <w:sz w:val="15"/>
              </w:rPr>
              <w:t>§5.3.5 worked example (counterpart), §5.3.9 chronology, Appendix E.1</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Stage-2 data-structure illustrations, 2026 (G.16) — not records</w:t>
            </w:r>
          </w:p>
        </w:tc>
        <w:tc>
          <w:tcPr>
            <w:tcW w:type="dxa" w:w="2340"/>
          </w:tcPr>
          <w:p>
            <w:r>
              <w:rPr>
                <w:sz w:val="15"/>
              </w:rPr>
              <w:t>docs/thesis/data_entry/SYNTHETIC_copies_received/</w:t>
            </w:r>
          </w:p>
        </w:tc>
        <w:tc>
          <w:tcPr>
            <w:tcW w:type="dxa" w:w="1029"/>
          </w:tcPr>
          <w:p>
            <w:r>
              <w:rPr>
                <w:sz w:val="15"/>
              </w:rPr>
              <w:t>Received 3 Oct 2026; made in 2026</w:t>
            </w:r>
          </w:p>
        </w:tc>
        <w:tc>
          <w:tcPr>
            <w:tcW w:type="dxa" w:w="1029"/>
          </w:tcPr>
          <w:p>
            <w:r>
              <w:rPr>
                <w:sz w:val="15"/>
              </w:rPr>
              <w:t>None (values copied from G.2)</w:t>
            </w:r>
          </w:p>
        </w:tc>
        <w:tc>
          <w:tcPr>
            <w:tcW w:type="dxa" w:w="1123"/>
          </w:tcPr>
          <w:p>
            <w:r>
              <w:rPr>
                <w:sz w:val="15"/>
              </w:rPr>
              <w:t>—</w:t>
            </w:r>
          </w:p>
        </w:tc>
        <w:tc>
          <w:tcPr>
            <w:tcW w:type="dxa" w:w="1123"/>
          </w:tcPr>
          <w:p>
            <w:r>
              <w:rPr>
                <w:sz w:val="15"/>
              </w:rPr>
              <w:t>None</w:t>
            </w:r>
          </w:p>
        </w:tc>
        <w:tc>
          <w:tcPr>
            <w:tcW w:type="dxa" w:w="1123"/>
          </w:tcPr>
          <w:p>
            <w:r>
              <w:rPr>
                <w:sz w:val="15"/>
              </w:rPr>
              <w:t>Held in repository, not evidence</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1b. Three.js/Cannon.js browser prototype with ability form and server-side model analysis</w:t>
            </w:r>
          </w:p>
        </w:tc>
        <w:tc>
          <w:tcPr>
            <w:tcW w:type="dxa" w:w="1123"/>
          </w:tcPr>
          <w:p>
            <w:r>
              <w:rPr>
                <w:sz w:val="15"/>
              </w:rPr>
              <w:t>Specification 29 Aug 2024; code print 30 Aug 2024; overview 12 Jul 2026 (item G.7)</w:t>
            </w:r>
          </w:p>
        </w:tc>
        <w:tc>
          <w:tcPr>
            <w:tcW w:type="dxa" w:w="1404"/>
          </w:tcPr>
          <w:p>
            <w:r>
              <w:rPr>
                <w:sz w:val="15"/>
              </w:rPr>
              <w:t>game_v2.html as received 3 Oct 2026 (SHA-256 ef12145a…); no version string</w:t>
            </w:r>
          </w:p>
        </w:tc>
        <w:tc>
          <w:tcPr>
            <w:tcW w:type="dxa" w:w="1310"/>
          </w:tcPr>
          <w:p>
            <w:r>
              <w:rPr>
                <w:sz w:val="15"/>
              </w:rPr>
              <w:t>Browser on a computer; the page handles keyboard (arrow or A/D) events; the author's development-office photograph (year not recorded; supplied 3 Oct 2026) shows the prototype steered from the HUR-type balance platform (coupling method not on record); GLTF models from a project server</w:t>
            </w:r>
          </w:p>
        </w:tc>
        <w:tc>
          <w:tcPr>
            <w:tcW w:type="dxa" w:w="1497"/>
          </w:tcPr>
          <w:p>
            <w:r>
              <w:rPr>
                <w:sz w:val="15"/>
              </w:rPr>
              <w:t>Pre-game form → deterministic difficulty formulas in the page; post-game analysis by a server-side large-language-model call (prompt on record, G.7)</w:t>
            </w:r>
          </w:p>
        </w:tc>
        <w:tc>
          <w:tcPr>
            <w:tcW w:type="dxa" w:w="1310"/>
          </w:tcPr>
          <w:p>
            <w:r>
              <w:rPr>
                <w:sz w:val="15"/>
              </w:rPr>
              <w:t>No logs retained</w:t>
            </w:r>
          </w:p>
        </w:tc>
        <w:tc>
          <w:tcPr>
            <w:tcW w:type="dxa" w:w="1310"/>
          </w:tcPr>
          <w:p>
            <w:r>
              <w:rPr>
                <w:sz w:val="15"/>
              </w:rPr>
              <w:t>No study participant; development only</w:t>
            </w:r>
          </w:p>
        </w:tc>
      </w:tr>
      <w:tr>
        <w:tc>
          <w:tcPr>
            <w:tcW w:type="dxa" w:w="1404"/>
          </w:tcPr>
          <w:p>
            <w:r>
              <w:rPr>
                <w:sz w:val="15"/>
              </w:rPr>
              <w:t>2. Deployed Stage-2 build (2D Pygame skiing game at the InBody pressure-panel station)</w:t>
            </w:r>
          </w:p>
        </w:tc>
        <w:tc>
          <w:tcPr>
            <w:tcW w:type="dxa" w:w="1123"/>
          </w:tcPr>
          <w:p>
            <w:r>
              <w:rPr>
                <w:sz w:val="15"/>
              </w:rPr>
              <w:t>Development from 2023; deployed June–August 2025</w:t>
            </w:r>
          </w:p>
        </w:tc>
        <w:tc>
          <w:tcPr>
            <w:tcW w:type="dxa" w:w="1404"/>
          </w:tcPr>
          <w:p>
            <w:r>
              <w:rPr>
                <w:sz w:val="15"/>
              </w:rPr>
              <w:t>Source code not deposited; no version or hash on record (approximately fifteen iterations by the author's count)</w:t>
            </w:r>
          </w:p>
        </w:tc>
        <w:tc>
          <w:tcPr>
            <w:tcW w:type="dxa" w:w="1310"/>
          </w:tcPr>
          <w:p>
            <w:r>
              <w:rPr>
                <w:sz w:val="15"/>
              </w:rPr>
              <w:t>Generic FSR plantar-pressure mat (64 × 64 points, about 3 mm, serial output; item G.15) placed on top of the InBody FRA510S footplate and read by the game; the footplate drove the InBody FRA software in parallel (no application programming interface; separate data sets joined by the therapist's hand record); first version tested by keyboard; clinician-side InBody terminal</w:t>
            </w:r>
          </w:p>
        </w:tc>
        <w:tc>
          <w:tcPr>
            <w:tcW w:type="dxa" w:w="1497"/>
          </w:tcPr>
          <w:p>
            <w:r>
              <w:rPr>
                <w:sz w:val="15"/>
              </w:rPr>
              <w:t>Specified: parameter-table multipliers and a Layer-2 model-call loop with 80%/40% rule; operational status in deployment not documented</w:t>
            </w:r>
          </w:p>
        </w:tc>
        <w:tc>
          <w:tcPr>
            <w:tcW w:type="dxa" w:w="1310"/>
          </w:tcPr>
          <w:p>
            <w:r>
              <w:rPr>
                <w:sz w:val="15"/>
              </w:rPr>
              <w:t>Layer-3 logging specified; session telemetry and AI-call logs not kept; play recorded by hand (G.2)</w:t>
            </w:r>
          </w:p>
        </w:tc>
        <w:tc>
          <w:tcPr>
            <w:tcW w:type="dxa" w:w="1310"/>
          </w:tcPr>
          <w:p>
            <w:r>
              <w:rPr>
                <w:sz w:val="15"/>
              </w:rPr>
              <w:t>30 residents (S2-P001–S2-P030) plus two staff test plays</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on the author's account the facility used running numbers 0001–0030 in 2025 and the 'S2' prefix was added in 2026 when the archive was organised; if the running numbers correspond, the facility can re-identify participants from them):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Status at 3 October 2026: partly deposited. Held in the thesis repository (docs/thesis/game/2024_threejs_prototype/, with SHA-256): the design specification of the August 2024 browser prototype (dated 29 August 2024), whose appendix reproduces the large-language-model prompt of its analysis-and-recommendation module and which names the endpoint family (LangChain over the OpenAI API, called server-side); the prototype's one-page code print (30 August 2024); the runnable prototype page (game_v2.html, no credential embedded); and a seven-page overview of the same line dated 12 July 2026. Not on record: the prompt template, model version and run-time settings of the deployed Stage-2 build, and the Stage-2 AI-call logs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for the skiing game — the four-state machine and the design parameters from which Table 5.0 is extracted (§5.3.2). It is a specification record, not the deployed build's code.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r>
        <w:t>G.16  Illustrations of the Stage-2 data structure, produced in 2026 — not records. Five images received on 3 October 2026 (a register-style page in a handwriting typeface listing ten participants, and four per-participant 'record form' pages on a printed template for S2-001 in two versions, S2-0022 and S2-0025) are, on the author's definitive statement of 3 October 2026, a template reconstructed in 2026 while organising the archive to illustrate the data structure; no corresponding paper forms exist from the deployment period, the therapists kept no written personal records (§3.4), and the date fields, tick boxes, signatures and notes on the images are template content that represent no actual entries. Their numerical values were copied from the Stage-2 ID register (item G.2). They are held in docs/thesis/data_entry/SYNTHETIC_copies_received/ with checksums so that they are recognised if they resurface; nothing in this thesis rests on them.</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only record in which consent and consultation fall on the same day;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signed election of 4 August 2026.</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