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a="http://schemas.openxmlformats.org/drawingml/2006/main" xmlns:mc="http://schemas.openxmlformats.org/markup-compatibility/2006"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Thesis Title</w:t>
      </w:r>
    </w:p>
    <w:p w14:paraId="3571915A" w14:textId="77777777" w:rsidR="0062437E" w:rsidRDefault="00000000">
      <w:pPr>
        <w:pStyle w:val="Title"/>
        <w:spacing w:after="440" w:before="240"/>
        <w:jc w:val="center"/>
      </w:pPr>
      <w:commentRangeStart w:id="0"/>
      <w:r>
        <w:rPr>
          <w:rFonts w:ascii="Times New Roman" w:hAnsi="Times New Roman"/>
          <w:b/>
          <w:i w:val="0"/>
          <w:color w:val="000000"/>
          <w:sz w:val="44"/>
        </w:rPr>
        <w:t>Gamification as Proactive Approach for Continuous Improvement and Innovation Enhancement</w:t>
      </w:r>
      <w:commentRangeEnd w:id="0"/>
      <w:r>
        <w:rPr>
          <w:rStyle w:val="CommentReference"/>
        </w:rPr>
        <w:commentReference w:id="0"/>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October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rPr>
          <w:color w:val="000000"/>
        </w:rPr>
        <w:lastRenderedPageBreak/>
        <w:t>Abstract</w:t>
      </w:r>
      <w:bookmarkEnd w:id="0"/>
    </w:p>
    <w:p w14:paraId="33F4A869" w14:textId="77777777" w:rsidR="0062437E" w:rsidRDefault="00000000">
      <w:pPr>
        <w:jc w:val="both"/>
      </w:pPr>
      <w:r>
        <w:t>This thesis examines how gamification can provide a proactive approach to continuous improvement and innovation enhancement when a promising health-technology intervention encounters difficulty. The setting is gamified Fall Risk Assessment (FRA) with older adults; the central problem is continued voluntary engagement after an adverse experience, not initial acceptance alone. A three-stage field programme examines this problem and develops a proposed adaptive-learning framework. Gamification supplies the participatory setting and feedback; adaptation is a candidate mechanism through which difficulty can inform the next interaction and the next design revision, without assuming that adaptation itself establishes improvement.</w:t>
      </w:r>
    </w:p>
    <w:p w14:paraId="4BEDA2C7" w14:textId="77777777" w:rsidR="0062437E" w:rsidRDefault="00000000">
      <w:pPr>
        <w:jc w:val="both"/>
      </w:pPr>
      <w:r>
        <w:t>Stage 1 surveyed 200 of 280 residents at a Guangzhou care facility and identified retrospective accounts of adverse first experiences followed by non-return (aggregate record; the response file is not archived). Stage 2 prospectively observed thirty residents using an AI-assisted skiing game in which the weight shifts that steered play were measured at the same time by the FRA footplate. Seventy per cent disengaged at or before three game cycles, and no subsequent re-engagement was recorded among these participants within the reported observation window. Some recorded scores improved despite non-return; this coexistence does not establish durable learning or clinical benefit. Stage 3 used a separate Hong Kong cohort of 120 adults and a decoupled browser game. Continued or resumed play was 93.3% overall and 85.4% in the 65–80 band among the 120 compiled participants (including dropouts who played again; the invitation denominator and return timing are not recoverable), with 15 of 23 initial dropouts classified as returning. These contrasts motivate a framing hypothesis, but changes in cohort, setting, delivery and input modality prevent causal isolation of clinical coupling.</w:t>
      </w:r>
    </w:p>
    <w:p w14:paraId="768A95F0" w14:textId="77777777" w:rsidR="0062437E" w:rsidRDefault="00000000">
      <w:pPr>
        <w:jc w:val="both"/>
      </w:pPr>
      <w:commentRangeStart w:id="1"/>
      <w:r>
        <w:rPr>
          <w:i w:val="0"/>
        </w:rPr>
        <w:t>The principal contribution is an evidence-informed engineering account of how a gamified service should respond when engagement does not improve as expected. Failure-Induced Abandonment Syndrome (FIAS) is proposed as a descriptive, non-diagnostic construct; its identity-related mechanisms and framing boundary remain hypotheses. Three design principles, developed from the contrast between the coupled and decoupled FRA deployments, connect the observations to an adaptive-learning framework: identity disentanglement, trajectory installation and adaptive calibration. The framework distinguishes a participant-support cycle from a system-improvement cycle. Credible progress requires comparable task conditions, explicit records of assistance and difficulty, preservation of setbacks, and separate reporting of participation, performance, learning and clinical outcomes. When redesign changes the task, the display must identify the change rather than manufacture a continuous improvement curve. The achieved contribution is problem clarification, iterative design learning and a testable specification. Sustained individual improvement, the effectiveness of the complete framework and clinically acceptable reattachment of assessment remain subjects for prospective evaluation. A pre-specified (repository-dated) Stage-3B component study, crossing adaptive support with static presentation and zero-failure with game-over modes, is documented descriptively in Appendix I and is not used to test the adaptive-learning proposition, which is carried forward as future study.</w:t>
      </w:r>
      <w:commentRangeEnd w:id="1"/>
    </w:p>
    <w:p w14:paraId="3DA71CBC" w14:textId="77777777" w:rsidR="0062437E" w:rsidRDefault="00000000">
      <w:pPr>
        <w:jc w:val="both"/>
      </w:pPr>
      <w:r>
        <w:t>Keywords: gamification; continuous improvement; innovation enhancement; older adults; fall risk assessment; failure-induced abandonment; adaptive learning; engagement; design evaluation.</w:t>
      </w:r>
    </w:p>
    <w:p w14:paraId="1AD68D3A" w14:textId="77777777" w:rsidR="0062437E" w:rsidRDefault="00000000">
      <w:pPr>
        <w:pStyle w:val="Heading1"/>
        <w:pageBreakBefore/>
      </w:pPr>
      <w:r>
        <w:rPr>
          <w:color w:val="000000"/>
        </w:rPr>
        <w:t>Publications and Outputs Arising from the Programme</w:t>
      </w:r>
    </w:p>
    <w:p w14:paraId="33F4A869" w14:textId="77777777" w:rsidR="0062437E" w:rsidRDefault="00000000">
      <w:pPr>
        <w:jc w:val="both"/>
      </w:pPr>
      <w:r>
        <w:t>The following outputs arise from the programme reported in this thesis. The thesis is the primary account; each manuscript is cited as a companion record, and no result is reported in the thesis that is not also traceable to the records listed in Appendix G.</w:t>
      </w:r>
    </w:p>
    <w:p w14:paraId="33F4A869" w14:textId="77777777" w:rsidR="0062437E" w:rsidRDefault="00000000">
      <w:pPr>
        <w:jc w:val="both"/>
      </w:pPr>
      <w:r>
        <w:t>1. Tam, S. K. T., &amp; Cheung, C. F. (2026). Investigating low utilisation of Fall Risk Assessment among elderly users: A critical review through TAM and Octalysis frameworks with gamification approach. Paper SS-293, accepted and presented at the 10th International Conference on Management Engineering, Software Engineering and Service Sciences (ICMSS 2026), Wuhan, China, 20–22 March 2026; proceedings via Conference Publishing Services, submitted to IEEE Xplore. Basis of Chapter 4 (Stage 1). Candidate's contribution: conception, survey design and administration arrangements, analysis and drafting; the co-author supervised the study and reviewed the manuscript.</w:t>
      </w:r>
    </w:p>
    <w:p w14:paraId="33F4A869" w14:textId="77777777" w:rsidR="0062437E" w:rsidRDefault="00000000">
      <w:pPr>
        <w:jc w:val="both"/>
      </w:pPr>
      <w:r>
        <w:t>2. Tam, S. K. T., &amp; Cheung, C. F. (under review). Gamification as a Proactive Approach: A Study of Elderly Failure-Induced Abandonment in Gamified Fall Risk Assessment. Journal of Information and Knowledge Management, manuscript JIKMS2602466, submitted 9 September 2026. Companion to Chapter 5 (Stage 2). Candidate's contribution: conception, game design and deployment, data compilation, analysis and drafting; the co-author supervised the study and reviewed the manuscript. The manuscript's title retains the word 'elderly'; the thesis uses 'older adults' for the same populations.</w:t>
      </w:r>
    </w:p>
    <w:p w14:paraId="33F4A869" w14:textId="77777777" w:rsidR="0062437E" w:rsidRDefault="00000000">
      <w:pPr>
        <w:jc w:val="both"/>
      </w:pPr>
      <w:r>
        <w:t>3. Tam, S. K. T., &amp; Cheung, C. F. (in preparation). Stage-3A decoupling study manuscript, prepared in JMIR format (working revision R20, 2 October 2026); not submitted, and subject to the supervisor's approval. Companion to Chapter 6. Candidate's contribution: conception, build, distribution arrangements, compilation, analysis and drafting.</w:t>
      </w:r>
    </w:p>
    <w:p w14:paraId="33F4A869" w14:textId="77777777" w:rsidR="0062437E" w:rsidRDefault="00000000">
      <w:pPr>
        <w:jc w:val="both"/>
      </w:pPr>
      <w:r>
        <w:t>The Stage-3B component study (Appendix I) and the expert consultations (Appendix H) are internal records of the programme and are not listed as outputs.</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rPr>
          <w:color w:val="000000"/>
        </w:rP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twenty distributors and the Hong Kong networks and groups through which Stage 3 was recruited,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and Professor Willoughby, whose 2024 study with my supervisor, Professor Cheung,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rPr>
          <w:color w:val="000000"/>
        </w:rPr>
        <w:lastRenderedPageBreak/>
        <w:t>Table of Contents</w:t>
      </w:r>
      <w:bookmarkEnd w:id="2"/>
    </w:p>
    <w:p>
      <w:pPr>
        <w:pStyle w:val="TOC1"/>
        <w:keepNext w:val="0"/>
        <w:keepLines/>
        <w:tabs>
          <w:tab w:pos="8496" w:val="right" w:leader="dot"/>
        </w:tabs>
        <w:spacing w:before="0" w:after="80" w:line="276" w:lineRule="auto"/>
        <w:ind w:right="374"/>
      </w:pPr>
      <w:r>
        <w:rPr>
          <w:rFonts w:ascii="Times New Roman" w:hAnsi="Times New Roman"/>
          <w:sz w:val="22"/>
        </w:rPr>
        <w:t>Abstract</w:t>
        <w:tab/>
        <w:t>iii</w:t>
      </w:r>
    </w:p>
    <w:p>
      <w:pPr>
        <w:pStyle w:val="TOC1"/>
        <w:keepNext w:val="0"/>
        <w:keepLines/>
        <w:tabs>
          <w:tab w:pos="8496" w:val="right" w:leader="dot"/>
        </w:tabs>
        <w:spacing w:before="0" w:after="80" w:line="276" w:lineRule="auto"/>
        <w:ind w:right="374"/>
      </w:pPr>
      <w:r>
        <w:rPr>
          <w:rFonts w:ascii="Times New Roman" w:hAnsi="Times New Roman"/>
          <w:sz w:val="22"/>
        </w:rPr>
        <w:t>Publications and Outputs Arising from the Programme</w:t>
        <w:tab/>
        <w:t>v</w:t>
      </w:r>
    </w:p>
    <w:p>
      <w:pPr>
        <w:pStyle w:val="TOC1"/>
        <w:keepNext w:val="0"/>
        <w:keepLines/>
        <w:tabs>
          <w:tab w:pos="8496" w:val="right" w:leader="dot"/>
        </w:tabs>
        <w:spacing w:before="0" w:after="80" w:line="276" w:lineRule="auto"/>
        <w:ind w:right="374"/>
      </w:pPr>
      <w:r>
        <w:rPr>
          <w:rFonts w:ascii="Times New Roman" w:hAnsi="Times New Roman"/>
          <w:sz w:val="22"/>
        </w:rPr>
        <w:t>Acknowledgements</w:t>
        <w:tab/>
        <w:t>vi</w:t>
      </w:r>
    </w:p>
    <w:p>
      <w:pPr>
        <w:pStyle w:val="TOC1"/>
        <w:keepNext w:val="0"/>
        <w:keepLines/>
        <w:tabs>
          <w:tab w:pos="8496" w:val="right" w:leader="dot"/>
        </w:tabs>
        <w:spacing w:before="0" w:after="80" w:line="276" w:lineRule="auto"/>
        <w:ind w:right="374"/>
      </w:pPr>
      <w:r>
        <w:rPr>
          <w:rFonts w:ascii="Times New Roman" w:hAnsi="Times New Roman"/>
          <w:sz w:val="22"/>
        </w:rPr>
        <w:t>List of Figures</w:t>
        <w:tab/>
        <w:t>291</w:t>
      </w:r>
    </w:p>
    <w:p>
      <w:pPr>
        <w:pStyle w:val="TOC1"/>
        <w:keepNext w:val="0"/>
        <w:keepLines/>
        <w:tabs>
          <w:tab w:pos="8496" w:val="right" w:leader="dot"/>
        </w:tabs>
        <w:spacing w:before="0" w:after="80" w:line="276" w:lineRule="auto"/>
        <w:ind w:right="374"/>
      </w:pPr>
      <w:r>
        <w:rPr>
          <w:rFonts w:ascii="Times New Roman" w:hAnsi="Times New Roman"/>
          <w:sz w:val="22"/>
        </w:rPr>
        <w:t>List of Tables</w:t>
        <w:tab/>
        <w:t>291</w:t>
      </w:r>
    </w:p>
    <w:p>
      <w:pPr>
        <w:pStyle w:val="TOC1"/>
        <w:keepNext w:val="0"/>
        <w:keepLines/>
        <w:tabs>
          <w:tab w:pos="8496" w:val="right" w:leader="dot"/>
        </w:tabs>
        <w:spacing w:before="0" w:after="80" w:line="276" w:lineRule="auto"/>
        <w:ind w:right="374"/>
      </w:pPr>
      <w:r>
        <w:rPr>
          <w:rFonts w:ascii="Times New Roman" w:hAnsi="Times New Roman"/>
          <w:sz w:val="22"/>
        </w:rPr>
        <w:t>List of Abbreviations</w:t>
        <w:tab/>
        <w:t>xv</w:t>
      </w:r>
    </w:p>
    <w:p>
      <w:pPr>
        <w:pStyle w:val="TOC1"/>
        <w:keepNext w:val="0"/>
        <w:keepLines/>
        <w:tabs>
          <w:tab w:pos="8496" w:val="right" w:leader="dot"/>
        </w:tabs>
        <w:spacing w:before="0" w:after="80" w:line="276" w:lineRule="auto"/>
        <w:ind w:right="374"/>
      </w:pPr>
      <w:r>
        <w:rPr>
          <w:rFonts w:ascii="Times New Roman" w:hAnsi="Times New Roman"/>
          <w:sz w:val="22"/>
        </w:rPr>
        <w:t>Chapter 1 Introduction</w:t>
        <w:tab/>
        <w:t>1</w:t>
      </w:r>
    </w:p>
    <w:p>
      <w:pPr>
        <w:pStyle w:val="TOC2"/>
        <w:keepNext w:val="0"/>
        <w:keepLines/>
        <w:tabs>
          <w:tab w:pos="8496" w:val="right" w:leader="dot"/>
        </w:tabs>
        <w:spacing w:before="0" w:after="80" w:line="276" w:lineRule="auto"/>
        <w:ind w:right="374"/>
      </w:pPr>
      <w:r>
        <w:rPr>
          <w:rFonts w:ascii="Times New Roman" w:hAnsi="Times New Roman"/>
          <w:sz w:val="22"/>
        </w:rPr>
        <w:t>1.1 The Point of Departure: An Empty Station in a Busy Hall</w:t>
        <w:tab/>
        <w:t>1</w:t>
      </w:r>
    </w:p>
    <w:p>
      <w:pPr>
        <w:pStyle w:val="TOC2"/>
        <w:keepNext w:val="0"/>
        <w:keepLines/>
        <w:tabs>
          <w:tab w:pos="8496" w:val="right" w:leader="dot"/>
        </w:tabs>
        <w:spacing w:before="0" w:after="80" w:line="276" w:lineRule="auto"/>
        <w:ind w:right="374"/>
      </w:pPr>
      <w:r>
        <w:rPr>
          <w:rFonts w:ascii="Times New Roman" w:hAnsi="Times New Roman"/>
          <w:sz w:val="22"/>
        </w:rPr>
        <w:t>1.2 The Empty Station as a Service-Design Problem</w:t>
        <w:tab/>
        <w:t>3</w:t>
      </w:r>
    </w:p>
    <w:p>
      <w:pPr>
        <w:pStyle w:val="TOC2"/>
        <w:keepNext w:val="0"/>
        <w:keepLines/>
        <w:tabs>
          <w:tab w:pos="8496" w:val="right" w:leader="dot"/>
        </w:tabs>
        <w:spacing w:before="0" w:after="80" w:line="276" w:lineRule="auto"/>
        <w:ind w:right="374"/>
      </w:pPr>
      <w:r>
        <w:rPr>
          <w:rFonts w:ascii="Times New Roman" w:hAnsi="Times New Roman"/>
          <w:sz w:val="22"/>
        </w:rPr>
        <w:t>1.3 The Demographic Backdrop</w:t>
        <w:tab/>
        <w:t>3</w:t>
      </w:r>
    </w:p>
    <w:p>
      <w:pPr>
        <w:pStyle w:val="TOC2"/>
        <w:keepNext w:val="0"/>
        <w:keepLines/>
        <w:tabs>
          <w:tab w:pos="8496" w:val="right" w:leader="dot"/>
        </w:tabs>
        <w:spacing w:before="0" w:after="80" w:line="276" w:lineRule="auto"/>
        <w:ind w:right="374"/>
      </w:pPr>
      <w:r>
        <w:rPr>
          <w:rFonts w:ascii="Times New Roman" w:hAnsi="Times New Roman"/>
          <w:sz w:val="22"/>
        </w:rPr>
        <w:t>1.4 Falls, the Cascade, and the Fall Risk Assessment Technology</w:t>
        <w:tab/>
        <w:t>4</w:t>
      </w:r>
    </w:p>
    <w:p>
      <w:pPr>
        <w:pStyle w:val="TOC2"/>
        <w:keepNext w:val="0"/>
        <w:keepLines/>
        <w:tabs>
          <w:tab w:pos="8496" w:val="right" w:leader="dot"/>
        </w:tabs>
        <w:spacing w:before="0" w:after="80" w:line="276" w:lineRule="auto"/>
        <w:ind w:right="374"/>
      </w:pPr>
      <w:r>
        <w:rPr>
          <w:rFonts w:ascii="Times New Roman" w:hAnsi="Times New Roman"/>
          <w:sz w:val="22"/>
        </w:rPr>
        <w:t>1.5 The Working Hypothesis Formed Before the Research Began</w:t>
        <w:tab/>
        <w:t>5</w:t>
      </w:r>
    </w:p>
    <w:p>
      <w:pPr>
        <w:pStyle w:val="TOC2"/>
        <w:keepNext w:val="0"/>
        <w:keepLines/>
        <w:tabs>
          <w:tab w:pos="8496" w:val="right" w:leader="dot"/>
        </w:tabs>
        <w:spacing w:before="0" w:after="80" w:line="276" w:lineRule="auto"/>
        <w:ind w:right="374"/>
      </w:pPr>
      <w:r>
        <w:rPr>
          <w:rFonts w:ascii="Times New Roman" w:hAnsi="Times New Roman"/>
          <w:sz w:val="22"/>
        </w:rPr>
        <w:t>1.6 The Initial Survey: Building the Foundation of the Programme</w:t>
        <w:tab/>
        <w:t>5</w:t>
      </w:r>
    </w:p>
    <w:p>
      <w:pPr>
        <w:pStyle w:val="TOC2"/>
        <w:keepNext w:val="0"/>
        <w:keepLines/>
        <w:tabs>
          <w:tab w:pos="8496" w:val="right" w:leader="dot"/>
        </w:tabs>
        <w:spacing w:before="0" w:after="80" w:line="276" w:lineRule="auto"/>
        <w:ind w:right="374"/>
      </w:pPr>
      <w:r>
        <w:rPr>
          <w:rFonts w:ascii="Times New Roman" w:hAnsi="Times New Roman"/>
          <w:sz w:val="22"/>
        </w:rPr>
        <w:t>1.7 Stage Two and the Score-Improvement/Non-Return Question</w:t>
        <w:tab/>
        <w:t>6</w:t>
      </w:r>
    </w:p>
    <w:p>
      <w:pPr>
        <w:pStyle w:val="TOC2"/>
        <w:keepNext w:val="0"/>
        <w:keepLines/>
        <w:tabs>
          <w:tab w:pos="8496" w:val="right" w:leader="dot"/>
        </w:tabs>
        <w:spacing w:before="0" w:after="80" w:line="276" w:lineRule="auto"/>
        <w:ind w:right="374"/>
      </w:pPr>
      <w:r>
        <w:rPr>
          <w:rFonts w:ascii="Times New Roman" w:hAnsi="Times New Roman"/>
          <w:sz w:val="22"/>
        </w:rPr>
        <w:t>1.8 The Learn-to-Earn Philosophy: A Thread Running Through the Journey</w:t>
        <w:tab/>
        <w:t>7</w:t>
      </w:r>
    </w:p>
    <w:p>
      <w:pPr>
        <w:pStyle w:val="TOC2"/>
        <w:keepNext w:val="0"/>
        <w:keepLines/>
        <w:tabs>
          <w:tab w:pos="8496" w:val="right" w:leader="dot"/>
        </w:tabs>
        <w:spacing w:before="0" w:after="80" w:line="276" w:lineRule="auto"/>
        <w:ind w:right="374"/>
      </w:pPr>
      <w:r>
        <w:rPr>
          <w:rFonts w:ascii="Times New Roman" w:hAnsi="Times New Roman"/>
          <w:sz w:val="22"/>
        </w:rPr>
        <w:t>1.9 The Decoupling Test and the Closure of the Empirical Arc</w:t>
        <w:tab/>
        <w:t>8</w:t>
      </w:r>
    </w:p>
    <w:p>
      <w:pPr>
        <w:pStyle w:val="TOC2"/>
        <w:keepNext w:val="0"/>
        <w:keepLines/>
        <w:tabs>
          <w:tab w:pos="8496" w:val="right" w:leader="dot"/>
        </w:tabs>
        <w:spacing w:before="0" w:after="80" w:line="276" w:lineRule="auto"/>
        <w:ind w:right="374"/>
      </w:pPr>
      <w:r>
        <w:rPr>
          <w:rFonts w:ascii="Times New Roman" w:hAnsi="Times New Roman"/>
          <w:sz w:val="22"/>
        </w:rPr>
        <w:t>1.10 The Researcher's Position</w:t>
        <w:tab/>
        <w:t>9</w:t>
      </w:r>
    </w:p>
    <w:p>
      <w:pPr>
        <w:pStyle w:val="TOC2"/>
        <w:keepNext w:val="0"/>
        <w:keepLines/>
        <w:tabs>
          <w:tab w:pos="8496" w:val="right" w:leader="dot"/>
        </w:tabs>
        <w:spacing w:before="0" w:after="80" w:line="276" w:lineRule="auto"/>
        <w:ind w:right="374"/>
      </w:pPr>
      <w:r>
        <w:rPr>
          <w:rFonts w:ascii="Times New Roman" w:hAnsi="Times New Roman"/>
          <w:sz w:val="22"/>
        </w:rPr>
        <w:t>1.11 Aim and Research Questions</w:t>
        <w:tab/>
        <w:t>10</w:t>
      </w:r>
    </w:p>
    <w:p>
      <w:pPr>
        <w:pStyle w:val="TOC2"/>
        <w:keepNext w:val="0"/>
        <w:keepLines/>
        <w:tabs>
          <w:tab w:pos="8496" w:val="right" w:leader="dot"/>
        </w:tabs>
        <w:spacing w:before="0" w:after="80" w:line="276" w:lineRule="auto"/>
        <w:ind w:right="374"/>
      </w:pPr>
      <w:r>
        <w:rPr>
          <w:rFonts w:ascii="Times New Roman" w:hAnsi="Times New Roman"/>
          <w:sz w:val="22"/>
        </w:rPr>
        <w:t>1.12 Original Contributions</w:t>
        <w:tab/>
        <w:t>11</w:t>
      </w:r>
    </w:p>
    <w:p>
      <w:pPr>
        <w:pStyle w:val="TOC2"/>
        <w:keepNext w:val="0"/>
        <w:keepLines/>
        <w:tabs>
          <w:tab w:pos="8496" w:val="right" w:leader="dot"/>
        </w:tabs>
        <w:spacing w:before="0" w:after="80" w:line="276" w:lineRule="auto"/>
        <w:ind w:right="374"/>
      </w:pPr>
      <w:r>
        <w:rPr>
          <w:rFonts w:ascii="Times New Roman" w:hAnsi="Times New Roman"/>
          <w:sz w:val="22"/>
        </w:rPr>
        <w:t>1.13 Scope, Boundaries, and What This Thesis Does Not Claim</w:t>
        <w:tab/>
        <w:t>12</w:t>
      </w:r>
    </w:p>
    <w:p>
      <w:pPr>
        <w:pStyle w:val="TOC2"/>
        <w:keepNext w:val="0"/>
        <w:keepLines/>
        <w:tabs>
          <w:tab w:pos="8496" w:val="right" w:leader="dot"/>
        </w:tabs>
        <w:spacing w:before="0" w:after="80" w:line="276" w:lineRule="auto"/>
        <w:ind w:right="374"/>
      </w:pPr>
      <w:r>
        <w:rPr>
          <w:rFonts w:ascii="Times New Roman" w:hAnsi="Times New Roman"/>
          <w:sz w:val="22"/>
        </w:rPr>
        <w:t>1.14 Structure of the Thesis</w:t>
        <w:tab/>
        <w:t>13</w:t>
      </w:r>
    </w:p>
    <w:p>
      <w:pPr>
        <w:pStyle w:val="TOC1"/>
        <w:keepNext w:val="0"/>
        <w:keepLines/>
        <w:tabs>
          <w:tab w:pos="8496" w:val="right" w:leader="dot"/>
        </w:tabs>
        <w:spacing w:before="0" w:after="80" w:line="276" w:lineRule="auto"/>
        <w:ind w:right="374"/>
      </w:pPr>
      <w:r>
        <w:rPr>
          <w:rFonts w:ascii="Times New Roman" w:hAnsi="Times New Roman"/>
          <w:sz w:val="22"/>
        </w:rPr>
        <w:t>Chapter 2 Literature Review and Theoretical Foundation</w:t>
        <w:tab/>
        <w:t>14</w:t>
      </w:r>
    </w:p>
    <w:p>
      <w:pPr>
        <w:pStyle w:val="TOC2"/>
        <w:keepNext w:val="0"/>
        <w:keepLines/>
        <w:tabs>
          <w:tab w:pos="8496" w:val="right" w:leader="dot"/>
        </w:tabs>
        <w:spacing w:before="0" w:after="80" w:line="276" w:lineRule="auto"/>
        <w:ind w:right="374"/>
      </w:pPr>
      <w:r>
        <w:rPr>
          <w:rFonts w:ascii="Times New Roman" w:hAnsi="Times New Roman"/>
          <w:sz w:val="22"/>
        </w:rPr>
        <w:t>2.1 The Transformative Logic of the Literature Review</w:t>
        <w:tab/>
        <w:t>14</w:t>
      </w:r>
    </w:p>
    <w:p>
      <w:pPr>
        <w:pStyle w:val="TOC2"/>
        <w:keepNext w:val="0"/>
        <w:keepLines/>
        <w:tabs>
          <w:tab w:pos="8496" w:val="right" w:leader="dot"/>
        </w:tabs>
        <w:spacing w:before="0" w:after="80" w:line="276" w:lineRule="auto"/>
        <w:ind w:right="374"/>
      </w:pPr>
      <w:r>
        <w:rPr>
          <w:rFonts w:ascii="Times New Roman" w:hAnsi="Times New Roman"/>
          <w:sz w:val="22"/>
        </w:rPr>
        <w:t>2.2 Stage One: The Technology Acceptance Lineage</w:t>
        <w:tab/>
        <w:t>15</w:t>
      </w:r>
    </w:p>
    <w:p>
      <w:pPr>
        <w:pStyle w:val="TOC3"/>
        <w:keepNext w:val="0"/>
        <w:keepLines/>
        <w:tabs>
          <w:tab w:pos="8496" w:val="right" w:leader="dot"/>
        </w:tabs>
        <w:spacing w:before="0" w:after="80" w:line="276" w:lineRule="auto"/>
        <w:ind w:right="374"/>
      </w:pPr>
      <w:r>
        <w:rPr>
          <w:rFonts w:ascii="Times New Roman" w:hAnsi="Times New Roman"/>
          <w:sz w:val="22"/>
        </w:rPr>
        <w:t>2.2.1 TAM and the Two-Construct Core</w:t>
        <w:tab/>
        <w:t>15</w:t>
      </w:r>
    </w:p>
    <w:p>
      <w:pPr>
        <w:pStyle w:val="TOC3"/>
        <w:keepNext w:val="0"/>
        <w:keepLines/>
        <w:tabs>
          <w:tab w:pos="8496" w:val="right" w:leader="dot"/>
        </w:tabs>
        <w:spacing w:before="0" w:after="80" w:line="276" w:lineRule="auto"/>
        <w:ind w:right="374"/>
      </w:pPr>
      <w:r>
        <w:rPr>
          <w:rFonts w:ascii="Times New Roman" w:hAnsi="Times New Roman"/>
          <w:sz w:val="22"/>
        </w:rPr>
        <w:t>2.2.2 TAM2, TAM3 and UTAUT</w:t>
        <w:tab/>
        <w:t>15</w:t>
      </w:r>
    </w:p>
    <w:p>
      <w:pPr>
        <w:pStyle w:val="TOC3"/>
        <w:keepNext w:val="0"/>
        <w:keepLines/>
        <w:tabs>
          <w:tab w:pos="8496" w:val="right" w:leader="dot"/>
        </w:tabs>
        <w:spacing w:before="0" w:after="80" w:line="276" w:lineRule="auto"/>
        <w:ind w:right="374"/>
      </w:pPr>
      <w:r>
        <w:rPr>
          <w:rFonts w:ascii="Times New Roman" w:hAnsi="Times New Roman"/>
          <w:sz w:val="22"/>
        </w:rPr>
        <w:t>2.2.3 The Senior Technology Acceptance Model (STAM)</w:t>
        <w:tab/>
        <w:t>16</w:t>
      </w:r>
    </w:p>
    <w:p>
      <w:pPr>
        <w:pStyle w:val="TOC2"/>
        <w:keepNext w:val="0"/>
        <w:keepLines/>
        <w:tabs>
          <w:tab w:pos="8496" w:val="right" w:leader="dot"/>
        </w:tabs>
        <w:spacing w:before="0" w:after="80" w:line="276" w:lineRule="auto"/>
        <w:ind w:right="374"/>
      </w:pPr>
      <w:r>
        <w:rPr>
          <w:rFonts w:ascii="Times New Roman" w:hAnsi="Times New Roman"/>
          <w:sz w:val="22"/>
        </w:rPr>
        <w:t>2.3 Stage Two: Gamification, Octalysis and the An–Cheung Demonstration</w:t>
        <w:tab/>
        <w:t>16</w:t>
      </w:r>
    </w:p>
    <w:p>
      <w:pPr>
        <w:pStyle w:val="TOC3"/>
        <w:keepNext w:val="0"/>
        <w:keepLines/>
        <w:tabs>
          <w:tab w:pos="8496" w:val="right" w:leader="dot"/>
        </w:tabs>
        <w:spacing w:before="0" w:after="80" w:line="276" w:lineRule="auto"/>
        <w:ind w:right="374"/>
      </w:pPr>
      <w:r>
        <w:rPr>
          <w:rFonts w:ascii="Times New Roman" w:hAnsi="Times New Roman"/>
          <w:sz w:val="22"/>
        </w:rPr>
        <w:t>2.3.1 Defining Gamification</w:t>
        <w:tab/>
        <w:t>16</w:t>
      </w:r>
    </w:p>
    <w:p>
      <w:pPr>
        <w:pStyle w:val="TOC3"/>
        <w:keepNext w:val="0"/>
        <w:keepLines/>
        <w:tabs>
          <w:tab w:pos="8496" w:val="right" w:leader="dot"/>
        </w:tabs>
        <w:spacing w:before="0" w:after="80" w:line="276" w:lineRule="auto"/>
        <w:ind w:right="374"/>
      </w:pPr>
      <w:r>
        <w:rPr>
          <w:rFonts w:ascii="Times New Roman" w:hAnsi="Times New Roman"/>
          <w:sz w:val="22"/>
        </w:rPr>
        <w:t>2.3.2 The Octalysis Framework</w:t>
        <w:tab/>
        <w:t>17</w:t>
      </w:r>
    </w:p>
    <w:p>
      <w:pPr>
        <w:pStyle w:val="TOC3"/>
        <w:keepNext w:val="0"/>
        <w:keepLines/>
        <w:tabs>
          <w:tab w:pos="8496" w:val="right" w:leader="dot"/>
        </w:tabs>
        <w:spacing w:before="0" w:after="80" w:line="276" w:lineRule="auto"/>
        <w:ind w:right="374"/>
      </w:pPr>
      <w:r>
        <w:rPr>
          <w:rFonts w:ascii="Times New Roman" w:hAnsi="Times New Roman"/>
          <w:sz w:val="22"/>
        </w:rPr>
        <w:t>2.3.3 An, Cheung and Willoughby (2024): Evidence for Gamified Technology Learning with Older Adults</w:t>
        <w:tab/>
        <w:t>17</w:t>
      </w:r>
    </w:p>
    <w:p>
      <w:pPr>
        <w:pStyle w:val="TOC3"/>
        <w:keepNext w:val="0"/>
        <w:keepLines/>
        <w:tabs>
          <w:tab w:pos="8496" w:val="right" w:leader="dot"/>
        </w:tabs>
        <w:spacing w:before="0" w:after="80" w:line="276" w:lineRule="auto"/>
        <w:ind w:right="374"/>
      </w:pPr>
      <w:r>
        <w:rPr>
          <w:rFonts w:ascii="Times New Roman" w:hAnsi="Times New Roman"/>
          <w:sz w:val="22"/>
        </w:rPr>
        <w:t>2.3.4 The Boundary: When the Technology is Attached to FRA</w:t>
        <w:tab/>
        <w:t>18</w:t>
      </w:r>
    </w:p>
    <w:p>
      <w:pPr>
        <w:pStyle w:val="TOC3"/>
        <w:keepNext w:val="0"/>
        <w:keepLines/>
        <w:tabs>
          <w:tab w:pos="8496" w:val="right" w:leader="dot"/>
        </w:tabs>
        <w:spacing w:before="0" w:after="80" w:line="276" w:lineRule="auto"/>
        <w:ind w:right="374"/>
      </w:pPr>
      <w:r>
        <w:rPr>
          <w:rFonts w:ascii="Times New Roman" w:hAnsi="Times New Roman"/>
          <w:sz w:val="22"/>
        </w:rPr>
        <w:t>2.3.5 The Initial Design Expectation from Stages One and Two</w:t>
        <w:tab/>
        <w:t>18</w:t>
      </w:r>
    </w:p>
    <w:p>
      <w:pPr>
        <w:pStyle w:val="TOC2"/>
        <w:keepNext w:val="0"/>
        <w:keepLines/>
        <w:tabs>
          <w:tab w:pos="8496" w:val="right" w:leader="dot"/>
        </w:tabs>
        <w:spacing w:before="0" w:after="80" w:line="276" w:lineRule="auto"/>
        <w:ind w:right="374"/>
      </w:pPr>
      <w:r>
        <w:rPr>
          <w:rFonts w:ascii="Times New Roman" w:hAnsi="Times New Roman"/>
          <w:sz w:val="22"/>
        </w:rPr>
        <w:t>2.4 Stage Three: Self-Efficacy as the First Diagnostic Layer</w:t>
        <w:tab/>
        <w:t>19</w:t>
      </w:r>
    </w:p>
    <w:p>
      <w:pPr>
        <w:pStyle w:val="TOC3"/>
        <w:keepNext w:val="0"/>
        <w:keepLines/>
        <w:tabs>
          <w:tab w:pos="8496" w:val="right" w:leader="dot"/>
        </w:tabs>
        <w:spacing w:before="0" w:after="80" w:line="276" w:lineRule="auto"/>
        <w:ind w:right="374"/>
      </w:pPr>
      <w:r>
        <w:rPr>
          <w:rFonts w:ascii="Times New Roman" w:hAnsi="Times New Roman"/>
          <w:sz w:val="22"/>
        </w:rPr>
        <w:t>2.4.1 Bandura's Self-Efficacy</w:t>
        <w:tab/>
        <w:t>19</w:t>
      </w:r>
    </w:p>
    <w:p>
      <w:pPr>
        <w:pStyle w:val="TOC3"/>
        <w:keepNext w:val="0"/>
        <w:keepLines/>
        <w:tabs>
          <w:tab w:pos="8496" w:val="right" w:leader="dot"/>
        </w:tabs>
        <w:spacing w:before="0" w:after="80" w:line="276" w:lineRule="auto"/>
        <w:ind w:right="374"/>
      </w:pPr>
      <w:r>
        <w:rPr>
          <w:rFonts w:ascii="Times New Roman" w:hAnsi="Times New Roman"/>
          <w:sz w:val="22"/>
        </w:rPr>
        <w:t>2.4.2 Computer Self-Efficacy Among Older Adults</w:t>
        <w:tab/>
        <w:t>20</w:t>
      </w:r>
    </w:p>
    <w:p>
      <w:pPr>
        <w:pStyle w:val="TOC3"/>
        <w:keepNext w:val="0"/>
        <w:keepLines/>
        <w:tabs>
          <w:tab w:pos="8496" w:val="right" w:leader="dot"/>
        </w:tabs>
        <w:spacing w:before="0" w:after="80" w:line="276" w:lineRule="auto"/>
        <w:ind w:right="374"/>
      </w:pPr>
      <w:r>
        <w:rPr>
          <w:rFonts w:ascii="Times New Roman" w:hAnsi="Times New Roman"/>
          <w:sz w:val="22"/>
        </w:rPr>
        <w:t>2.4.3 Technology Anxiety and Perceived Acceptance</w:t>
        <w:tab/>
        <w:t>20</w:t>
      </w:r>
    </w:p>
    <w:p>
      <w:pPr>
        <w:pStyle w:val="TOC3"/>
        <w:keepNext w:val="0"/>
        <w:keepLines/>
        <w:tabs>
          <w:tab w:pos="8496" w:val="right" w:leader="dot"/>
        </w:tabs>
        <w:spacing w:before="0" w:after="80" w:line="276" w:lineRule="auto"/>
        <w:ind w:right="374"/>
      </w:pPr>
      <w:r>
        <w:rPr>
          <w:rFonts w:ascii="Times New Roman" w:hAnsi="Times New Roman"/>
          <w:sz w:val="22"/>
        </w:rPr>
        <w:t>2.4.4 What Self-Efficacy Explains and What It Does Not</w:t>
        <w:tab/>
        <w:t>20</w:t>
      </w:r>
    </w:p>
    <w:p>
      <w:pPr>
        <w:pStyle w:val="TOC2"/>
        <w:keepNext w:val="0"/>
        <w:keepLines/>
        <w:tabs>
          <w:tab w:pos="8496" w:val="right" w:leader="dot"/>
        </w:tabs>
        <w:spacing w:before="0" w:after="80" w:line="276" w:lineRule="auto"/>
        <w:ind w:right="374"/>
      </w:pPr>
      <w:r>
        <w:rPr>
          <w:rFonts w:ascii="Times New Roman" w:hAnsi="Times New Roman"/>
          <w:sz w:val="22"/>
        </w:rPr>
        <w:t>2.5 Stage Four: Behavioural Science as a Candidate Account of Failure-Associated Non-Return</w:t>
        <w:tab/>
        <w:t>21</w:t>
      </w:r>
    </w:p>
    <w:p>
      <w:pPr>
        <w:pStyle w:val="TOC3"/>
        <w:keepNext w:val="0"/>
        <w:keepLines/>
        <w:tabs>
          <w:tab w:pos="8496" w:val="right" w:leader="dot"/>
        </w:tabs>
        <w:spacing w:before="0" w:after="80" w:line="276" w:lineRule="auto"/>
        <w:ind w:right="374"/>
      </w:pPr>
      <w:r>
        <w:rPr>
          <w:rFonts w:ascii="Times New Roman" w:hAnsi="Times New Roman"/>
          <w:sz w:val="22"/>
        </w:rPr>
        <w:t>2.5.1 Why an Additional Appraisal Account Is Considered</w:t>
        <w:tab/>
        <w:t>21</w:t>
      </w:r>
    </w:p>
    <w:p>
      <w:pPr>
        <w:pStyle w:val="TOC3"/>
        <w:keepNext w:val="0"/>
        <w:keepLines/>
        <w:tabs>
          <w:tab w:pos="8496" w:val="right" w:leader="dot"/>
        </w:tabs>
        <w:spacing w:before="0" w:after="80" w:line="276" w:lineRule="auto"/>
        <w:ind w:right="374"/>
      </w:pPr>
      <w:r>
        <w:rPr>
          <w:rFonts w:ascii="Times New Roman" w:hAnsi="Times New Roman"/>
          <w:sz w:val="22"/>
        </w:rPr>
        <w:t>2.5.2 Prospect Theory and Loss Aversion</w:t>
        <w:tab/>
        <w:t>22</w:t>
      </w:r>
    </w:p>
    <w:p>
      <w:pPr>
        <w:pStyle w:val="TOC3"/>
        <w:keepNext w:val="0"/>
        <w:keepLines/>
        <w:tabs>
          <w:tab w:pos="8496" w:val="right" w:leader="dot"/>
        </w:tabs>
        <w:spacing w:before="0" w:after="80" w:line="276" w:lineRule="auto"/>
        <w:ind w:right="374"/>
      </w:pPr>
      <w:r>
        <w:rPr>
          <w:rFonts w:ascii="Times New Roman" w:hAnsi="Times New Roman"/>
          <w:sz w:val="22"/>
        </w:rPr>
        <w:t>2.5.3 The Endowment Effect on Identity-Level Assets</w:t>
        <w:tab/>
        <w:t>23</w:t>
      </w:r>
    </w:p>
    <w:p>
      <w:pPr>
        <w:pStyle w:val="TOC3"/>
        <w:keepNext w:val="0"/>
        <w:keepLines/>
        <w:tabs>
          <w:tab w:pos="8496" w:val="right" w:leader="dot"/>
        </w:tabs>
        <w:spacing w:before="0" w:after="80" w:line="276" w:lineRule="auto"/>
        <w:ind w:right="374"/>
      </w:pPr>
      <w:r>
        <w:rPr>
          <w:rFonts w:ascii="Times New Roman" w:hAnsi="Times New Roman"/>
          <w:sz w:val="22"/>
        </w:rPr>
        <w:t>2.5.4 Mental Accounting of Health Outcomes</w:t>
        <w:tab/>
        <w:t>23</w:t>
      </w:r>
    </w:p>
    <w:p>
      <w:pPr>
        <w:pStyle w:val="TOC3"/>
        <w:keepNext w:val="0"/>
        <w:keepLines/>
        <w:tabs>
          <w:tab w:pos="8496" w:val="right" w:leader="dot"/>
        </w:tabs>
        <w:spacing w:before="0" w:after="80" w:line="276" w:lineRule="auto"/>
        <w:ind w:right="374"/>
      </w:pPr>
      <w:r>
        <w:rPr>
          <w:rFonts w:ascii="Times New Roman" w:hAnsi="Times New Roman"/>
          <w:sz w:val="22"/>
        </w:rPr>
        <w:t>2.5.5 Stereotype Threat as the Trigger</w:t>
        <w:tab/>
        <w:t>24</w:t>
      </w:r>
    </w:p>
    <w:p>
      <w:pPr>
        <w:pStyle w:val="TOC3"/>
        <w:keepNext w:val="0"/>
        <w:keepLines/>
        <w:tabs>
          <w:tab w:pos="8496" w:val="right" w:leader="dot"/>
        </w:tabs>
        <w:spacing w:before="0" w:after="80" w:line="276" w:lineRule="auto"/>
        <w:ind w:right="374"/>
      </w:pPr>
      <w:r>
        <w:rPr>
          <w:rFonts w:ascii="Times New Roman" w:hAnsi="Times New Roman"/>
          <w:sz w:val="22"/>
        </w:rPr>
        <w:t>2.5.6 A Four-Layer Behavioural Integration for Failure-Associated Non-Return</w:t>
        <w:tab/>
        <w:t>24</w:t>
      </w:r>
    </w:p>
    <w:p>
      <w:pPr>
        <w:pStyle w:val="TOC2"/>
        <w:keepNext w:val="0"/>
        <w:keepLines/>
        <w:tabs>
          <w:tab w:pos="8496" w:val="right" w:leader="dot"/>
        </w:tabs>
        <w:spacing w:before="0" w:after="80" w:line="276" w:lineRule="auto"/>
        <w:ind w:right="374"/>
      </w:pPr>
      <w:r>
        <w:rPr>
          <w:rFonts w:ascii="Times New Roman" w:hAnsi="Times New Roman"/>
          <w:sz w:val="22"/>
        </w:rPr>
        <w:t>2.6 Stage Five: Positioning Decoupled Gameplay and Adaptive Learning as Design Responses</w:t>
        <w:tab/>
        <w:t>24</w:t>
      </w:r>
    </w:p>
    <w:p>
      <w:pPr>
        <w:pStyle w:val="TOC3"/>
        <w:keepNext w:val="0"/>
        <w:keepLines/>
        <w:tabs>
          <w:tab w:pos="8496" w:val="right" w:leader="dot"/>
        </w:tabs>
        <w:spacing w:before="0" w:after="80" w:line="276" w:lineRule="auto"/>
        <w:ind w:right="374"/>
      </w:pPr>
      <w:r>
        <w:rPr>
          <w:rFonts w:ascii="Times New Roman" w:hAnsi="Times New Roman"/>
          <w:sz w:val="22"/>
        </w:rPr>
        <w:t>2.6.1 The Question Stage Four Leaves Open</w:t>
        <w:tab/>
        <w:t>24</w:t>
      </w:r>
    </w:p>
    <w:p>
      <w:pPr>
        <w:pStyle w:val="TOC3"/>
        <w:keepNext w:val="0"/>
        <w:keepLines/>
        <w:tabs>
          <w:tab w:pos="8496" w:val="right" w:leader="dot"/>
        </w:tabs>
        <w:spacing w:before="0" w:after="80" w:line="276" w:lineRule="auto"/>
        <w:ind w:right="374"/>
      </w:pPr>
      <w:r>
        <w:rPr>
          <w:rFonts w:ascii="Times New Roman" w:hAnsi="Times New Roman"/>
          <w:sz w:val="22"/>
        </w:rPr>
        <w:t>2.6.2 Productive Failure and Adaptive Learning</w:t>
        <w:tab/>
        <w:t>25</w:t>
      </w:r>
    </w:p>
    <w:p>
      <w:pPr>
        <w:pStyle w:val="TOC3"/>
        <w:keepNext w:val="0"/>
        <w:keepLines/>
        <w:tabs>
          <w:tab w:pos="8496" w:val="right" w:leader="dot"/>
        </w:tabs>
        <w:spacing w:before="0" w:after="80" w:line="276" w:lineRule="auto"/>
        <w:ind w:right="374"/>
      </w:pPr>
      <w:r>
        <w:rPr>
          <w:rFonts w:ascii="Times New Roman" w:hAnsi="Times New Roman"/>
          <w:sz w:val="22"/>
        </w:rPr>
        <w:t>2.6.2A The Theoretical Lineage of Adaptive Learning</w:t>
        <w:tab/>
        <w:t>25</w:t>
      </w:r>
    </w:p>
    <w:p>
      <w:pPr>
        <w:pStyle w:val="TOC3"/>
        <w:keepNext w:val="0"/>
        <w:keepLines/>
        <w:tabs>
          <w:tab w:pos="8496" w:val="right" w:leader="dot"/>
        </w:tabs>
        <w:spacing w:before="0" w:after="80" w:line="276" w:lineRule="auto"/>
        <w:ind w:right="374"/>
      </w:pPr>
      <w:r>
        <w:rPr>
          <w:rFonts w:ascii="Times New Roman" w:hAnsi="Times New Roman"/>
          <w:sz w:val="22"/>
        </w:rPr>
        <w:t>2.6.2B Self-Determination Theory and Goal-Setting as Motivational Scaffolding</w:t>
        <w:tab/>
        <w:t>26</w:t>
      </w:r>
    </w:p>
    <w:p>
      <w:pPr>
        <w:pStyle w:val="TOC3"/>
        <w:keepNext w:val="0"/>
        <w:keepLines/>
        <w:tabs>
          <w:tab w:pos="8496" w:val="right" w:leader="dot"/>
        </w:tabs>
        <w:spacing w:before="0" w:after="80" w:line="276" w:lineRule="auto"/>
        <w:ind w:right="374"/>
      </w:pPr>
      <w:r>
        <w:rPr>
          <w:rFonts w:ascii="Times New Roman" w:hAnsi="Times New Roman"/>
          <w:sz w:val="22"/>
        </w:rPr>
        <w:t>2.6.2C Zero-Failure Design: Non-Terminal Feedback as a Testable Component</w:t>
        <w:tab/>
        <w:t>26</w:t>
      </w:r>
    </w:p>
    <w:p>
      <w:pPr>
        <w:pStyle w:val="TOC3"/>
        <w:keepNext w:val="0"/>
        <w:keepLines/>
        <w:tabs>
          <w:tab w:pos="8496" w:val="right" w:leader="dot"/>
        </w:tabs>
        <w:spacing w:before="0" w:after="80" w:line="276" w:lineRule="auto"/>
        <w:ind w:right="374"/>
      </w:pPr>
      <w:r>
        <w:rPr>
          <w:rFonts w:ascii="Times New Roman" w:hAnsi="Times New Roman"/>
          <w:sz w:val="22"/>
        </w:rPr>
        <w:t>2.6.3 Endowment-Protective and Learning-Trajectory Appraisals as Competing Regimes</w:t>
        <w:tab/>
        <w:t>27</w:t>
      </w:r>
    </w:p>
    <w:p>
      <w:pPr>
        <w:pStyle w:val="TOC3"/>
        <w:keepNext w:val="0"/>
        <w:keepLines/>
        <w:tabs>
          <w:tab w:pos="8496" w:val="right" w:leader="dot"/>
        </w:tabs>
        <w:spacing w:before="0" w:after="80" w:line="276" w:lineRule="auto"/>
        <w:ind w:right="374"/>
      </w:pPr>
      <w:r>
        <w:rPr>
          <w:rFonts w:ascii="Times New Roman" w:hAnsi="Times New Roman"/>
          <w:sz w:val="22"/>
        </w:rPr>
        <w:t>2.6.4 Why Decoupled Gameplay Is a Critical but Non-Definitive Empirical Test</w:t>
        <w:tab/>
        <w:t>28</w:t>
      </w:r>
    </w:p>
    <w:p>
      <w:pPr>
        <w:pStyle w:val="TOC2"/>
        <w:keepNext w:val="0"/>
        <w:keepLines/>
        <w:tabs>
          <w:tab w:pos="8496" w:val="right" w:leader="dot"/>
        </w:tabs>
        <w:spacing w:before="0" w:after="80" w:line="276" w:lineRule="auto"/>
        <w:ind w:right="374"/>
      </w:pPr>
      <w:r>
        <w:rPr>
          <w:rFonts w:ascii="Times New Roman" w:hAnsi="Times New Roman"/>
          <w:sz w:val="22"/>
        </w:rPr>
        <w:t>2.7 Supporting Evidence and Adjacent Frameworks</w:t>
        <w:tab/>
        <w:t>29</w:t>
      </w:r>
    </w:p>
    <w:p>
      <w:pPr>
        <w:pStyle w:val="TOC3"/>
        <w:keepNext w:val="0"/>
        <w:keepLines/>
        <w:tabs>
          <w:tab w:pos="8496" w:val="right" w:leader="dot"/>
        </w:tabs>
        <w:spacing w:before="0" w:after="80" w:line="276" w:lineRule="auto"/>
        <w:ind w:right="374"/>
      </w:pPr>
      <w:r>
        <w:rPr>
          <w:rFonts w:ascii="Times New Roman" w:hAnsi="Times New Roman"/>
          <w:sz w:val="22"/>
        </w:rPr>
        <w:t>2.7.1 Gamification for Older Adults: The Koivisto and Malik Review</w:t>
        <w:tab/>
        <w:t>29</w:t>
      </w:r>
    </w:p>
    <w:p>
      <w:pPr>
        <w:pStyle w:val="TOC3"/>
        <w:keepNext w:val="0"/>
        <w:keepLines/>
        <w:tabs>
          <w:tab w:pos="8496" w:val="right" w:leader="dot"/>
        </w:tabs>
        <w:spacing w:before="0" w:after="80" w:line="276" w:lineRule="auto"/>
        <w:ind w:right="374"/>
      </w:pPr>
      <w:r>
        <w:rPr>
          <w:rFonts w:ascii="Times New Roman" w:hAnsi="Times New Roman"/>
          <w:sz w:val="22"/>
        </w:rPr>
        <w:t>2.7.2 The NASSS Framework: A Complementary Multilevel Account</w:t>
        <w:tab/>
        <w:t>29</w:t>
      </w:r>
    </w:p>
    <w:p>
      <w:pPr>
        <w:pStyle w:val="TOC3"/>
        <w:keepNext w:val="0"/>
        <w:keepLines/>
        <w:tabs>
          <w:tab w:pos="8496" w:val="right" w:leader="dot"/>
        </w:tabs>
        <w:spacing w:before="0" w:after="80" w:line="276" w:lineRule="auto"/>
        <w:ind w:right="374"/>
      </w:pPr>
      <w:r>
        <w:rPr>
          <w:rFonts w:ascii="Times New Roman" w:hAnsi="Times New Roman"/>
          <w:sz w:val="22"/>
        </w:rPr>
        <w:t>2.7.3 Cross-Cultural Reference: The Korean Comparison</w:t>
        <w:tab/>
        <w:t>29</w:t>
      </w:r>
    </w:p>
    <w:p>
      <w:pPr>
        <w:pStyle w:val="TOC3"/>
        <w:keepNext w:val="0"/>
        <w:keepLines/>
        <w:tabs>
          <w:tab w:pos="8496" w:val="right" w:leader="dot"/>
        </w:tabs>
        <w:spacing w:before="0" w:after="80" w:line="276" w:lineRule="auto"/>
        <w:ind w:right="374"/>
      </w:pPr>
      <w:r>
        <w:rPr>
          <w:rFonts w:ascii="Times New Roman" w:hAnsi="Times New Roman"/>
          <w:sz w:val="22"/>
        </w:rPr>
        <w:t>2.7.4 Information Entropy as a Bridge Lens</w:t>
        <w:tab/>
        <w:t>30</w:t>
      </w:r>
    </w:p>
    <w:p>
      <w:pPr>
        <w:pStyle w:val="TOC2"/>
        <w:keepNext w:val="0"/>
        <w:keepLines/>
        <w:tabs>
          <w:tab w:pos="8496" w:val="right" w:leader="dot"/>
        </w:tabs>
        <w:spacing w:before="0" w:after="80" w:line="276" w:lineRule="auto"/>
        <w:ind w:right="374"/>
      </w:pPr>
      <w:r>
        <w:rPr>
          <w:rFonts w:ascii="Times New Roman" w:hAnsi="Times New Roman"/>
          <w:sz w:val="22"/>
        </w:rPr>
        <w:t>2.8 Synthesis: The Five-Stage Transformative Argument</w:t>
        <w:tab/>
        <w:t>30</w:t>
      </w:r>
    </w:p>
    <w:p>
      <w:pPr>
        <w:pStyle w:val="TOC1"/>
        <w:keepNext w:val="0"/>
        <w:keepLines/>
        <w:tabs>
          <w:tab w:pos="8496" w:val="right" w:leader="dot"/>
        </w:tabs>
        <w:spacing w:before="0" w:after="80" w:line="276" w:lineRule="auto"/>
        <w:ind w:right="374"/>
      </w:pPr>
      <w:r>
        <w:rPr>
          <w:rFonts w:ascii="Times New Roman" w:hAnsi="Times New Roman"/>
          <w:sz w:val="22"/>
        </w:rPr>
        <w:t>Chapter 3 Research Methodology</w:t>
        <w:tab/>
        <w:t>38</w:t>
      </w:r>
    </w:p>
    <w:p>
      <w:pPr>
        <w:pStyle w:val="TOC2"/>
        <w:keepNext w:val="0"/>
        <w:keepLines/>
        <w:tabs>
          <w:tab w:pos="8496" w:val="right" w:leader="dot"/>
        </w:tabs>
        <w:spacing w:before="0" w:after="80" w:line="276" w:lineRule="auto"/>
        <w:ind w:right="374"/>
      </w:pPr>
      <w:r>
        <w:rPr>
          <w:rFonts w:ascii="Times New Roman" w:hAnsi="Times New Roman"/>
          <w:sz w:val="22"/>
        </w:rPr>
        <w:t>3.1 Action Research as the Methodological Frame</w:t>
        <w:tab/>
        <w:t>38</w:t>
      </w:r>
    </w:p>
    <w:p>
      <w:pPr>
        <w:pStyle w:val="TOC2"/>
        <w:keepNext w:val="0"/>
        <w:keepLines/>
        <w:tabs>
          <w:tab w:pos="8496" w:val="right" w:leader="dot"/>
        </w:tabs>
        <w:spacing w:before="0" w:after="80" w:line="276" w:lineRule="auto"/>
        <w:ind w:right="374"/>
      </w:pPr>
      <w:r>
        <w:rPr>
          <w:rFonts w:ascii="Times New Roman" w:hAnsi="Times New Roman"/>
          <w:sz w:val="22"/>
        </w:rPr>
        <w:t>3.2 Three-Stage Design</w:t>
        <w:tab/>
        <w:t>38</w:t>
      </w:r>
    </w:p>
    <w:p>
      <w:pPr>
        <w:pStyle w:val="TOC2"/>
        <w:keepNext w:val="0"/>
        <w:keepLines/>
        <w:tabs>
          <w:tab w:pos="8496" w:val="right" w:leader="dot"/>
        </w:tabs>
        <w:spacing w:before="0" w:after="80" w:line="276" w:lineRule="auto"/>
        <w:ind w:right="374"/>
      </w:pPr>
      <w:r>
        <w:rPr>
          <w:rFonts w:ascii="Times New Roman" w:hAnsi="Times New Roman"/>
          <w:sz w:val="22"/>
        </w:rPr>
        <w:t>3.3 Methodology Overview Infographic</w:t>
        <w:tab/>
        <w:t>43</w:t>
      </w:r>
    </w:p>
    <w:p>
      <w:pPr>
        <w:pStyle w:val="TOC2"/>
        <w:keepNext w:val="0"/>
        <w:keepLines/>
        <w:tabs>
          <w:tab w:pos="8496" w:val="right" w:leader="dot"/>
        </w:tabs>
        <w:spacing w:before="0" w:after="80" w:line="276" w:lineRule="auto"/>
        <w:ind w:right="374"/>
      </w:pPr>
      <w:r>
        <w:rPr>
          <w:rFonts w:ascii="Times New Roman" w:hAnsi="Times New Roman"/>
          <w:sz w:val="22"/>
        </w:rPr>
        <w:t>3.4 Ethics, Consent, Data Governance</w:t>
        <w:tab/>
        <w:t>46</w:t>
      </w:r>
    </w:p>
    <w:p>
      <w:pPr>
        <w:pStyle w:val="TOC2"/>
        <w:keepNext w:val="0"/>
        <w:keepLines/>
        <w:tabs>
          <w:tab w:pos="8496" w:val="right" w:leader="dot"/>
        </w:tabs>
        <w:spacing w:before="0" w:after="80" w:line="276" w:lineRule="auto"/>
        <w:ind w:right="374"/>
      </w:pPr>
      <w:r>
        <w:rPr>
          <w:rFonts w:ascii="Times New Roman" w:hAnsi="Times New Roman"/>
          <w:sz w:val="22"/>
        </w:rPr>
        <w:t>3.5 Methodological Limits and Mitigations</w:t>
        <w:tab/>
        <w:t>49</w:t>
      </w:r>
    </w:p>
    <w:p>
      <w:pPr>
        <w:pStyle w:val="TOC2"/>
        <w:keepNext w:val="0"/>
        <w:keepLines/>
        <w:tabs>
          <w:tab w:pos="8496" w:val="right" w:leader="dot"/>
        </w:tabs>
        <w:spacing w:before="0" w:after="80" w:line="276" w:lineRule="auto"/>
        <w:ind w:right="374"/>
      </w:pPr>
      <w:r>
        <w:rPr>
          <w:rFonts w:ascii="Times New Roman" w:hAnsi="Times New Roman"/>
          <w:sz w:val="22"/>
        </w:rPr>
        <w:t>3.6 An Instrumentation Roadmap for the Adaptive-Learning Proposition</w:t>
        <w:tab/>
        <w:t>51</w:t>
      </w:r>
    </w:p>
    <w:p>
      <w:pPr>
        <w:pStyle w:val="TOC1"/>
        <w:keepNext w:val="0"/>
        <w:keepLines/>
        <w:tabs>
          <w:tab w:pos="8496" w:val="right" w:leader="dot"/>
        </w:tabs>
        <w:spacing w:before="0" w:after="80" w:line="276" w:lineRule="auto"/>
        <w:ind w:right="374"/>
      </w:pPr>
      <w:r>
        <w:rPr>
          <w:rFonts w:ascii="Times New Roman" w:hAnsi="Times New Roman"/>
          <w:sz w:val="22"/>
        </w:rPr>
        <w:t>Chapter 4 Stage 1 — From FIDS to FIAS</w:t>
        <w:tab/>
        <w:t>53</w:t>
      </w:r>
    </w:p>
    <w:p>
      <w:pPr>
        <w:pStyle w:val="TOC2"/>
        <w:keepNext w:val="0"/>
        <w:keepLines/>
        <w:tabs>
          <w:tab w:pos="8496" w:val="right" w:leader="dot"/>
        </w:tabs>
        <w:spacing w:before="0" w:after="80" w:line="276" w:lineRule="auto"/>
        <w:ind w:right="374"/>
      </w:pPr>
      <w:r>
        <w:rPr>
          <w:rFonts w:ascii="Times New Roman" w:hAnsi="Times New Roman"/>
          <w:sz w:val="22"/>
        </w:rPr>
        <w:t>4.1 Purpose</w:t>
        <w:tab/>
        <w:t>53</w:t>
      </w:r>
    </w:p>
    <w:p>
      <w:pPr>
        <w:pStyle w:val="TOC2"/>
        <w:keepNext w:val="0"/>
        <w:keepLines/>
        <w:tabs>
          <w:tab w:pos="8496" w:val="right" w:leader="dot"/>
        </w:tabs>
        <w:spacing w:before="0" w:after="80" w:line="276" w:lineRule="auto"/>
        <w:ind w:right="374"/>
      </w:pPr>
      <w:r>
        <w:rPr>
          <w:rFonts w:ascii="Times New Roman" w:hAnsi="Times New Roman"/>
          <w:sz w:val="22"/>
        </w:rPr>
        <w:t>4.1A What is Fall Risk Assessment (FRA)? Basic System Design and Features</w:t>
        <w:tab/>
        <w:t>53</w:t>
      </w:r>
    </w:p>
    <w:p>
      <w:pPr>
        <w:pStyle w:val="TOC2"/>
        <w:keepNext w:val="0"/>
        <w:keepLines/>
        <w:tabs>
          <w:tab w:pos="8496" w:val="right" w:leader="dot"/>
        </w:tabs>
        <w:spacing w:before="0" w:after="80" w:line="276" w:lineRule="auto"/>
        <w:ind w:right="374"/>
      </w:pPr>
      <w:r>
        <w:rPr>
          <w:rFonts w:ascii="Times New Roman" w:hAnsi="Times New Roman"/>
          <w:sz w:val="22"/>
        </w:rPr>
        <w:t>4.2 The Guangzhou Survey (N = 200 of 280 Residents)</w:t>
        <w:tab/>
        <w:t>57</w:t>
      </w:r>
    </w:p>
    <w:p>
      <w:pPr>
        <w:pStyle w:val="TOC2"/>
        <w:keepNext w:val="0"/>
        <w:keepLines/>
        <w:tabs>
          <w:tab w:pos="8496" w:val="right" w:leader="dot"/>
        </w:tabs>
        <w:spacing w:before="0" w:after="80" w:line="276" w:lineRule="auto"/>
        <w:ind w:right="374"/>
      </w:pPr>
      <w:r>
        <w:rPr>
          <w:rFonts w:ascii="Times New Roman" w:hAnsi="Times New Roman"/>
          <w:sz w:val="22"/>
        </w:rPr>
        <w:t>4.3 TAM, STAM and the Limitation for Retired Users</w:t>
        <w:tab/>
        <w:t>59</w:t>
      </w:r>
    </w:p>
    <w:p>
      <w:pPr>
        <w:pStyle w:val="TOC2"/>
        <w:keepNext w:val="0"/>
        <w:keepLines/>
        <w:tabs>
          <w:tab w:pos="8496" w:val="right" w:leader="dot"/>
        </w:tabs>
        <w:spacing w:before="0" w:after="80" w:line="276" w:lineRule="auto"/>
        <w:ind w:right="374"/>
      </w:pPr>
      <w:r>
        <w:rPr>
          <w:rFonts w:ascii="Times New Roman" w:hAnsi="Times New Roman"/>
          <w:sz w:val="22"/>
        </w:rPr>
        <w:t>4.4 Octalysis and the In-Game Loss Assumption</w:t>
        <w:tab/>
        <w:t>60</w:t>
      </w:r>
    </w:p>
    <w:p>
      <w:pPr>
        <w:pStyle w:val="TOC2"/>
        <w:keepNext w:val="0"/>
        <w:keepLines/>
        <w:tabs>
          <w:tab w:pos="8496" w:val="right" w:leader="dot"/>
        </w:tabs>
        <w:spacing w:before="0" w:after="80" w:line="276" w:lineRule="auto"/>
        <w:ind w:right="374"/>
      </w:pPr>
      <w:r>
        <w:rPr>
          <w:rFonts w:ascii="Times New Roman" w:hAnsi="Times New Roman"/>
          <w:sz w:val="22"/>
        </w:rPr>
        <w:t>4.5 Behavioural Science Lenses</w:t>
        <w:tab/>
        <w:t>61</w:t>
      </w:r>
    </w:p>
    <w:p>
      <w:pPr>
        <w:pStyle w:val="TOC2"/>
        <w:keepNext w:val="0"/>
        <w:keepLines/>
        <w:tabs>
          <w:tab w:pos="8496" w:val="right" w:leader="dot"/>
        </w:tabs>
        <w:spacing w:before="0" w:after="80" w:line="276" w:lineRule="auto"/>
        <w:ind w:right="374"/>
      </w:pPr>
      <w:r>
        <w:rPr>
          <w:rFonts w:ascii="Times New Roman" w:hAnsi="Times New Roman"/>
          <w:sz w:val="22"/>
        </w:rPr>
        <w:t>4.6 Terminological Correction: FIDS to FIAS</w:t>
        <w:tab/>
        <w:t>61</w:t>
      </w:r>
    </w:p>
    <w:p>
      <w:pPr>
        <w:pStyle w:val="TOC2"/>
        <w:keepNext w:val="0"/>
        <w:keepLines/>
        <w:tabs>
          <w:tab w:pos="8496" w:val="right" w:leader="dot"/>
        </w:tabs>
        <w:spacing w:before="0" w:after="80" w:line="276" w:lineRule="auto"/>
        <w:ind w:right="374"/>
      </w:pPr>
      <w:r>
        <w:rPr>
          <w:rFonts w:ascii="Times New Roman" w:hAnsi="Times New Roman"/>
          <w:sz w:val="22"/>
        </w:rPr>
        <w:t>4.7 Cross-Cultural Reference Point</w:t>
        <w:tab/>
        <w:t>62</w:t>
      </w:r>
    </w:p>
    <w:p>
      <w:pPr>
        <w:pStyle w:val="TOC2"/>
        <w:keepNext w:val="0"/>
        <w:keepLines/>
        <w:tabs>
          <w:tab w:pos="8496" w:val="right" w:leader="dot"/>
        </w:tabs>
        <w:spacing w:before="0" w:after="80" w:line="276" w:lineRule="auto"/>
        <w:ind w:right="374"/>
      </w:pPr>
      <w:r>
        <w:rPr>
          <w:rFonts w:ascii="Times New Roman" w:hAnsi="Times New Roman"/>
          <w:sz w:val="22"/>
        </w:rPr>
        <w:t>4.8 Output and Stage-1 Limitations</w:t>
        <w:tab/>
        <w:t>62</w:t>
      </w:r>
    </w:p>
    <w:p>
      <w:pPr>
        <w:pStyle w:val="TOC1"/>
        <w:keepNext w:val="0"/>
        <w:keepLines/>
        <w:tabs>
          <w:tab w:pos="8496" w:val="right" w:leader="dot"/>
        </w:tabs>
        <w:spacing w:before="0" w:after="80" w:line="276" w:lineRule="auto"/>
        <w:ind w:right="374"/>
      </w:pPr>
      <w:r>
        <w:rPr>
          <w:rFonts w:ascii="Times New Roman" w:hAnsi="Times New Roman"/>
          <w:sz w:val="22"/>
        </w:rPr>
        <w:t>Chapter 5 Stage 2 — Action Research with Gamified FRA</w:t>
        <w:tab/>
        <w:t>64</w:t>
      </w:r>
    </w:p>
    <w:p>
      <w:pPr>
        <w:pStyle w:val="TOC2"/>
        <w:keepNext w:val="0"/>
        <w:keepLines/>
        <w:tabs>
          <w:tab w:pos="8496" w:val="right" w:leader="dot"/>
        </w:tabs>
        <w:spacing w:before="0" w:after="80" w:line="276" w:lineRule="auto"/>
        <w:ind w:right="374"/>
      </w:pPr>
      <w:r>
        <w:rPr>
          <w:rFonts w:ascii="Times New Roman" w:hAnsi="Times New Roman"/>
          <w:sz w:val="22"/>
        </w:rPr>
        <w:t>5.1 Research Questions and Hypotheses</w:t>
        <w:tab/>
        <w:t>64</w:t>
      </w:r>
    </w:p>
    <w:p>
      <w:pPr>
        <w:pStyle w:val="TOC2"/>
        <w:keepNext w:val="0"/>
        <w:keepLines/>
        <w:tabs>
          <w:tab w:pos="8496" w:val="right" w:leader="dot"/>
        </w:tabs>
        <w:spacing w:before="0" w:after="80" w:line="276" w:lineRule="auto"/>
        <w:ind w:right="374"/>
      </w:pPr>
      <w:r>
        <w:rPr>
          <w:rFonts w:ascii="Times New Roman" w:hAnsi="Times New Roman"/>
          <w:sz w:val="22"/>
        </w:rPr>
        <w:t>5.2 Setting and Action-Research Approach</w:t>
        <w:tab/>
        <w:t>65</w:t>
      </w:r>
    </w:p>
    <w:p>
      <w:pPr>
        <w:pStyle w:val="TOC2"/>
        <w:keepNext w:val="0"/>
        <w:keepLines/>
        <w:tabs>
          <w:tab w:pos="8496" w:val="right" w:leader="dot"/>
        </w:tabs>
        <w:spacing w:before="0" w:after="80" w:line="276" w:lineRule="auto"/>
        <w:ind w:right="374"/>
      </w:pPr>
      <w:r>
        <w:rPr>
          <w:rFonts w:ascii="Times New Roman" w:hAnsi="Times New Roman"/>
          <w:sz w:val="22"/>
        </w:rPr>
        <w:t>5.2A Integrating the FRA into the Skiing Game: The Dual-Purpose Mechanic in Detail</w:t>
        <w:tab/>
        <w:t>65</w:t>
      </w:r>
    </w:p>
    <w:p>
      <w:pPr>
        <w:pStyle w:val="TOC2"/>
        <w:keepNext w:val="0"/>
        <w:keepLines/>
        <w:tabs>
          <w:tab w:pos="8496" w:val="right" w:leader="dot"/>
        </w:tabs>
        <w:spacing w:before="0" w:after="80" w:line="276" w:lineRule="auto"/>
        <w:ind w:right="374"/>
      </w:pPr>
      <w:r>
        <w:rPr>
          <w:rFonts w:ascii="Times New Roman" w:hAnsi="Times New Roman"/>
          <w:sz w:val="22"/>
        </w:rPr>
        <w:t>5.3 The Gamified Intervention — Skiing Game on the InBody Pressure Panel</w:t>
        <w:tab/>
        <w:t>70</w:t>
      </w:r>
    </w:p>
    <w:p>
      <w:pPr>
        <w:pStyle w:val="TOC3"/>
        <w:keepNext w:val="0"/>
        <w:keepLines/>
        <w:tabs>
          <w:tab w:pos="8496" w:val="right" w:leader="dot"/>
        </w:tabs>
        <w:spacing w:before="0" w:after="80" w:line="276" w:lineRule="auto"/>
        <w:ind w:right="374"/>
      </w:pPr>
      <w:r>
        <w:rPr>
          <w:rFonts w:ascii="Times New Roman" w:hAnsi="Times New Roman"/>
          <w:sz w:val="22"/>
        </w:rPr>
        <w:t>5.3.1 The InBody Pressure Panel</w:t>
        <w:tab/>
        <w:t>70</w:t>
      </w:r>
    </w:p>
    <w:p>
      <w:pPr>
        <w:pStyle w:val="TOC3"/>
        <w:keepNext w:val="0"/>
        <w:keepLines/>
        <w:tabs>
          <w:tab w:pos="8496" w:val="right" w:leader="dot"/>
        </w:tabs>
        <w:spacing w:before="0" w:after="80" w:line="276" w:lineRule="auto"/>
        <w:ind w:right="374"/>
      </w:pPr>
      <w:r>
        <w:rPr>
          <w:rFonts w:ascii="Times New Roman" w:hAnsi="Times New Roman"/>
          <w:sz w:val="22"/>
        </w:rPr>
        <w:t>5.3.2 Game Concept and Gameplay Loop</w:t>
        <w:tab/>
        <w:t>71</w:t>
      </w:r>
    </w:p>
    <w:p>
      <w:pPr>
        <w:pStyle w:val="TOC3"/>
        <w:keepNext w:val="0"/>
        <w:keepLines/>
        <w:tabs>
          <w:tab w:pos="8496" w:val="right" w:leader="dot"/>
        </w:tabs>
        <w:spacing w:before="0" w:after="80" w:line="276" w:lineRule="auto"/>
        <w:ind w:right="374"/>
      </w:pPr>
      <w:r>
        <w:rPr>
          <w:rFonts w:ascii="Times New Roman" w:hAnsi="Times New Roman"/>
          <w:sz w:val="22"/>
        </w:rPr>
        <w:t>5.3.3 On-Screen Display</w:t>
        <w:tab/>
        <w:t>71</w:t>
      </w:r>
    </w:p>
    <w:p>
      <w:pPr>
        <w:pStyle w:val="TOC3"/>
        <w:keepNext w:val="0"/>
        <w:keepLines/>
        <w:tabs>
          <w:tab w:pos="8496" w:val="right" w:leader="dot"/>
        </w:tabs>
        <w:spacing w:before="0" w:after="80" w:line="276" w:lineRule="auto"/>
        <w:ind w:right="374"/>
      </w:pPr>
      <w:r>
        <w:rPr>
          <w:rFonts w:ascii="Times New Roman" w:hAnsi="Times New Roman"/>
          <w:sz w:val="22"/>
        </w:rPr>
        <w:t>5.3.4 Five-Layer Architecture</w:t>
        <w:tab/>
        <w:t>74</w:t>
      </w:r>
    </w:p>
    <w:p>
      <w:pPr>
        <w:pStyle w:val="TOC3"/>
        <w:keepNext w:val="0"/>
        <w:keepLines/>
        <w:tabs>
          <w:tab w:pos="8496" w:val="right" w:leader="dot"/>
        </w:tabs>
        <w:spacing w:before="0" w:after="80" w:line="276" w:lineRule="auto"/>
        <w:ind w:right="374"/>
      </w:pPr>
      <w:r>
        <w:rPr>
          <w:rFonts w:ascii="Times New Roman" w:hAnsi="Times New Roman"/>
          <w:sz w:val="22"/>
        </w:rPr>
        <w:t>5.3.5 Automatic Difficulty Adjustment System</w:t>
        <w:tab/>
        <w:t>76</w:t>
      </w:r>
    </w:p>
    <w:p>
      <w:pPr>
        <w:pStyle w:val="TOC3"/>
        <w:keepNext w:val="0"/>
        <w:keepLines/>
        <w:tabs>
          <w:tab w:pos="8496" w:val="right" w:leader="dot"/>
        </w:tabs>
        <w:spacing w:before="0" w:after="80" w:line="276" w:lineRule="auto"/>
        <w:ind w:right="374"/>
      </w:pPr>
      <w:r>
        <w:rPr>
          <w:rFonts w:ascii="Times New Roman" w:hAnsi="Times New Roman"/>
          <w:sz w:val="22"/>
        </w:rPr>
        <w:t>5.3.6 Data Structures and Telemetry</w:t>
        <w:tab/>
        <w:t>77</w:t>
      </w:r>
    </w:p>
    <w:p>
      <w:pPr>
        <w:pStyle w:val="TOC3"/>
        <w:keepNext w:val="0"/>
        <w:keepLines/>
        <w:tabs>
          <w:tab w:pos="8496" w:val="right" w:leader="dot"/>
        </w:tabs>
        <w:spacing w:before="0" w:after="80" w:line="276" w:lineRule="auto"/>
        <w:ind w:right="374"/>
      </w:pPr>
      <w:r>
        <w:rPr>
          <w:rFonts w:ascii="Times New Roman" w:hAnsi="Times New Roman"/>
          <w:sz w:val="22"/>
        </w:rPr>
        <w:t>5.3.7 Sample User Profile</w:t>
        <w:tab/>
        <w:t>78</w:t>
      </w:r>
    </w:p>
    <w:p>
      <w:pPr>
        <w:pStyle w:val="TOC3"/>
        <w:keepNext w:val="0"/>
        <w:keepLines/>
        <w:tabs>
          <w:tab w:pos="8496" w:val="right" w:leader="dot"/>
        </w:tabs>
        <w:spacing w:before="0" w:after="80" w:line="276" w:lineRule="auto"/>
        <w:ind w:right="374"/>
      </w:pPr>
      <w:r>
        <w:rPr>
          <w:rFonts w:ascii="Times New Roman" w:hAnsi="Times New Roman"/>
          <w:sz w:val="22"/>
        </w:rPr>
        <w:t>5.3.8 Why a Skiing Game?</w:t>
        <w:tab/>
        <w:t>78</w:t>
      </w:r>
    </w:p>
    <w:p>
      <w:pPr>
        <w:pStyle w:val="TOC3"/>
        <w:keepNext w:val="0"/>
        <w:keepLines/>
        <w:tabs>
          <w:tab w:pos="8496" w:val="right" w:leader="dot"/>
        </w:tabs>
        <w:spacing w:before="0" w:after="80" w:line="276" w:lineRule="auto"/>
        <w:ind w:right="374"/>
      </w:pPr>
      <w:r>
        <w:rPr>
          <w:rFonts w:ascii="Times New Roman" w:hAnsi="Times New Roman"/>
          <w:sz w:val="22"/>
        </w:rPr>
        <w:t>5.3.9 Development Methodology and Tooling</w:t>
        <w:tab/>
        <w:t>79</w:t>
      </w:r>
    </w:p>
    <w:p>
      <w:pPr>
        <w:pStyle w:val="TOC3"/>
        <w:keepNext w:val="0"/>
        <w:keepLines/>
        <w:tabs>
          <w:tab w:pos="8496" w:val="right" w:leader="dot"/>
        </w:tabs>
        <w:spacing w:before="0" w:after="80" w:line="276" w:lineRule="auto"/>
        <w:ind w:right="374"/>
      </w:pPr>
      <w:r>
        <w:rPr>
          <w:rFonts w:ascii="Times New Roman" w:hAnsi="Times New Roman"/>
          <w:sz w:val="22"/>
        </w:rPr>
        <w:t>5.3.10 Dynamic Game States: An Agentic-AI-Driven, Loss-Free Game Mechanic (Secondary Contribution)</w:t>
        <w:tab/>
        <w:t>81</w:t>
      </w:r>
    </w:p>
    <w:p>
      <w:pPr>
        <w:pStyle w:val="TOC2"/>
        <w:keepNext w:val="0"/>
        <w:keepLines/>
        <w:tabs>
          <w:tab w:pos="8496" w:val="right" w:leader="dot"/>
        </w:tabs>
        <w:spacing w:before="0" w:after="80" w:line="276" w:lineRule="auto"/>
        <w:ind w:right="374"/>
      </w:pPr>
      <w:r>
        <w:rPr>
          <w:rFonts w:ascii="Times New Roman" w:hAnsi="Times New Roman"/>
          <w:sz w:val="22"/>
        </w:rPr>
        <w:t>5.4 Participants and Data Governance</w:t>
        <w:tab/>
        <w:t>83</w:t>
      </w:r>
    </w:p>
    <w:p>
      <w:pPr>
        <w:pStyle w:val="TOC2"/>
        <w:keepNext w:val="0"/>
        <w:keepLines/>
        <w:tabs>
          <w:tab w:pos="8496" w:val="right" w:leader="dot"/>
        </w:tabs>
        <w:spacing w:before="0" w:after="80" w:line="276" w:lineRule="auto"/>
        <w:ind w:right="374"/>
      </w:pPr>
      <w:r>
        <w:rPr>
          <w:rFonts w:ascii="Times New Roman" w:hAnsi="Times New Roman"/>
          <w:sz w:val="22"/>
        </w:rPr>
        <w:t>5.5 Quantitative Findings</w:t>
        <w:tab/>
        <w:t>84</w:t>
      </w:r>
    </w:p>
    <w:p>
      <w:pPr>
        <w:pStyle w:val="TOC2"/>
        <w:keepNext w:val="0"/>
        <w:keepLines/>
        <w:tabs>
          <w:tab w:pos="8496" w:val="right" w:leader="dot"/>
        </w:tabs>
        <w:spacing w:before="0" w:after="80" w:line="276" w:lineRule="auto"/>
        <w:ind w:right="374"/>
      </w:pPr>
      <w:r>
        <w:rPr>
          <w:rFonts w:ascii="Times New Roman" w:hAnsi="Times New Roman"/>
          <w:sz w:val="22"/>
        </w:rPr>
        <w:t>5.5A Translating the Findings into Design Priorities: Qualitative Requirements Mapping</w:t>
        <w:tab/>
        <w:t>91</w:t>
      </w:r>
    </w:p>
    <w:p>
      <w:pPr>
        <w:pStyle w:val="TOC2"/>
        <w:keepNext w:val="0"/>
        <w:keepLines/>
        <w:tabs>
          <w:tab w:pos="8496" w:val="right" w:leader="dot"/>
        </w:tabs>
        <w:spacing w:before="0" w:after="80" w:line="276" w:lineRule="auto"/>
        <w:ind w:right="374"/>
      </w:pPr>
      <w:r>
        <w:rPr>
          <w:rFonts w:ascii="Times New Roman" w:hAnsi="Times New Roman"/>
          <w:sz w:val="22"/>
        </w:rPr>
        <w:t>5.6 The F4 Cluster and the Recorded-Score–Engagement Discrepancy</w:t>
        <w:tab/>
        <w:t>94</w:t>
      </w:r>
    </w:p>
    <w:p>
      <w:pPr>
        <w:pStyle w:val="TOC2"/>
        <w:keepNext w:val="0"/>
        <w:keepLines/>
        <w:tabs>
          <w:tab w:pos="8496" w:val="right" w:leader="dot"/>
        </w:tabs>
        <w:spacing w:before="0" w:after="80" w:line="276" w:lineRule="auto"/>
        <w:ind w:right="374"/>
      </w:pPr>
      <w:r>
        <w:rPr>
          <w:rFonts w:ascii="Times New Roman" w:hAnsi="Times New Roman"/>
          <w:sz w:val="22"/>
        </w:rPr>
        <w:t>5.7 Theoretical Extension: Endowment, Stereotype Threat, Domain Reframing</w:t>
        <w:tab/>
        <w:t>97</w:t>
      </w:r>
    </w:p>
    <w:p>
      <w:pPr>
        <w:pStyle w:val="TOC2"/>
        <w:keepNext w:val="0"/>
        <w:keepLines/>
        <w:tabs>
          <w:tab w:pos="8496" w:val="right" w:leader="dot"/>
        </w:tabs>
        <w:spacing w:before="0" w:after="80" w:line="276" w:lineRule="auto"/>
        <w:ind w:right="374"/>
      </w:pPr>
      <w:r>
        <w:rPr>
          <w:rFonts w:ascii="Times New Roman" w:hAnsi="Times New Roman"/>
          <w:sz w:val="22"/>
        </w:rPr>
        <w:t>5.8 Information-Entropy Lens</w:t>
        <w:tab/>
        <w:t>98</w:t>
      </w:r>
    </w:p>
    <w:p>
      <w:pPr>
        <w:pStyle w:val="TOC2"/>
        <w:keepNext w:val="0"/>
        <w:keepLines/>
        <w:tabs>
          <w:tab w:pos="8496" w:val="right" w:leader="dot"/>
        </w:tabs>
        <w:spacing w:before="0" w:after="80" w:line="276" w:lineRule="auto"/>
        <w:ind w:right="374"/>
      </w:pPr>
      <w:r>
        <w:rPr>
          <w:rFonts w:ascii="Times New Roman" w:hAnsi="Times New Roman"/>
          <w:sz w:val="22"/>
        </w:rPr>
        <w:t>5.9 Limitations and What Stage 2 Establishes</w:t>
        <w:tab/>
        <w:t>98</w:t>
      </w:r>
    </w:p>
    <w:p>
      <w:pPr>
        <w:pStyle w:val="TOC1"/>
        <w:keepNext w:val="0"/>
        <w:keepLines/>
        <w:tabs>
          <w:tab w:pos="8496" w:val="right" w:leader="dot"/>
        </w:tabs>
        <w:spacing w:before="0" w:after="80" w:line="276" w:lineRule="auto"/>
        <w:ind w:right="374"/>
      </w:pPr>
      <w:r>
        <w:rPr>
          <w:rFonts w:ascii="Times New Roman" w:hAnsi="Times New Roman"/>
          <w:sz w:val="22"/>
        </w:rPr>
        <w:t>Chapter 6 Stage 3 — Participant-Facing Decoupling: Between-Cohort Evidence for a Frame-Sensitive Account</w:t>
        <w:tab/>
        <w:t>101</w:t>
      </w:r>
    </w:p>
    <w:p>
      <w:pPr>
        <w:pStyle w:val="TOC2"/>
        <w:keepNext w:val="0"/>
        <w:keepLines/>
        <w:tabs>
          <w:tab w:pos="8496" w:val="right" w:leader="dot"/>
        </w:tabs>
        <w:spacing w:before="0" w:after="80" w:line="276" w:lineRule="auto"/>
        <w:ind w:right="374"/>
      </w:pPr>
      <w:r>
        <w:rPr>
          <w:rFonts w:ascii="Times New Roman" w:hAnsi="Times New Roman"/>
          <w:sz w:val="22"/>
        </w:rPr>
        <w:t>6.1 Why a Decoupling Stage</w:t>
        <w:tab/>
        <w:t>101</w:t>
      </w:r>
    </w:p>
    <w:p>
      <w:pPr>
        <w:pStyle w:val="TOC2"/>
        <w:keepNext w:val="0"/>
        <w:keepLines/>
        <w:tabs>
          <w:tab w:pos="8496" w:val="right" w:leader="dot"/>
        </w:tabs>
        <w:spacing w:before="0" w:after="80" w:line="276" w:lineRule="auto"/>
        <w:ind w:right="374"/>
      </w:pPr>
      <w:r>
        <w:rPr>
          <w:rFonts w:ascii="Times New Roman" w:hAnsi="Times New Roman"/>
          <w:sz w:val="22"/>
        </w:rPr>
        <w:t>6.2 Research Question and Predictions</w:t>
        <w:tab/>
        <w:t>101</w:t>
      </w:r>
    </w:p>
    <w:p>
      <w:pPr>
        <w:pStyle w:val="TOC2"/>
        <w:keepNext w:val="0"/>
        <w:keepLines/>
        <w:tabs>
          <w:tab w:pos="8496" w:val="right" w:leader="dot"/>
        </w:tabs>
        <w:spacing w:before="0" w:after="80" w:line="276" w:lineRule="auto"/>
        <w:ind w:right="374"/>
      </w:pPr>
      <w:r>
        <w:rPr>
          <w:rFonts w:ascii="Times New Roman" w:hAnsi="Times New Roman"/>
          <w:sz w:val="22"/>
        </w:rPr>
        <w:t>6.3 Methodology: A Participant-Facing Decoupling Package in a Separate Cohort</w:t>
        <w:tab/>
        <w:t>102</w:t>
      </w:r>
    </w:p>
    <w:p>
      <w:pPr>
        <w:pStyle w:val="TOC2"/>
        <w:keepNext w:val="0"/>
        <w:keepLines/>
        <w:tabs>
          <w:tab w:pos="8496" w:val="right" w:leader="dot"/>
        </w:tabs>
        <w:spacing w:before="0" w:after="80" w:line="276" w:lineRule="auto"/>
        <w:ind w:right="374"/>
      </w:pPr>
      <w:r>
        <w:rPr>
          <w:rFonts w:ascii="Times New Roman" w:hAnsi="Times New Roman"/>
          <w:sz w:val="22"/>
        </w:rPr>
        <w:t>6.4 Participants and Apparatus</w:t>
        <w:tab/>
        <w:t>103</w:t>
      </w:r>
    </w:p>
    <w:p>
      <w:pPr>
        <w:pStyle w:val="TOC2"/>
        <w:keepNext w:val="0"/>
        <w:keepLines/>
        <w:tabs>
          <w:tab w:pos="8496" w:val="right" w:leader="dot"/>
        </w:tabs>
        <w:spacing w:before="0" w:after="80" w:line="276" w:lineRule="auto"/>
        <w:ind w:right="374"/>
      </w:pPr>
      <w:r>
        <w:rPr>
          <w:rFonts w:ascii="Times New Roman" w:hAnsi="Times New Roman"/>
          <w:sz w:val="22"/>
        </w:rPr>
        <w:t>6.5 Findings: A Substantial Behavioural Shift</w:t>
        <w:tab/>
        <w:t>107</w:t>
      </w:r>
    </w:p>
    <w:p>
      <w:pPr>
        <w:pStyle w:val="TOC2"/>
        <w:keepNext w:val="0"/>
        <w:keepLines/>
        <w:tabs>
          <w:tab w:pos="8496" w:val="right" w:leader="dot"/>
        </w:tabs>
        <w:spacing w:before="0" w:after="80" w:line="276" w:lineRule="auto"/>
        <w:ind w:right="374"/>
      </w:pPr>
      <w:r>
        <w:rPr>
          <w:rFonts w:ascii="Times New Roman" w:hAnsi="Times New Roman"/>
          <w:sz w:val="22"/>
        </w:rPr>
        <w:t>6.6 The Recorded-Score–Engagement Discrepancy Reconsidered</w:t>
        <w:tab/>
        <w:t>111</w:t>
      </w:r>
    </w:p>
    <w:p>
      <w:pPr>
        <w:pStyle w:val="TOC2"/>
        <w:keepNext w:val="0"/>
        <w:keepLines/>
        <w:tabs>
          <w:tab w:pos="8496" w:val="right" w:leader="dot"/>
        </w:tabs>
        <w:spacing w:before="0" w:after="80" w:line="276" w:lineRule="auto"/>
        <w:ind w:right="374"/>
      </w:pPr>
      <w:r>
        <w:rPr>
          <w:rFonts w:ascii="Times New Roman" w:hAnsi="Times New Roman"/>
          <w:sz w:val="22"/>
        </w:rPr>
        <w:t>6.7 Frame-Sensitive versus Dispositional Accounts: Calibrated Inference</w:t>
        <w:tab/>
        <w:t>112</w:t>
      </w:r>
    </w:p>
    <w:p>
      <w:pPr>
        <w:pStyle w:val="TOC2"/>
        <w:keepNext w:val="0"/>
        <w:keepLines/>
        <w:tabs>
          <w:tab w:pos="8496" w:val="right" w:leader="dot"/>
        </w:tabs>
        <w:spacing w:before="0" w:after="80" w:line="276" w:lineRule="auto"/>
        <w:ind w:right="374"/>
      </w:pPr>
      <w:r>
        <w:rPr>
          <w:rFonts w:ascii="Times New Roman" w:hAnsi="Times New Roman"/>
          <w:sz w:val="22"/>
        </w:rPr>
        <w:t>6.8 The Commitment Gap and Its Design Implication</w:t>
        <w:tab/>
        <w:t>112</w:t>
      </w:r>
    </w:p>
    <w:p>
      <w:pPr>
        <w:pStyle w:val="TOC2"/>
        <w:keepNext w:val="0"/>
        <w:keepLines/>
        <w:tabs>
          <w:tab w:pos="8496" w:val="right" w:leader="dot"/>
        </w:tabs>
        <w:spacing w:before="0" w:after="80" w:line="276" w:lineRule="auto"/>
        <w:ind w:right="374"/>
      </w:pPr>
      <w:r>
        <w:rPr>
          <w:rFonts w:ascii="Times New Roman" w:hAnsi="Times New Roman"/>
          <w:sz w:val="22"/>
        </w:rPr>
        <w:t>6.8A The Commitment Gap Read Through Group Dynamics: The First Interpretive Consultation (Dr Yuan)</w:t>
        <w:tab/>
        <w:t>114</w:t>
      </w:r>
    </w:p>
    <w:p>
      <w:pPr>
        <w:pStyle w:val="TOC2"/>
        <w:keepNext w:val="0"/>
        <w:keepLines/>
        <w:tabs>
          <w:tab w:pos="8496" w:val="right" w:leader="dot"/>
        </w:tabs>
        <w:spacing w:before="0" w:after="80" w:line="276" w:lineRule="auto"/>
        <w:ind w:right="374"/>
      </w:pPr>
      <w:r>
        <w:rPr>
          <w:rFonts w:ascii="Times New Roman" w:hAnsi="Times New Roman"/>
          <w:sz w:val="22"/>
        </w:rPr>
        <w:t>6.9 Limitations of Stage 3</w:t>
        <w:tab/>
        <w:t>115</w:t>
      </w:r>
    </w:p>
    <w:p>
      <w:pPr>
        <w:pStyle w:val="TOC2"/>
        <w:keepNext w:val="0"/>
        <w:keepLines/>
        <w:tabs>
          <w:tab w:pos="8496" w:val="right" w:leader="dot"/>
        </w:tabs>
        <w:spacing w:before="0" w:after="80" w:line="276" w:lineRule="auto"/>
        <w:ind w:right="374"/>
      </w:pPr>
      <w:r>
        <w:rPr>
          <w:rFonts w:ascii="Times New Roman" w:hAnsi="Times New Roman"/>
          <w:sz w:val="22"/>
        </w:rPr>
        <w:t>6.10 Quantitative Comparison Against Existing Models</w:t>
        <w:tab/>
        <w:t>116</w:t>
      </w:r>
    </w:p>
    <w:p>
      <w:pPr>
        <w:pStyle w:val="TOC3"/>
        <w:keepNext w:val="0"/>
        <w:keepLines/>
        <w:tabs>
          <w:tab w:pos="8496" w:val="right" w:leader="dot"/>
        </w:tabs>
        <w:spacing w:before="0" w:after="80" w:line="276" w:lineRule="auto"/>
        <w:ind w:right="374"/>
      </w:pPr>
      <w:r>
        <w:rPr>
          <w:rFonts w:ascii="Times New Roman" w:hAnsi="Times New Roman"/>
          <w:sz w:val="22"/>
        </w:rPr>
        <w:t>6.10.1 Three-Tier Nested Model Specification</w:t>
        <w:tab/>
        <w:t>116</w:t>
      </w:r>
    </w:p>
    <w:p>
      <w:pPr>
        <w:pStyle w:val="TOC3"/>
        <w:keepNext w:val="0"/>
        <w:keepLines/>
        <w:tabs>
          <w:tab w:pos="8496" w:val="right" w:leader="dot"/>
        </w:tabs>
        <w:spacing w:before="0" w:after="80" w:line="276" w:lineRule="auto"/>
        <w:ind w:right="374"/>
      </w:pPr>
      <w:r>
        <w:rPr>
          <w:rFonts w:ascii="Times New Roman" w:hAnsi="Times New Roman"/>
          <w:sz w:val="22"/>
        </w:rPr>
        <w:t>6.10.2 Statistical Comparison Plan</w:t>
        <w:tab/>
        <w:t>117</w:t>
      </w:r>
    </w:p>
    <w:p>
      <w:pPr>
        <w:pStyle w:val="TOC3"/>
        <w:keepNext w:val="0"/>
        <w:keepLines/>
        <w:tabs>
          <w:tab w:pos="8496" w:val="right" w:leader="dot"/>
        </w:tabs>
        <w:spacing w:before="0" w:after="80" w:line="276" w:lineRule="auto"/>
        <w:ind w:right="374"/>
      </w:pPr>
      <w:r>
        <w:rPr>
          <w:rFonts w:ascii="Times New Roman" w:hAnsi="Times New Roman"/>
          <w:sz w:val="22"/>
        </w:rPr>
        <w:t>6.10.3 Decision-Curve Analysis and Practical Significance</w:t>
        <w:tab/>
        <w:t>118</w:t>
      </w:r>
    </w:p>
    <w:p>
      <w:pPr>
        <w:pStyle w:val="TOC3"/>
        <w:keepNext w:val="0"/>
        <w:keepLines/>
        <w:tabs>
          <w:tab w:pos="8496" w:val="right" w:leader="dot"/>
        </w:tabs>
        <w:spacing w:before="0" w:after="80" w:line="276" w:lineRule="auto"/>
        <w:ind w:right="374"/>
      </w:pPr>
      <w:r>
        <w:rPr>
          <w:rFonts w:ascii="Times New Roman" w:hAnsi="Times New Roman"/>
          <w:sz w:val="22"/>
        </w:rPr>
        <w:t>6.10.4 Pre-Specified Predictions</w:t>
        <w:tab/>
        <w:t>118</w:t>
      </w:r>
    </w:p>
    <w:p>
      <w:pPr>
        <w:pStyle w:val="TOC3"/>
        <w:keepNext w:val="0"/>
        <w:keepLines/>
        <w:tabs>
          <w:tab w:pos="8496" w:val="right" w:leader="dot"/>
        </w:tabs>
        <w:spacing w:before="0" w:after="80" w:line="276" w:lineRule="auto"/>
        <w:ind w:right="374"/>
      </w:pPr>
      <w:r>
        <w:rPr>
          <w:rFonts w:ascii="Times New Roman" w:hAnsi="Times New Roman"/>
          <w:sz w:val="22"/>
        </w:rPr>
        <w:t>6.10.5 Provisional Estimates from the Existing Datasets</w:t>
        <w:tab/>
        <w:t>119</w:t>
      </w:r>
    </w:p>
    <w:p>
      <w:pPr>
        <w:pStyle w:val="TOC2"/>
        <w:keepNext w:val="0"/>
        <w:keepLines/>
        <w:tabs>
          <w:tab w:pos="8496" w:val="right" w:leader="dot"/>
        </w:tabs>
        <w:spacing w:before="0" w:after="80" w:line="276" w:lineRule="auto"/>
        <w:ind w:right="374"/>
      </w:pPr>
      <w:r>
        <w:rPr>
          <w:rFonts w:ascii="Times New Roman" w:hAnsi="Times New Roman"/>
          <w:sz w:val="22"/>
        </w:rPr>
        <w:t>6.11 Consolidated Statistical Results</w:t>
        <w:tab/>
        <w:t>119</w:t>
      </w:r>
    </w:p>
    <w:p>
      <w:pPr>
        <w:pStyle w:val="TOC2"/>
        <w:keepNext w:val="0"/>
        <w:keepLines/>
        <w:tabs>
          <w:tab w:pos="8496" w:val="right" w:leader="dot"/>
        </w:tabs>
        <w:spacing w:before="0" w:after="80" w:line="276" w:lineRule="auto"/>
        <w:ind w:right="374"/>
      </w:pPr>
      <w:r>
        <w:rPr>
          <w:rFonts w:ascii="Times New Roman" w:hAnsi="Times New Roman"/>
          <w:sz w:val="22"/>
        </w:rPr>
        <w:t>6.12 The Expert Consultation Panel (March–September 2026)</w:t>
        <w:tab/>
        <w:t>121</w:t>
      </w:r>
    </w:p>
    <w:p>
      <w:pPr>
        <w:pStyle w:val="TOC1"/>
        <w:keepNext w:val="0"/>
        <w:keepLines/>
        <w:tabs>
          <w:tab w:pos="8496" w:val="right" w:leader="dot"/>
        </w:tabs>
        <w:spacing w:before="0" w:after="80" w:line="276" w:lineRule="auto"/>
        <w:ind w:right="374"/>
      </w:pPr>
      <w:r>
        <w:rPr>
          <w:rFonts w:ascii="Times New Roman" w:hAnsi="Times New Roman"/>
          <w:sz w:val="22"/>
        </w:rPr>
        <w:t>Chapter 7 Discussion of Gamification and Adaptive Improvement</w:t>
        <w:tab/>
        <w:t>124</w:t>
      </w:r>
    </w:p>
    <w:p>
      <w:pPr>
        <w:pStyle w:val="TOC2"/>
        <w:keepNext w:val="0"/>
        <w:keepLines/>
        <w:tabs>
          <w:tab w:pos="8496" w:val="right" w:leader="dot"/>
        </w:tabs>
        <w:spacing w:before="0" w:after="80" w:line="276" w:lineRule="auto"/>
        <w:ind w:right="374"/>
      </w:pPr>
      <w:r>
        <w:rPr>
          <w:rFonts w:ascii="Times New Roman" w:hAnsi="Times New Roman"/>
          <w:sz w:val="22"/>
        </w:rPr>
        <w:t>7.1 From Engagement Difficulty to a Testable Adaptive Response</w:t>
        <w:tab/>
        <w:t>124</w:t>
      </w:r>
    </w:p>
    <w:p>
      <w:pPr>
        <w:pStyle w:val="TOC2"/>
        <w:keepNext w:val="0"/>
        <w:keepLines/>
        <w:tabs>
          <w:tab w:pos="8496" w:val="right" w:leader="dot"/>
        </w:tabs>
        <w:spacing w:before="0" w:after="80" w:line="276" w:lineRule="auto"/>
        <w:ind w:right="374"/>
      </w:pPr>
      <w:r>
        <w:rPr>
          <w:rFonts w:ascii="Times New Roman" w:hAnsi="Times New Roman"/>
          <w:sz w:val="22"/>
        </w:rPr>
        <w:t>7.2 Adaptive Learning in the Gamification Literature</w:t>
        <w:tab/>
        <w:t>124</w:t>
      </w:r>
    </w:p>
    <w:p>
      <w:pPr>
        <w:pStyle w:val="TOC2"/>
        <w:keepNext w:val="0"/>
        <w:keepLines/>
        <w:tabs>
          <w:tab w:pos="8496" w:val="right" w:leader="dot"/>
        </w:tabs>
        <w:spacing w:before="0" w:after="80" w:line="276" w:lineRule="auto"/>
        <w:ind w:right="374"/>
      </w:pPr>
      <w:r>
        <w:rPr>
          <w:rFonts w:ascii="Times New Roman" w:hAnsi="Times New Roman"/>
          <w:sz w:val="22"/>
        </w:rPr>
        <w:t>7.3 Endowment-Protective and Learning-Trajectory Appraisals as Competing Design Regimes</w:t>
        <w:tab/>
        <w:t>125</w:t>
      </w:r>
    </w:p>
    <w:p>
      <w:pPr>
        <w:pStyle w:val="TOC2"/>
        <w:keepNext w:val="0"/>
        <w:keepLines/>
        <w:tabs>
          <w:tab w:pos="8496" w:val="right" w:leader="dot"/>
        </w:tabs>
        <w:spacing w:before="0" w:after="80" w:line="276" w:lineRule="auto"/>
        <w:ind w:right="374"/>
      </w:pPr>
      <w:r>
        <w:rPr>
          <w:rFonts w:ascii="Times New Roman" w:hAnsi="Times New Roman"/>
          <w:sz w:val="22"/>
        </w:rPr>
        <w:t>7.4 Formalising the Proposed Adaptive Learning Framework</w:t>
        <w:tab/>
        <w:t>125</w:t>
      </w:r>
    </w:p>
    <w:p>
      <w:pPr>
        <w:pStyle w:val="TOC2"/>
        <w:keepNext w:val="0"/>
        <w:keepLines/>
        <w:tabs>
          <w:tab w:pos="8496" w:val="right" w:leader="dot"/>
        </w:tabs>
        <w:spacing w:before="0" w:after="80" w:line="276" w:lineRule="auto"/>
        <w:ind w:right="374"/>
      </w:pPr>
      <w:r>
        <w:rPr>
          <w:rFonts w:ascii="Times New Roman" w:hAnsi="Times New Roman"/>
          <w:sz w:val="22"/>
        </w:rPr>
        <w:t>7.5 Proposed Reference Architecture and Progress Representation</w:t>
        <w:tab/>
        <w:t>128</w:t>
      </w:r>
    </w:p>
    <w:p>
      <w:pPr>
        <w:pStyle w:val="TOC3"/>
        <w:keepNext w:val="0"/>
        <w:keepLines/>
        <w:tabs>
          <w:tab w:pos="8496" w:val="right" w:leader="dot"/>
        </w:tabs>
        <w:spacing w:before="0" w:after="80" w:line="276" w:lineRule="auto"/>
        <w:ind w:right="374"/>
      </w:pPr>
      <w:r>
        <w:rPr>
          <w:rFonts w:ascii="Times New Roman" w:hAnsi="Times New Roman"/>
          <w:sz w:val="22"/>
        </w:rPr>
        <w:t>7.5.1 Reference Stack</w:t>
        <w:tab/>
        <w:t>129</w:t>
      </w:r>
    </w:p>
    <w:p>
      <w:pPr>
        <w:pStyle w:val="TOC3"/>
        <w:keepNext w:val="0"/>
        <w:keepLines/>
        <w:tabs>
          <w:tab w:pos="8496" w:val="right" w:leader="dot"/>
        </w:tabs>
        <w:spacing w:before="0" w:after="80" w:line="276" w:lineRule="auto"/>
        <w:ind w:right="374"/>
      </w:pPr>
      <w:r>
        <w:rPr>
          <w:rFonts w:ascii="Times New Roman" w:hAnsi="Times New Roman"/>
          <w:sz w:val="22"/>
        </w:rPr>
        <w:t>7.5.2 Credible Progress Under Changing Task Conditions</w:t>
        <w:tab/>
        <w:t>130</w:t>
      </w:r>
    </w:p>
    <w:p>
      <w:pPr>
        <w:pStyle w:val="TOC3"/>
        <w:keepNext w:val="0"/>
        <w:keepLines/>
        <w:tabs>
          <w:tab w:pos="8496" w:val="right" w:leader="dot"/>
        </w:tabs>
        <w:spacing w:before="0" w:after="80" w:line="276" w:lineRule="auto"/>
        <w:ind w:right="374"/>
      </w:pPr>
      <w:r>
        <w:rPr>
          <w:rFonts w:ascii="Times New Roman" w:hAnsi="Times New Roman"/>
          <w:sz w:val="22"/>
        </w:rPr>
        <w:t>7.5.3 Coaching Protocol Specification</w:t>
        <w:tab/>
        <w:t>132</w:t>
      </w:r>
    </w:p>
    <w:p>
      <w:pPr>
        <w:pStyle w:val="TOC2"/>
        <w:keepNext w:val="0"/>
        <w:keepLines/>
        <w:tabs>
          <w:tab w:pos="8496" w:val="right" w:leader="dot"/>
        </w:tabs>
        <w:spacing w:before="0" w:after="80" w:line="276" w:lineRule="auto"/>
        <w:ind w:right="374"/>
      </w:pPr>
      <w:r>
        <w:rPr>
          <w:rFonts w:ascii="Times New Roman" w:hAnsi="Times New Roman"/>
          <w:sz w:val="22"/>
        </w:rPr>
        <w:t>7.5A Relationships Among the Phenomenon, Principles and Engine</w:t>
        <w:tab/>
        <w:t>133</w:t>
      </w:r>
    </w:p>
    <w:p>
      <w:pPr>
        <w:pStyle w:val="TOC2"/>
        <w:keepNext w:val="0"/>
        <w:keepLines/>
        <w:tabs>
          <w:tab w:pos="8496" w:val="right" w:leader="dot"/>
        </w:tabs>
        <w:spacing w:before="0" w:after="80" w:line="276" w:lineRule="auto"/>
        <w:ind w:right="374"/>
      </w:pPr>
      <w:r>
        <w:rPr>
          <w:rFonts w:ascii="Times New Roman" w:hAnsi="Times New Roman"/>
          <w:sz w:val="22"/>
        </w:rPr>
        <w:t>7.6 Applied Case Studies</w:t>
        <w:tab/>
        <w:t>133</w:t>
      </w:r>
    </w:p>
    <w:p>
      <w:pPr>
        <w:pStyle w:val="TOC3"/>
        <w:keepNext w:val="0"/>
        <w:keepLines/>
        <w:tabs>
          <w:tab w:pos="8496" w:val="right" w:leader="dot"/>
        </w:tabs>
        <w:spacing w:before="0" w:after="80" w:line="276" w:lineRule="auto"/>
        <w:ind w:right="374"/>
      </w:pPr>
      <w:r>
        <w:rPr>
          <w:rFonts w:ascii="Times New Roman" w:hAnsi="Times New Roman"/>
          <w:sz w:val="22"/>
        </w:rPr>
        <w:t>7.6.1 Case Study A — FRA Reaction Mode (proposed)</w:t>
        <w:tab/>
        <w:t>133</w:t>
      </w:r>
    </w:p>
    <w:p>
      <w:pPr>
        <w:pStyle w:val="TOC3"/>
        <w:keepNext w:val="0"/>
        <w:keepLines/>
        <w:tabs>
          <w:tab w:pos="8496" w:val="right" w:leader="dot"/>
        </w:tabs>
        <w:spacing w:before="0" w:after="80" w:line="276" w:lineRule="auto"/>
        <w:ind w:right="374"/>
      </w:pPr>
      <w:r>
        <w:rPr>
          <w:rFonts w:ascii="Times New Roman" w:hAnsi="Times New Roman"/>
          <w:sz w:val="22"/>
        </w:rPr>
        <w:t>7.6.2 Case Study B — Continuous Glucose Monitoring (CGM) reframed as a Streak Companion (illustrative)</w:t>
        <w:tab/>
        <w:t>134</w:t>
      </w:r>
    </w:p>
    <w:p>
      <w:pPr>
        <w:pStyle w:val="TOC3"/>
        <w:keepNext w:val="0"/>
        <w:keepLines/>
        <w:tabs>
          <w:tab w:pos="8496" w:val="right" w:leader="dot"/>
        </w:tabs>
        <w:spacing w:before="0" w:after="80" w:line="276" w:lineRule="auto"/>
        <w:ind w:right="374"/>
      </w:pPr>
      <w:r>
        <w:rPr>
          <w:rFonts w:ascii="Times New Roman" w:hAnsi="Times New Roman"/>
          <w:sz w:val="22"/>
        </w:rPr>
        <w:t>7.6.3 Case Study C — Sleep Tracker reframed as an Adventure Log (illustrative)</w:t>
        <w:tab/>
        <w:t>134</w:t>
      </w:r>
    </w:p>
    <w:p>
      <w:pPr>
        <w:pStyle w:val="TOC3"/>
        <w:keepNext w:val="0"/>
        <w:keepLines/>
        <w:tabs>
          <w:tab w:pos="8496" w:val="right" w:leader="dot"/>
        </w:tabs>
        <w:spacing w:before="0" w:after="80" w:line="276" w:lineRule="auto"/>
        <w:ind w:right="374"/>
      </w:pPr>
      <w:r>
        <w:rPr>
          <w:rFonts w:ascii="Times New Roman" w:hAnsi="Times New Roman"/>
          <w:sz w:val="22"/>
        </w:rPr>
        <w:t>7.6.4 Cross-Case Synthesis</w:t>
        <w:tab/>
        <w:t>134</w:t>
      </w:r>
    </w:p>
    <w:p>
      <w:pPr>
        <w:pStyle w:val="TOC2"/>
        <w:keepNext w:val="0"/>
        <w:keepLines/>
        <w:tabs>
          <w:tab w:pos="8496" w:val="right" w:leader="dot"/>
        </w:tabs>
        <w:spacing w:before="0" w:after="80" w:line="276" w:lineRule="auto"/>
        <w:ind w:right="374"/>
      </w:pPr>
      <w:r>
        <w:rPr>
          <w:rFonts w:ascii="Times New Roman" w:hAnsi="Times New Roman"/>
          <w:sz w:val="22"/>
        </w:rPr>
        <w:t>7.6A Dynamic Game States as Responses to Difficulty</w:t>
        <w:tab/>
        <w:t>134</w:t>
      </w:r>
    </w:p>
    <w:p>
      <w:pPr>
        <w:pStyle w:val="TOC2"/>
        <w:keepNext w:val="0"/>
        <w:keepLines/>
        <w:tabs>
          <w:tab w:pos="8496" w:val="right" w:leader="dot"/>
        </w:tabs>
        <w:spacing w:before="0" w:after="80" w:line="276" w:lineRule="auto"/>
        <w:ind w:right="374"/>
      </w:pPr>
      <w:r>
        <w:rPr>
          <w:rFonts w:ascii="Times New Roman" w:hAnsi="Times New Roman"/>
          <w:sz w:val="22"/>
        </w:rPr>
        <w:t>7.7 Boundary Conditions and Risks</w:t>
        <w:tab/>
        <w:t>135</w:t>
      </w:r>
    </w:p>
    <w:p>
      <w:pPr>
        <w:pStyle w:val="TOC2"/>
        <w:keepNext w:val="0"/>
        <w:keepLines/>
        <w:tabs>
          <w:tab w:pos="8496" w:val="right" w:leader="dot"/>
        </w:tabs>
        <w:spacing w:before="0" w:after="80" w:line="276" w:lineRule="auto"/>
        <w:ind w:right="374"/>
      </w:pPr>
      <w:r>
        <w:rPr>
          <w:rFonts w:ascii="Times New Roman" w:hAnsi="Times New Roman"/>
          <w:sz w:val="22"/>
        </w:rPr>
        <w:t>7.8 Sequencing of the Three Principles</w:t>
        <w:tab/>
        <w:t>136</w:t>
      </w:r>
    </w:p>
    <w:p>
      <w:pPr>
        <w:pStyle w:val="TOC2"/>
        <w:keepNext w:val="0"/>
        <w:keepLines/>
        <w:tabs>
          <w:tab w:pos="8496" w:val="right" w:leader="dot"/>
        </w:tabs>
        <w:spacing w:before="0" w:after="80" w:line="276" w:lineRule="auto"/>
        <w:ind w:right="374"/>
      </w:pPr>
      <w:r>
        <w:rPr>
          <w:rFonts w:ascii="Times New Roman" w:hAnsi="Times New Roman"/>
          <w:sz w:val="22"/>
        </w:rPr>
        <w:t>7.9 Gamification, Continuous Improvement and Innovation Enhancement</w:t>
        <w:tab/>
        <w:t>136</w:t>
      </w:r>
    </w:p>
    <w:p>
      <w:pPr>
        <w:pStyle w:val="TOC1"/>
        <w:keepNext w:val="0"/>
        <w:keepLines/>
        <w:tabs>
          <w:tab w:pos="8496" w:val="right" w:leader="dot"/>
        </w:tabs>
        <w:spacing w:before="0" w:after="80" w:line="276" w:lineRule="auto"/>
        <w:ind w:right="374"/>
      </w:pPr>
      <w:r>
        <w:rPr>
          <w:rFonts w:ascii="Times New Roman" w:hAnsi="Times New Roman"/>
          <w:sz w:val="22"/>
        </w:rPr>
        <w:t>Chapter 8 Contributions, Alternative Explanations, Limitations and Ethics</w:t>
        <w:tab/>
        <w:t>144</w:t>
      </w:r>
    </w:p>
    <w:p>
      <w:pPr>
        <w:pStyle w:val="TOC2"/>
        <w:keepNext w:val="0"/>
        <w:keepLines/>
        <w:tabs>
          <w:tab w:pos="8496" w:val="right" w:leader="dot"/>
        </w:tabs>
        <w:spacing w:before="0" w:after="80" w:line="276" w:lineRule="auto"/>
        <w:ind w:right="374"/>
      </w:pPr>
      <w:r>
        <w:rPr>
          <w:rFonts w:ascii="Times New Roman" w:hAnsi="Times New Roman"/>
          <w:sz w:val="22"/>
        </w:rPr>
        <w:t>8.1 Theoretical Contributions</w:t>
        <w:tab/>
        <w:t>145</w:t>
      </w:r>
    </w:p>
    <w:p>
      <w:pPr>
        <w:pStyle w:val="TOC2"/>
        <w:keepNext w:val="0"/>
        <w:keepLines/>
        <w:tabs>
          <w:tab w:pos="8496" w:val="right" w:leader="dot"/>
        </w:tabs>
        <w:spacing w:before="0" w:after="80" w:line="276" w:lineRule="auto"/>
        <w:ind w:right="374"/>
      </w:pPr>
      <w:r>
        <w:rPr>
          <w:rFonts w:ascii="Times New Roman" w:hAnsi="Times New Roman"/>
          <w:sz w:val="22"/>
        </w:rPr>
        <w:t>8.2 Methodological Contributions</w:t>
        <w:tab/>
        <w:t>145</w:t>
      </w:r>
    </w:p>
    <w:p>
      <w:pPr>
        <w:pStyle w:val="TOC2"/>
        <w:keepNext w:val="0"/>
        <w:keepLines/>
        <w:tabs>
          <w:tab w:pos="8496" w:val="right" w:leader="dot"/>
        </w:tabs>
        <w:spacing w:before="0" w:after="80" w:line="276" w:lineRule="auto"/>
        <w:ind w:right="374"/>
      </w:pPr>
      <w:r>
        <w:rPr>
          <w:rFonts w:ascii="Times New Roman" w:hAnsi="Times New Roman"/>
          <w:sz w:val="22"/>
        </w:rPr>
        <w:t>8.3 Empirical Contributions</w:t>
        <w:tab/>
        <w:t>146</w:t>
      </w:r>
    </w:p>
    <w:p>
      <w:pPr>
        <w:pStyle w:val="TOC2"/>
        <w:keepNext w:val="0"/>
        <w:keepLines/>
        <w:tabs>
          <w:tab w:pos="8496" w:val="right" w:leader="dot"/>
        </w:tabs>
        <w:spacing w:before="0" w:after="80" w:line="276" w:lineRule="auto"/>
        <w:ind w:right="374"/>
      </w:pPr>
      <w:r>
        <w:rPr>
          <w:rFonts w:ascii="Times New Roman" w:hAnsi="Times New Roman"/>
          <w:sz w:val="22"/>
        </w:rPr>
        <w:t>8.4 Industrial and Practical Contributions</w:t>
        <w:tab/>
        <w:t>146</w:t>
      </w:r>
    </w:p>
    <w:p>
      <w:pPr>
        <w:pStyle w:val="TOC2"/>
        <w:keepNext w:val="0"/>
        <w:keepLines/>
        <w:tabs>
          <w:tab w:pos="8496" w:val="right" w:leader="dot"/>
        </w:tabs>
        <w:spacing w:before="0" w:after="80" w:line="276" w:lineRule="auto"/>
        <w:ind w:right="374"/>
      </w:pPr>
      <w:r>
        <w:rPr>
          <w:rFonts w:ascii="Times New Roman" w:hAnsi="Times New Roman"/>
          <w:sz w:val="22"/>
        </w:rPr>
        <w:t>8.4A A Forward-Looking Contribution: Sensing and Person-Conditioned Adaptation</w:t>
        <w:tab/>
        <w:t>147</w:t>
      </w:r>
    </w:p>
    <w:p>
      <w:pPr>
        <w:pStyle w:val="TOC2"/>
        <w:keepNext w:val="0"/>
        <w:keepLines/>
        <w:tabs>
          <w:tab w:pos="8496" w:val="right" w:leader="dot"/>
        </w:tabs>
        <w:spacing w:before="0" w:after="80" w:line="276" w:lineRule="auto"/>
        <w:ind w:right="374"/>
      </w:pPr>
      <w:r>
        <w:rPr>
          <w:rFonts w:ascii="Times New Roman" w:hAnsi="Times New Roman"/>
          <w:sz w:val="22"/>
        </w:rPr>
        <w:t>8.5 Alternative Explanations</w:t>
        <w:tab/>
        <w:t>147</w:t>
      </w:r>
    </w:p>
    <w:p>
      <w:pPr>
        <w:pStyle w:val="TOC3"/>
        <w:keepNext w:val="0"/>
        <w:keepLines/>
        <w:tabs>
          <w:tab w:pos="8496" w:val="right" w:leader="dot"/>
        </w:tabs>
        <w:spacing w:before="0" w:after="80" w:line="276" w:lineRule="auto"/>
        <w:ind w:right="374"/>
      </w:pPr>
      <w:r>
        <w:rPr>
          <w:rFonts w:ascii="Times New Roman" w:hAnsi="Times New Roman"/>
          <w:sz w:val="22"/>
        </w:rPr>
        <w:t>8.5.1 Cohort Self-Selection</w:t>
        <w:tab/>
        <w:t>147</w:t>
      </w:r>
    </w:p>
    <w:p>
      <w:pPr>
        <w:pStyle w:val="TOC3"/>
        <w:keepNext w:val="0"/>
        <w:keepLines/>
        <w:tabs>
          <w:tab w:pos="8496" w:val="right" w:leader="dot"/>
        </w:tabs>
        <w:spacing w:before="0" w:after="80" w:line="276" w:lineRule="auto"/>
        <w:ind w:right="374"/>
      </w:pPr>
      <w:r>
        <w:rPr>
          <w:rFonts w:ascii="Times New Roman" w:hAnsi="Times New Roman"/>
          <w:sz w:val="22"/>
        </w:rPr>
        <w:t>8.5.2 Novelty Effect</w:t>
        <w:tab/>
        <w:t>148</w:t>
      </w:r>
    </w:p>
    <w:p>
      <w:pPr>
        <w:pStyle w:val="TOC3"/>
        <w:keepNext w:val="0"/>
        <w:keepLines/>
        <w:tabs>
          <w:tab w:pos="8496" w:val="right" w:leader="dot"/>
        </w:tabs>
        <w:spacing w:before="0" w:after="80" w:line="276" w:lineRule="auto"/>
        <w:ind w:right="374"/>
      </w:pPr>
      <w:r>
        <w:rPr>
          <w:rFonts w:ascii="Times New Roman" w:hAnsi="Times New Roman"/>
          <w:sz w:val="22"/>
        </w:rPr>
        <w:t>8.5.3 Demand Characteristics and Hawthorne Effect</w:t>
        <w:tab/>
        <w:t>148</w:t>
      </w:r>
    </w:p>
    <w:p>
      <w:pPr>
        <w:pStyle w:val="TOC3"/>
        <w:keepNext w:val="0"/>
        <w:keepLines/>
        <w:tabs>
          <w:tab w:pos="8496" w:val="right" w:leader="dot"/>
        </w:tabs>
        <w:spacing w:before="0" w:after="80" w:line="276" w:lineRule="auto"/>
        <w:ind w:right="374"/>
      </w:pPr>
      <w:r>
        <w:rPr>
          <w:rFonts w:ascii="Times New Roman" w:hAnsi="Times New Roman"/>
          <w:sz w:val="22"/>
        </w:rPr>
        <w:t>8.5.4 Regression to the Mean</w:t>
        <w:tab/>
        <w:t>148</w:t>
      </w:r>
    </w:p>
    <w:p>
      <w:pPr>
        <w:pStyle w:val="TOC3"/>
        <w:keepNext w:val="0"/>
        <w:keepLines/>
        <w:tabs>
          <w:tab w:pos="8496" w:val="right" w:leader="dot"/>
        </w:tabs>
        <w:spacing w:before="0" w:after="80" w:line="276" w:lineRule="auto"/>
        <w:ind w:right="374"/>
      </w:pPr>
      <w:r>
        <w:rPr>
          <w:rFonts w:ascii="Times New Roman" w:hAnsi="Times New Roman"/>
          <w:sz w:val="22"/>
        </w:rPr>
        <w:t>8.5.5 Physical Fatigue and Motor-Learning Limits</w:t>
        <w:tab/>
        <w:t>148</w:t>
      </w:r>
    </w:p>
    <w:p>
      <w:pPr>
        <w:pStyle w:val="TOC3"/>
        <w:keepNext w:val="0"/>
        <w:keepLines/>
        <w:tabs>
          <w:tab w:pos="8496" w:val="right" w:leader="dot"/>
        </w:tabs>
        <w:spacing w:before="0" w:after="80" w:line="276" w:lineRule="auto"/>
        <w:ind w:right="374"/>
      </w:pPr>
      <w:r>
        <w:rPr>
          <w:rFonts w:ascii="Times New Roman" w:hAnsi="Times New Roman"/>
          <w:sz w:val="22"/>
        </w:rPr>
        <w:t>8.5.6 Language and Literacy Confounds</w:t>
        <w:tab/>
        <w:t>149</w:t>
      </w:r>
    </w:p>
    <w:p>
      <w:pPr>
        <w:pStyle w:val="TOC3"/>
        <w:keepNext w:val="0"/>
        <w:keepLines/>
        <w:tabs>
          <w:tab w:pos="8496" w:val="right" w:leader="dot"/>
        </w:tabs>
        <w:spacing w:before="0" w:after="80" w:line="276" w:lineRule="auto"/>
        <w:ind w:right="374"/>
      </w:pPr>
      <w:r>
        <w:rPr>
          <w:rFonts w:ascii="Times New Roman" w:hAnsi="Times New Roman"/>
          <w:sz w:val="22"/>
        </w:rPr>
        <w:t>8.5.7 Mechanism-Aspecific Just-Better-Design Alternative</w:t>
        <w:tab/>
        <w:t>149</w:t>
      </w:r>
    </w:p>
    <w:p>
      <w:pPr>
        <w:pStyle w:val="TOC3"/>
        <w:keepNext w:val="0"/>
        <w:keepLines/>
        <w:tabs>
          <w:tab w:pos="8496" w:val="right" w:leader="dot"/>
        </w:tabs>
        <w:spacing w:before="0" w:after="80" w:line="276" w:lineRule="auto"/>
        <w:ind w:right="374"/>
      </w:pPr>
      <w:r>
        <w:rPr>
          <w:rFonts w:ascii="Times New Roman" w:hAnsi="Times New Roman"/>
          <w:sz w:val="22"/>
        </w:rPr>
        <w:t>8.5.8 Input Modality and Embodied Exposure</w:t>
        <w:tab/>
        <w:t>149</w:t>
      </w:r>
    </w:p>
    <w:p>
      <w:pPr>
        <w:pStyle w:val="TOC3"/>
        <w:keepNext w:val="0"/>
        <w:keepLines/>
        <w:tabs>
          <w:tab w:pos="8496" w:val="right" w:leader="dot"/>
        </w:tabs>
        <w:spacing w:before="0" w:after="80" w:line="276" w:lineRule="auto"/>
        <w:ind w:right="374"/>
      </w:pPr>
      <w:r>
        <w:rPr>
          <w:rFonts w:ascii="Times New Roman" w:hAnsi="Times New Roman"/>
          <w:sz w:val="22"/>
        </w:rPr>
        <w:t>8.5.9 Ordinary Discontinuance and Non-Usage Attrition</w:t>
        <w:tab/>
        <w:t>150</w:t>
      </w:r>
    </w:p>
    <w:p>
      <w:pPr>
        <w:pStyle w:val="TOC3"/>
        <w:keepNext w:val="0"/>
        <w:keepLines/>
        <w:tabs>
          <w:tab w:pos="8496" w:val="right" w:leader="dot"/>
        </w:tabs>
        <w:spacing w:before="0" w:after="80" w:line="276" w:lineRule="auto"/>
        <w:ind w:right="374"/>
      </w:pPr>
      <w:r>
        <w:rPr>
          <w:rFonts w:ascii="Times New Roman" w:hAnsi="Times New Roman"/>
          <w:sz w:val="22"/>
        </w:rPr>
        <w:t>8.5.10 Rational Consequence-Avoidance</w:t>
        <w:tab/>
        <w:t>151</w:t>
      </w:r>
    </w:p>
    <w:p>
      <w:pPr>
        <w:pStyle w:val="TOC2"/>
        <w:keepNext w:val="0"/>
        <w:keepLines/>
        <w:tabs>
          <w:tab w:pos="8496" w:val="right" w:leader="dot"/>
        </w:tabs>
        <w:spacing w:before="0" w:after="80" w:line="276" w:lineRule="auto"/>
        <w:ind w:right="374"/>
      </w:pPr>
      <w:r>
        <w:rPr>
          <w:rFonts w:ascii="Times New Roman" w:hAnsi="Times New Roman"/>
          <w:sz w:val="22"/>
        </w:rPr>
        <w:t>8.6 Limitations</w:t>
        <w:tab/>
        <w:t>151</w:t>
      </w:r>
    </w:p>
    <w:p>
      <w:pPr>
        <w:pStyle w:val="TOC2"/>
        <w:keepNext w:val="0"/>
        <w:keepLines/>
        <w:tabs>
          <w:tab w:pos="8496" w:val="right" w:leader="dot"/>
        </w:tabs>
        <w:spacing w:before="0" w:after="80" w:line="276" w:lineRule="auto"/>
        <w:ind w:right="374"/>
      </w:pPr>
      <w:r>
        <w:rPr>
          <w:rFonts w:ascii="Times New Roman" w:hAnsi="Times New Roman"/>
          <w:sz w:val="22"/>
        </w:rPr>
        <w:t>8.6A A Further Limitation: The Deployed Sensing and Adaptation Configuration</w:t>
        <w:tab/>
        <w:t>152</w:t>
      </w:r>
    </w:p>
    <w:p>
      <w:pPr>
        <w:pStyle w:val="TOC2"/>
        <w:keepNext w:val="0"/>
        <w:keepLines/>
        <w:tabs>
          <w:tab w:pos="8496" w:val="right" w:leader="dot"/>
        </w:tabs>
        <w:spacing w:before="0" w:after="80" w:line="276" w:lineRule="auto"/>
        <w:ind w:right="374"/>
      </w:pPr>
      <w:r>
        <w:rPr>
          <w:rFonts w:ascii="Times New Roman" w:hAnsi="Times New Roman"/>
          <w:sz w:val="22"/>
        </w:rPr>
        <w:t>8.6B Extending the Unit of Analysis: Abandonment as a Three-Party Decision</w:t>
        <w:tab/>
        <w:t>153</w:t>
      </w:r>
    </w:p>
    <w:p>
      <w:pPr>
        <w:pStyle w:val="TOC2"/>
        <w:keepNext w:val="0"/>
        <w:keepLines/>
        <w:tabs>
          <w:tab w:pos="8496" w:val="right" w:leader="dot"/>
        </w:tabs>
        <w:spacing w:before="0" w:after="80" w:line="276" w:lineRule="auto"/>
        <w:ind w:right="374"/>
      </w:pPr>
      <w:r>
        <w:rPr>
          <w:rFonts w:ascii="Times New Roman" w:hAnsi="Times New Roman"/>
          <w:sz w:val="22"/>
        </w:rPr>
        <w:t>8.7 Ethical Considerations</w:t>
        <w:tab/>
        <w:t>154</w:t>
      </w:r>
    </w:p>
    <w:p>
      <w:pPr>
        <w:pStyle w:val="TOC3"/>
        <w:keepNext w:val="0"/>
        <w:keepLines/>
        <w:tabs>
          <w:tab w:pos="8496" w:val="right" w:leader="dot"/>
        </w:tabs>
        <w:spacing w:before="0" w:after="80" w:line="276" w:lineRule="auto"/>
        <w:ind w:right="374"/>
      </w:pPr>
      <w:r>
        <w:rPr>
          <w:rFonts w:ascii="Times New Roman" w:hAnsi="Times New Roman"/>
          <w:sz w:val="22"/>
        </w:rPr>
        <w:t>8.7.1 Vulnerability of Frail Older Adults</w:t>
        <w:tab/>
        <w:t>154</w:t>
      </w:r>
    </w:p>
    <w:p>
      <w:pPr>
        <w:pStyle w:val="TOC3"/>
        <w:keepNext w:val="0"/>
        <w:keepLines/>
        <w:tabs>
          <w:tab w:pos="8496" w:val="right" w:leader="dot"/>
        </w:tabs>
        <w:spacing w:before="0" w:after="80" w:line="276" w:lineRule="auto"/>
        <w:ind w:right="374"/>
      </w:pPr>
      <w:r>
        <w:rPr>
          <w:rFonts w:ascii="Times New Roman" w:hAnsi="Times New Roman"/>
          <w:sz w:val="22"/>
        </w:rPr>
        <w:t>8.7.2 Decoupling and the Deception Question</w:t>
        <w:tab/>
        <w:t>155</w:t>
      </w:r>
    </w:p>
    <w:p>
      <w:pPr>
        <w:pStyle w:val="TOC3"/>
        <w:keepNext w:val="0"/>
        <w:keepLines/>
        <w:tabs>
          <w:tab w:pos="8496" w:val="right" w:leader="dot"/>
        </w:tabs>
        <w:spacing w:before="0" w:after="80" w:line="276" w:lineRule="auto"/>
        <w:ind w:right="374"/>
      </w:pPr>
      <w:r>
        <w:rPr>
          <w:rFonts w:ascii="Times New Roman" w:hAnsi="Times New Roman"/>
          <w:sz w:val="22"/>
        </w:rPr>
        <w:t>8.7.3 Autonomy, Dignity and the Right Not to Engage</w:t>
        <w:tab/>
        <w:t>155</w:t>
      </w:r>
    </w:p>
    <w:p>
      <w:pPr>
        <w:pStyle w:val="TOC3"/>
        <w:keepNext w:val="0"/>
        <w:keepLines/>
        <w:tabs>
          <w:tab w:pos="8496" w:val="right" w:leader="dot"/>
        </w:tabs>
        <w:spacing w:before="0" w:after="80" w:line="276" w:lineRule="auto"/>
        <w:ind w:right="374"/>
      </w:pPr>
      <w:r>
        <w:rPr>
          <w:rFonts w:ascii="Times New Roman" w:hAnsi="Times New Roman"/>
          <w:sz w:val="22"/>
        </w:rPr>
        <w:t>8.7.4 Equity, Access and Deployment Risks</w:t>
        <w:tab/>
        <w:t>155</w:t>
      </w:r>
    </w:p>
    <w:p>
      <w:pPr>
        <w:pStyle w:val="TOC3"/>
        <w:keepNext w:val="0"/>
        <w:keepLines/>
        <w:tabs>
          <w:tab w:pos="8496" w:val="right" w:leader="dot"/>
        </w:tabs>
        <w:spacing w:before="0" w:after="80" w:line="276" w:lineRule="auto"/>
        <w:ind w:right="374"/>
      </w:pPr>
      <w:r>
        <w:rPr>
          <w:rFonts w:ascii="Times New Roman" w:hAnsi="Times New Roman"/>
          <w:sz w:val="22"/>
        </w:rPr>
        <w:t>8.7.5 Embedded Researcher Bias</w:t>
        <w:tab/>
        <w:t>156</w:t>
      </w:r>
    </w:p>
    <w:p>
      <w:pPr>
        <w:pStyle w:val="TOC2"/>
        <w:keepNext w:val="0"/>
        <w:keepLines/>
        <w:tabs>
          <w:tab w:pos="8496" w:val="right" w:leader="dot"/>
        </w:tabs>
        <w:spacing w:before="0" w:after="80" w:line="276" w:lineRule="auto"/>
        <w:ind w:right="374"/>
      </w:pPr>
      <w:r>
        <w:rPr>
          <w:rFonts w:ascii="Times New Roman" w:hAnsi="Times New Roman"/>
          <w:sz w:val="22"/>
        </w:rPr>
        <w:t>8.8 Future Research</w:t>
        <w:tab/>
        <w:t>156</w:t>
      </w:r>
    </w:p>
    <w:p>
      <w:pPr>
        <w:pStyle w:val="TOC2"/>
        <w:keepNext w:val="0"/>
        <w:keepLines/>
        <w:tabs>
          <w:tab w:pos="8496" w:val="right" w:leader="dot"/>
        </w:tabs>
        <w:spacing w:before="0" w:after="80" w:line="276" w:lineRule="auto"/>
        <w:ind w:right="374"/>
      </w:pPr>
      <w:r>
        <w:rPr>
          <w:rFonts w:ascii="Times New Roman" w:hAnsi="Times New Roman"/>
          <w:sz w:val="22"/>
        </w:rPr>
        <w:t>8.9 Reproducibility and Data Availability</w:t>
        <w:tab/>
        <w:t>162</w:t>
      </w:r>
    </w:p>
    <w:p>
      <w:pPr>
        <w:pStyle w:val="TOC1"/>
        <w:keepNext w:val="0"/>
        <w:keepLines/>
        <w:tabs>
          <w:tab w:pos="8496" w:val="right" w:leader="dot"/>
        </w:tabs>
        <w:spacing w:before="0" w:after="80" w:line="276" w:lineRule="auto"/>
        <w:ind w:right="374"/>
      </w:pPr>
      <w:r>
        <w:rPr>
          <w:rFonts w:ascii="Times New Roman" w:hAnsi="Times New Roman"/>
          <w:sz w:val="22"/>
        </w:rPr>
        <w:t>Chapter 9 Conclusion</w:t>
        <w:tab/>
        <w:t>165</w:t>
      </w:r>
    </w:p>
    <w:p>
      <w:pPr>
        <w:pStyle w:val="TOC2"/>
        <w:keepNext w:val="0"/>
        <w:keepLines/>
        <w:tabs>
          <w:tab w:pos="8496" w:val="right" w:leader="dot"/>
        </w:tabs>
        <w:spacing w:before="0" w:after="80" w:line="276" w:lineRule="auto"/>
        <w:ind w:right="374"/>
      </w:pPr>
      <w:r>
        <w:rPr>
          <w:rFonts w:ascii="Times New Roman" w:hAnsi="Times New Roman"/>
          <w:sz w:val="22"/>
        </w:rPr>
        <w:t>9.1 What This Programme Set Out to Do</w:t>
        <w:tab/>
        <w:t>165</w:t>
      </w:r>
    </w:p>
    <w:p>
      <w:pPr>
        <w:pStyle w:val="TOC2"/>
        <w:keepNext w:val="0"/>
        <w:keepLines/>
        <w:tabs>
          <w:tab w:pos="8496" w:val="right" w:leader="dot"/>
        </w:tabs>
        <w:spacing w:before="0" w:after="80" w:line="276" w:lineRule="auto"/>
        <w:ind w:right="374"/>
      </w:pPr>
      <w:r>
        <w:rPr>
          <w:rFonts w:ascii="Times New Roman" w:hAnsi="Times New Roman"/>
          <w:sz w:val="22"/>
        </w:rPr>
        <w:t>9.2 The Three-Stage Empirical Arc</w:t>
        <w:tab/>
        <w:t>165</w:t>
      </w:r>
    </w:p>
    <w:p>
      <w:pPr>
        <w:pStyle w:val="TOC2"/>
        <w:keepNext w:val="0"/>
        <w:keepLines/>
        <w:tabs>
          <w:tab w:pos="8496" w:val="right" w:leader="dot"/>
        </w:tabs>
        <w:spacing w:before="0" w:after="80" w:line="276" w:lineRule="auto"/>
        <w:ind w:right="374"/>
      </w:pPr>
      <w:r>
        <w:rPr>
          <w:rFonts w:ascii="Times New Roman" w:hAnsi="Times New Roman"/>
          <w:sz w:val="22"/>
        </w:rPr>
        <w:t>9.2A The Programme Diary: How the Knowledge and Design Questions Evolved</w:t>
        <w:tab/>
        <w:t>167</w:t>
      </w:r>
    </w:p>
    <w:p>
      <w:pPr>
        <w:pStyle w:val="TOC2"/>
        <w:keepNext w:val="0"/>
        <w:keepLines/>
        <w:tabs>
          <w:tab w:pos="8496" w:val="right" w:leader="dot"/>
        </w:tabs>
        <w:spacing w:before="0" w:after="80" w:line="276" w:lineRule="auto"/>
        <w:ind w:right="374"/>
      </w:pPr>
      <w:r>
        <w:rPr>
          <w:rFonts w:ascii="Times New Roman" w:hAnsi="Times New Roman"/>
          <w:sz w:val="22"/>
        </w:rPr>
        <w:t>9.3 The Central Finding: Contrasting Engagement Patterns Across Deployment Contexts</w:t>
        <w:tab/>
        <w:t>173</w:t>
      </w:r>
    </w:p>
    <w:p>
      <w:pPr>
        <w:pStyle w:val="TOC2"/>
        <w:keepNext w:val="0"/>
        <w:keepLines/>
        <w:tabs>
          <w:tab w:pos="8496" w:val="right" w:leader="dot"/>
        </w:tabs>
        <w:spacing w:before="0" w:after="80" w:line="276" w:lineRule="auto"/>
        <w:ind w:right="374"/>
      </w:pPr>
      <w:r>
        <w:rPr>
          <w:rFonts w:ascii="Times New Roman" w:hAnsi="Times New Roman"/>
          <w:sz w:val="22"/>
        </w:rPr>
        <w:t>9.3A From Observations to a Testable Engineering Response</w:t>
        <w:tab/>
        <w:t>174</w:t>
      </w:r>
    </w:p>
    <w:p>
      <w:pPr>
        <w:pStyle w:val="TOC2"/>
        <w:keepNext w:val="0"/>
        <w:keepLines/>
        <w:tabs>
          <w:tab w:pos="8496" w:val="right" w:leader="dot"/>
        </w:tabs>
        <w:spacing w:before="0" w:after="80" w:line="276" w:lineRule="auto"/>
        <w:ind w:right="374"/>
      </w:pPr>
      <w:r>
        <w:rPr>
          <w:rFonts w:ascii="Times New Roman" w:hAnsi="Times New Roman"/>
          <w:sz w:val="22"/>
        </w:rPr>
        <w:t>9.4 Implications for Gamification in Older-Adult Assessment</w:t>
        <w:tab/>
        <w:t>177</w:t>
      </w:r>
    </w:p>
    <w:p>
      <w:pPr>
        <w:pStyle w:val="TOC2"/>
        <w:keepNext w:val="0"/>
        <w:keepLines/>
        <w:tabs>
          <w:tab w:pos="8496" w:val="right" w:leader="dot"/>
        </w:tabs>
        <w:spacing w:before="0" w:after="80" w:line="276" w:lineRule="auto"/>
        <w:ind w:right="374"/>
      </w:pPr>
      <w:r>
        <w:rPr>
          <w:rFonts w:ascii="Times New Roman" w:hAnsi="Times New Roman"/>
          <w:sz w:val="22"/>
        </w:rPr>
        <w:t>9.5 Adaptive Learning and Credible Improvement Under Change</w:t>
        <w:tab/>
        <w:t>177</w:t>
      </w:r>
    </w:p>
    <w:p>
      <w:pPr>
        <w:pStyle w:val="TOC2"/>
        <w:keepNext w:val="0"/>
        <w:keepLines/>
        <w:tabs>
          <w:tab w:pos="8496" w:val="right" w:leader="dot"/>
        </w:tabs>
        <w:spacing w:before="0" w:after="80" w:line="276" w:lineRule="auto"/>
        <w:ind w:right="374"/>
      </w:pPr>
      <w:r>
        <w:rPr>
          <w:rFonts w:ascii="Times New Roman" w:hAnsi="Times New Roman"/>
          <w:sz w:val="22"/>
        </w:rPr>
        <w:t>9.6 Competing Appraisal Regimes: Endowment Protection and Learning Trajectory</w:t>
        <w:tab/>
        <w:t>178</w:t>
      </w:r>
    </w:p>
    <w:p>
      <w:pPr>
        <w:pStyle w:val="TOC2"/>
        <w:keepNext w:val="0"/>
        <w:keepLines/>
        <w:tabs>
          <w:tab w:pos="8496" w:val="right" w:leader="dot"/>
        </w:tabs>
        <w:spacing w:before="0" w:after="80" w:line="276" w:lineRule="auto"/>
        <w:ind w:right="374"/>
      </w:pPr>
      <w:r>
        <w:rPr>
          <w:rFonts w:ascii="Times New Roman" w:hAnsi="Times New Roman"/>
          <w:sz w:val="22"/>
        </w:rPr>
        <w:t>9.7 Contributions to Engineering and Theory</w:t>
        <w:tab/>
        <w:t>179</w:t>
      </w:r>
    </w:p>
    <w:p>
      <w:pPr>
        <w:pStyle w:val="TOC2"/>
        <w:keepNext w:val="0"/>
        <w:keepLines/>
        <w:tabs>
          <w:tab w:pos="8496" w:val="right" w:leader="dot"/>
        </w:tabs>
        <w:spacing w:before="0" w:after="80" w:line="276" w:lineRule="auto"/>
        <w:ind w:right="374"/>
      </w:pPr>
      <w:r>
        <w:rPr>
          <w:rFonts w:ascii="Times New Roman" w:hAnsi="Times New Roman"/>
          <w:sz w:val="22"/>
        </w:rPr>
        <w:t>9.8 Practical Contributions for Industry and Practice</w:t>
        <w:tab/>
        <w:t>180</w:t>
      </w:r>
    </w:p>
    <w:p>
      <w:pPr>
        <w:pStyle w:val="TOC2"/>
        <w:keepNext w:val="0"/>
        <w:keepLines/>
        <w:tabs>
          <w:tab w:pos="8496" w:val="right" w:leader="dot"/>
        </w:tabs>
        <w:spacing w:before="0" w:after="80" w:line="276" w:lineRule="auto"/>
        <w:ind w:right="374"/>
      </w:pPr>
      <w:r>
        <w:rPr>
          <w:rFonts w:ascii="Times New Roman" w:hAnsi="Times New Roman"/>
          <w:sz w:val="22"/>
        </w:rPr>
        <w:t>9.8A A Secondary Contribution to Gamification: Agentic-AI-Driven Dynamic Game States</w:t>
        <w:tab/>
        <w:t>181</w:t>
      </w:r>
    </w:p>
    <w:p>
      <w:pPr>
        <w:pStyle w:val="TOC2"/>
        <w:keepNext w:val="0"/>
        <w:keepLines/>
        <w:tabs>
          <w:tab w:pos="8496" w:val="right" w:leader="dot"/>
        </w:tabs>
        <w:spacing w:before="0" w:after="80" w:line="276" w:lineRule="auto"/>
        <w:ind w:right="374"/>
      </w:pPr>
      <w:r>
        <w:rPr>
          <w:rFonts w:ascii="Times New Roman" w:hAnsi="Times New Roman"/>
          <w:sz w:val="22"/>
        </w:rPr>
        <w:t>9.8B Future Research Proposition: From Telemetry-Conditioned to Person-Conditioned Adaptation</w:t>
        <w:tab/>
        <w:t>182</w:t>
      </w:r>
    </w:p>
    <w:p>
      <w:pPr>
        <w:pStyle w:val="TOC2"/>
        <w:keepNext w:val="0"/>
        <w:keepLines/>
        <w:tabs>
          <w:tab w:pos="8496" w:val="right" w:leader="dot"/>
        </w:tabs>
        <w:spacing w:before="0" w:after="80" w:line="276" w:lineRule="auto"/>
        <w:ind w:right="374"/>
      </w:pPr>
      <w:r>
        <w:rPr>
          <w:rFonts w:ascii="Times New Roman" w:hAnsi="Times New Roman"/>
          <w:sz w:val="22"/>
        </w:rPr>
        <w:t>9.8C Bounded Implications for AI Evaluation</w:t>
        <w:tab/>
        <w:t>183</w:t>
      </w:r>
    </w:p>
    <w:p>
      <w:pPr>
        <w:pStyle w:val="TOC2"/>
        <w:keepNext w:val="0"/>
        <w:keepLines/>
        <w:tabs>
          <w:tab w:pos="8496" w:val="right" w:leader="dot"/>
        </w:tabs>
        <w:spacing w:before="0" w:after="80" w:line="276" w:lineRule="auto"/>
        <w:ind w:right="374"/>
      </w:pPr>
      <w:r>
        <w:rPr>
          <w:rFonts w:ascii="Times New Roman" w:hAnsi="Times New Roman"/>
          <w:sz w:val="22"/>
        </w:rPr>
        <w:t>9.9 Limits of What Has Been Shown</w:t>
        <w:tab/>
        <w:t>185</w:t>
      </w:r>
    </w:p>
    <w:p>
      <w:pPr>
        <w:pStyle w:val="TOC2"/>
        <w:keepNext w:val="0"/>
        <w:keepLines/>
        <w:tabs>
          <w:tab w:pos="8496" w:val="right" w:leader="dot"/>
        </w:tabs>
        <w:spacing w:before="0" w:after="80" w:line="276" w:lineRule="auto"/>
        <w:ind w:right="374"/>
      </w:pPr>
      <w:r>
        <w:rPr>
          <w:rFonts w:ascii="Times New Roman" w:hAnsi="Times New Roman"/>
          <w:sz w:val="22"/>
        </w:rPr>
        <w:t>9.10 Natural Extensions</w:t>
        <w:tab/>
        <w:t>186</w:t>
      </w:r>
    </w:p>
    <w:p>
      <w:pPr>
        <w:pStyle w:val="TOC2"/>
        <w:keepNext w:val="0"/>
        <w:keepLines/>
        <w:tabs>
          <w:tab w:pos="8496" w:val="right" w:leader="dot"/>
        </w:tabs>
        <w:spacing w:before="0" w:after="80" w:line="276" w:lineRule="auto"/>
        <w:ind w:right="374"/>
      </w:pPr>
      <w:r>
        <w:rPr>
          <w:rFonts w:ascii="Times New Roman" w:hAnsi="Times New Roman"/>
          <w:sz w:val="22"/>
        </w:rPr>
        <w:t>9.11 Returning to the Three F4 Residents</w:t>
        <w:tab/>
        <w:t>186</w:t>
      </w:r>
    </w:p>
    <w:p>
      <w:pPr>
        <w:pStyle w:val="TOC2"/>
        <w:keepNext w:val="0"/>
        <w:keepLines/>
        <w:tabs>
          <w:tab w:pos="8496" w:val="right" w:leader="dot"/>
        </w:tabs>
        <w:spacing w:before="0" w:after="80" w:line="276" w:lineRule="auto"/>
        <w:ind w:right="374"/>
      </w:pPr>
      <w:r>
        <w:rPr>
          <w:rFonts w:ascii="Times New Roman" w:hAnsi="Times New Roman"/>
          <w:sz w:val="22"/>
        </w:rPr>
        <w:t>9.12 Closing Synthesis</w:t>
        <w:tab/>
        <w:t>187</w:t>
      </w:r>
    </w:p>
    <w:p>
      <w:pPr>
        <w:pStyle w:val="TOC1"/>
        <w:keepNext w:val="0"/>
        <w:keepLines/>
        <w:tabs>
          <w:tab w:pos="8496" w:val="right" w:leader="dot"/>
        </w:tabs>
        <w:spacing w:before="0" w:after="80" w:line="276" w:lineRule="auto"/>
        <w:ind w:right="374"/>
      </w:pPr>
      <w:r>
        <w:rPr>
          <w:rFonts w:ascii="Times New Roman" w:hAnsi="Times New Roman"/>
          <w:sz w:val="22"/>
        </w:rPr>
        <w:t>References</w:t>
        <w:tab/>
        <w:t>190</w:t>
      </w:r>
    </w:p>
    <w:p>
      <w:pPr>
        <w:pStyle w:val="TOC1"/>
        <w:keepNext w:val="0"/>
        <w:keepLines/>
        <w:tabs>
          <w:tab w:pos="8496" w:val="right" w:leader="dot"/>
        </w:tabs>
        <w:spacing w:before="0" w:after="80" w:line="276" w:lineRule="auto"/>
        <w:ind w:right="374"/>
      </w:pPr>
      <w:r>
        <w:rPr>
          <w:rFonts w:ascii="Times New Roman" w:hAnsi="Times New Roman"/>
          <w:sz w:val="22"/>
        </w:rPr>
        <w:t>Appendices</w:t>
        <w:tab/>
        <w:t>291</w:t>
      </w:r>
    </w:p>
    <w:p>
      <w:pPr>
        <w:pStyle w:val="TOC2"/>
        <w:keepNext w:val="0"/>
        <w:keepLines/>
        <w:tabs>
          <w:tab w:pos="8496" w:val="right" w:leader="dot"/>
        </w:tabs>
        <w:spacing w:before="0" w:after="80" w:line="276" w:lineRule="auto"/>
        <w:ind w:right="374"/>
      </w:pPr>
      <w:r>
        <w:rPr>
          <w:rFonts w:ascii="Times New Roman" w:hAnsi="Times New Roman"/>
          <w:sz w:val="22"/>
        </w:rPr>
        <w:t>Appendix A · Stage-1 Survey Instrument</w:t>
        <w:tab/>
        <w:t>199</w:t>
      </w:r>
    </w:p>
    <w:p>
      <w:pPr>
        <w:pStyle w:val="TOC3"/>
        <w:keepNext w:val="0"/>
        <w:keepLines/>
        <w:tabs>
          <w:tab w:pos="8496" w:val="right" w:leader="dot"/>
        </w:tabs>
        <w:spacing w:before="0" w:after="80" w:line="276" w:lineRule="auto"/>
        <w:ind w:right="374"/>
      </w:pPr>
      <w:r>
        <w:rPr>
          <w:rFonts w:ascii="Times New Roman" w:hAnsi="Times New Roman"/>
          <w:sz w:val="22"/>
        </w:rPr>
        <w:t>A.1 · Survey Items</w:t>
        <w:tab/>
        <w:t>199</w:t>
      </w:r>
    </w:p>
    <w:p>
      <w:pPr>
        <w:pStyle w:val="TOC2"/>
        <w:keepNext w:val="0"/>
        <w:keepLines/>
        <w:tabs>
          <w:tab w:pos="8496" w:val="right" w:leader="dot"/>
        </w:tabs>
        <w:spacing w:before="0" w:after="80" w:line="276" w:lineRule="auto"/>
        <w:ind w:right="374"/>
      </w:pPr>
      <w:r>
        <w:rPr>
          <w:rFonts w:ascii="Times New Roman" w:hAnsi="Times New Roman"/>
          <w:sz w:val="22"/>
        </w:rPr>
        <w:t>Appendix B · Stage-2 FIAS Coding Scheme</w:t>
        <w:tab/>
        <w:t>200</w:t>
      </w:r>
    </w:p>
    <w:p>
      <w:pPr>
        <w:pStyle w:val="TOC2"/>
        <w:keepNext w:val="0"/>
        <w:keepLines/>
        <w:tabs>
          <w:tab w:pos="8496" w:val="right" w:leader="dot"/>
        </w:tabs>
        <w:spacing w:before="0" w:after="80" w:line="276" w:lineRule="auto"/>
        <w:ind w:right="374"/>
      </w:pPr>
      <w:r>
        <w:rPr>
          <w:rFonts w:ascii="Times New Roman" w:hAnsi="Times New Roman"/>
          <w:sz w:val="22"/>
        </w:rPr>
        <w:t>Appendix C · Stage-2 Qualitative Record and the F4 Interview Protocol (Designed, Not Administered)</w:t>
        <w:tab/>
        <w:t>201</w:t>
      </w:r>
    </w:p>
    <w:p>
      <w:pPr>
        <w:pStyle w:val="TOC3"/>
        <w:keepNext w:val="0"/>
        <w:keepLines/>
        <w:tabs>
          <w:tab w:pos="8496" w:val="right" w:leader="dot"/>
        </w:tabs>
        <w:spacing w:before="0" w:after="80" w:line="276" w:lineRule="auto"/>
        <w:ind w:right="374"/>
      </w:pPr>
      <w:r>
        <w:rPr>
          <w:rFonts w:ascii="Times New Roman" w:hAnsi="Times New Roman"/>
          <w:sz w:val="22"/>
        </w:rPr>
        <w:t>C.1 · Question Set</w:t>
        <w:tab/>
        <w:t>202</w:t>
      </w:r>
    </w:p>
    <w:p>
      <w:pPr>
        <w:pStyle w:val="TOC2"/>
        <w:keepNext w:val="0"/>
        <w:keepLines/>
        <w:tabs>
          <w:tab w:pos="8496" w:val="right" w:leader="dot"/>
        </w:tabs>
        <w:spacing w:before="0" w:after="80" w:line="276" w:lineRule="auto"/>
        <w:ind w:right="374"/>
      </w:pPr>
      <w:r>
        <w:rPr>
          <w:rFonts w:ascii="Times New Roman" w:hAnsi="Times New Roman"/>
          <w:sz w:val="22"/>
        </w:rPr>
        <w:t>Appendix D · Stage-3 Decoupling Questionnaire</w:t>
        <w:tab/>
        <w:t>204</w:t>
      </w:r>
    </w:p>
    <w:p>
      <w:pPr>
        <w:pStyle w:val="TOC3"/>
        <w:keepNext w:val="0"/>
        <w:keepLines/>
        <w:tabs>
          <w:tab w:pos="8496" w:val="right" w:leader="dot"/>
        </w:tabs>
        <w:spacing w:before="0" w:after="80" w:line="276" w:lineRule="auto"/>
        <w:ind w:right="374"/>
      </w:pPr>
      <w:r>
        <w:rPr>
          <w:rFonts w:ascii="Times New Roman" w:hAnsi="Times New Roman"/>
          <w:sz w:val="22"/>
        </w:rPr>
        <w:t>D.1 · Post-Session Items</w:t>
        <w:tab/>
        <w:t>204</w:t>
      </w:r>
    </w:p>
    <w:p>
      <w:pPr>
        <w:pStyle w:val="TOC3"/>
        <w:keepNext w:val="0"/>
        <w:keepLines/>
        <w:tabs>
          <w:tab w:pos="8496" w:val="right" w:leader="dot"/>
        </w:tabs>
        <w:spacing w:before="0" w:after="80" w:line="276" w:lineRule="auto"/>
        <w:ind w:right="374"/>
      </w:pPr>
      <w:r>
        <w:rPr>
          <w:rFonts w:ascii="Times New Roman" w:hAnsi="Times New Roman"/>
          <w:sz w:val="22"/>
        </w:rPr>
        <w:t>D.2 · Demographic Block (At Enrolment)</w:t>
        <w:tab/>
        <w:t>205</w:t>
      </w:r>
    </w:p>
    <w:p>
      <w:pPr>
        <w:pStyle w:val="TOC2"/>
        <w:keepNext w:val="0"/>
        <w:keepLines/>
        <w:tabs>
          <w:tab w:pos="8496" w:val="right" w:leader="dot"/>
        </w:tabs>
        <w:spacing w:before="0" w:after="80" w:line="276" w:lineRule="auto"/>
        <w:ind w:right="374"/>
      </w:pPr>
      <w:r>
        <w:rPr>
          <w:rFonts w:ascii="Times New Roman" w:hAnsi="Times New Roman"/>
          <w:sz w:val="22"/>
        </w:rPr>
        <w:t>Appendix E · Five-Layer Architecture and Adaptive-Learning Reference Stack</w:t>
        <w:tab/>
        <w:t>206</w:t>
      </w:r>
    </w:p>
    <w:p>
      <w:pPr>
        <w:pStyle w:val="TOC3"/>
        <w:keepNext w:val="0"/>
        <w:keepLines/>
        <w:tabs>
          <w:tab w:pos="8496" w:val="right" w:leader="dot"/>
        </w:tabs>
        <w:spacing w:before="0" w:after="80" w:line="276" w:lineRule="auto"/>
        <w:ind w:right="374"/>
      </w:pPr>
      <w:r>
        <w:rPr>
          <w:rFonts w:ascii="Times New Roman" w:hAnsi="Times New Roman"/>
          <w:sz w:val="22"/>
        </w:rPr>
        <w:t>E.1 · Layers L0–L4 (Stage-2 architecture as specified; operational status per build in item G.0A)</w:t>
        <w:tab/>
        <w:t>206</w:t>
      </w:r>
    </w:p>
    <w:p>
      <w:pPr>
        <w:pStyle w:val="TOC3"/>
        <w:keepNext w:val="0"/>
        <w:keepLines/>
        <w:tabs>
          <w:tab w:pos="8496" w:val="right" w:leader="dot"/>
        </w:tabs>
        <w:spacing w:before="0" w:after="80" w:line="276" w:lineRule="auto"/>
        <w:ind w:right="374"/>
      </w:pPr>
      <w:r>
        <w:rPr>
          <w:rFonts w:ascii="Times New Roman" w:hAnsi="Times New Roman"/>
          <w:sz w:val="22"/>
        </w:rPr>
        <w:t>E.2 · Layers L5–L7 (Adaptive-Learning Reference Stack)</w:t>
        <w:tab/>
        <w:t>207</w:t>
      </w:r>
    </w:p>
    <w:p>
      <w:pPr>
        <w:pStyle w:val="TOC3"/>
        <w:keepNext w:val="0"/>
        <w:keepLines/>
        <w:tabs>
          <w:tab w:pos="8496" w:val="right" w:leader="dot"/>
        </w:tabs>
        <w:spacing w:before="0" w:after="80" w:line="276" w:lineRule="auto"/>
        <w:ind w:right="374"/>
      </w:pPr>
      <w:r>
        <w:rPr>
          <w:rFonts w:ascii="Times New Roman" w:hAnsi="Times New Roman"/>
          <w:sz w:val="22"/>
        </w:rPr>
        <w:t>E.3 · AI Safety Provisions</w:t>
        <w:tab/>
        <w:t>207</w:t>
      </w:r>
    </w:p>
    <w:p>
      <w:pPr>
        <w:pStyle w:val="TOC2"/>
        <w:keepNext w:val="0"/>
        <w:keepLines/>
        <w:tabs>
          <w:tab w:pos="8496" w:val="right" w:leader="dot"/>
        </w:tabs>
        <w:spacing w:before="0" w:after="80" w:line="276" w:lineRule="auto"/>
        <w:ind w:right="374"/>
      </w:pPr>
      <w:r>
        <w:rPr>
          <w:rFonts w:ascii="Times New Roman" w:hAnsi="Times New Roman"/>
          <w:sz w:val="22"/>
        </w:rPr>
        <w:t>Appendix F · Glossary of Key Constructs</w:t>
        <w:tab/>
        <w:t>208</w:t>
      </w:r>
    </w:p>
    <w:p>
      <w:pPr>
        <w:pStyle w:val="TOC2"/>
        <w:keepNext w:val="0"/>
        <w:keepLines/>
        <w:tabs>
          <w:tab w:pos="8496" w:val="right" w:leader="dot"/>
        </w:tabs>
        <w:spacing w:before="0" w:after="80" w:line="276" w:lineRule="auto"/>
        <w:ind w:right="374"/>
      </w:pPr>
      <w:r>
        <w:rPr>
          <w:rFonts w:ascii="Times New Roman" w:hAnsi="Times New Roman"/>
          <w:sz w:val="22"/>
        </w:rPr>
        <w:t>Appendix G · Raw Data, Photographs and Supplementary Materials</w:t>
        <w:tab/>
        <w:t>210</w:t>
      </w:r>
    </w:p>
    <w:p>
      <w:pPr>
        <w:pStyle w:val="TOC2"/>
        <w:keepNext w:val="0"/>
        <w:keepLines/>
        <w:tabs>
          <w:tab w:pos="8496" w:val="right" w:leader="dot"/>
        </w:tabs>
        <w:spacing w:before="0" w:after="80" w:line="276" w:lineRule="auto"/>
        <w:ind w:right="374"/>
      </w:pPr>
      <w:r>
        <w:rPr>
          <w:rFonts w:ascii="Times New Roman" w:hAnsi="Times New Roman"/>
          <w:sz w:val="22"/>
        </w:rPr>
        <w:t>Appendix H · Expert Consultation Record</w:t>
        <w:tab/>
        <w:t>220</w:t>
      </w:r>
    </w:p>
    <w:p>
      <w:pPr>
        <w:pStyle w:val="TOC2"/>
        <w:keepNext w:val="0"/>
        <w:keepLines/>
        <w:tabs>
          <w:tab w:pos="8496" w:val="right" w:leader="dot"/>
        </w:tabs>
        <w:spacing w:before="0" w:after="80" w:line="276" w:lineRule="auto"/>
        <w:ind w:right="374"/>
      </w:pPr>
      <w:r>
        <w:rPr>
          <w:rFonts w:ascii="Times New Roman" w:hAnsi="Times New Roman"/>
          <w:sz w:val="22"/>
        </w:rPr>
        <w:t>Appendix I · Stage-3B Component Study: Record to the 30 September 2026 Cut-off</w:t>
        <w:tab/>
        <w:t>225</w:t>
      </w:r>
    </w:p>
    <w:p>
      <w:pPr>
        <w:pStyle w:val="TOC3"/>
        <w:keepNext w:val="0"/>
        <w:keepLines/>
        <w:tabs>
          <w:tab w:pos="8496" w:val="right" w:leader="dot"/>
        </w:tabs>
        <w:spacing w:before="0" w:after="80" w:line="276" w:lineRule="auto"/>
        <w:ind w:right="374"/>
      </w:pPr>
      <w:r>
        <w:rPr>
          <w:rFonts w:ascii="Times New Roman" w:hAnsi="Times New Roman"/>
          <w:sz w:val="22"/>
        </w:rPr>
        <w:t>I.1 · Status and Scope</w:t>
        <w:tab/>
        <w:t>225</w:t>
      </w:r>
    </w:p>
    <w:p>
      <w:pPr>
        <w:pStyle w:val="TOC3"/>
        <w:keepNext w:val="0"/>
        <w:keepLines/>
        <w:tabs>
          <w:tab w:pos="8496" w:val="right" w:leader="dot"/>
        </w:tabs>
        <w:spacing w:before="0" w:after="80" w:line="276" w:lineRule="auto"/>
        <w:ind w:right="374"/>
      </w:pPr>
      <w:r>
        <w:rPr>
          <w:rFonts w:ascii="Times New Roman" w:hAnsi="Times New Roman"/>
          <w:sz w:val="22"/>
        </w:rPr>
        <w:t>I.2 · Design as Pre-specified (Repository-dated 8–9 August 2026)</w:t>
        <w:tab/>
        <w:t>226</w:t>
      </w:r>
    </w:p>
    <w:p>
      <w:pPr>
        <w:pStyle w:val="TOC3"/>
        <w:keepNext w:val="0"/>
        <w:keepLines/>
        <w:tabs>
          <w:tab w:pos="8496" w:val="right" w:leader="dot"/>
        </w:tabs>
        <w:spacing w:before="0" w:after="80" w:line="276" w:lineRule="auto"/>
        <w:ind w:right="374"/>
      </w:pPr>
      <w:r>
        <w:rPr>
          <w:rFonts w:ascii="Times New Roman" w:hAnsi="Times New Roman"/>
          <w:sz w:val="22"/>
        </w:rPr>
        <w:t>I.3 · Build and Distribution Lineage</w:t>
        <w:tab/>
        <w:t>229</w:t>
      </w:r>
    </w:p>
    <w:p>
      <w:pPr>
        <w:pStyle w:val="TOC3"/>
        <w:keepNext w:val="0"/>
        <w:keepLines/>
        <w:tabs>
          <w:tab w:pos="8496" w:val="right" w:leader="dot"/>
        </w:tabs>
        <w:spacing w:before="0" w:after="80" w:line="276" w:lineRule="auto"/>
        <w:ind w:right="374"/>
      </w:pPr>
      <w:r>
        <w:rPr>
          <w:rFonts w:ascii="Times New Roman" w:hAnsi="Times New Roman"/>
          <w:sz w:val="22"/>
        </w:rPr>
        <w:t>I.4 · Returns on Record</w:t>
        <w:tab/>
        <w:t>232</w:t>
      </w:r>
    </w:p>
    <w:p>
      <w:pPr>
        <w:pStyle w:val="TOC3"/>
        <w:keepNext w:val="0"/>
        <w:keepLines/>
        <w:tabs>
          <w:tab w:pos="8496" w:val="right" w:leader="dot"/>
        </w:tabs>
        <w:spacing w:before="0" w:after="80" w:line="276" w:lineRule="auto"/>
        <w:ind w:right="374"/>
      </w:pPr>
      <w:r>
        <w:rPr>
          <w:rFonts w:ascii="Times New Roman" w:hAnsi="Times New Roman"/>
          <w:sz w:val="22"/>
        </w:rPr>
        <w:t>I.5 · Stage-3B Pro v4.1 Researcher Self-Test: Batch 01 and Two Later-Received Exports (19–20 September 2026)</w:t>
        <w:tab/>
        <w:t>235</w:t>
      </w:r>
    </w:p>
    <w:p>
      <w:pPr>
        <w:pStyle w:val="TOC3"/>
        <w:keepNext w:val="0"/>
        <w:keepLines/>
        <w:tabs>
          <w:tab w:pos="8496" w:val="right" w:leader="dot"/>
        </w:tabs>
        <w:spacing w:before="0" w:after="80" w:line="276" w:lineRule="auto"/>
        <w:ind w:right="374"/>
      </w:pPr>
      <w:r>
        <w:rPr>
          <w:rFonts w:ascii="Times New Roman" w:hAnsi="Times New Roman"/>
          <w:sz w:val="22"/>
        </w:rPr>
        <w:t>I.6 · Why the Learning Measurement Was Not Articulated to Adaptive Learning, and What a Later Study Needs</w:t>
        <w:tab/>
        <w:t>244</w:t>
      </w:r>
    </w:p>
    <w:p>
      <w:pPr>
        <w:pStyle w:val="TOC3"/>
        <w:keepNext w:val="0"/>
        <w:keepLines/>
        <w:tabs>
          <w:tab w:pos="8496" w:val="right" w:leader="dot"/>
        </w:tabs>
        <w:spacing w:before="0" w:after="80" w:line="276" w:lineRule="auto"/>
        <w:ind w:right="374"/>
      </w:pPr>
      <w:r>
        <w:rPr>
          <w:rFonts w:ascii="Times New Roman" w:hAnsi="Times New Roman"/>
          <w:sz w:val="22"/>
        </w:rPr>
        <w:t>I.7 · Ethics, Scope and Outstanding Author Records</w:t>
        <w:tab/>
        <w:t>246</w:t>
      </w:r>
    </w:p>
    <w:p>
      <w:pPr>
        <w:pStyle w:val="Heading1"/>
      </w:pPr>
      <w:r>
        <w:rPr>
          <w:lang w:val="en-US" w:eastAsia="en-US" w:bidi="ar-SA"/>
          <w:color w:val="000000"/>
          <w:szCs w:val="28"/>
        </w:rPr>
        <w:t>List of Figures</w:t>
      </w:r>
    </w:p>
    <w:p>
      <w:pPr>
        <w:pStyle w:val="TOC1"/>
        <w:keepNext w:val="0"/>
        <w:keepLines/>
        <w:tabs>
          <w:tab w:pos="8496" w:val="right" w:leader="dot"/>
        </w:tabs>
        <w:spacing w:before="0" w:after="80" w:line="276" w:lineRule="auto"/>
        <w:ind w:right="374"/>
      </w:pPr>
      <w:r>
        <w:rPr>
          <w:rFonts w:ascii="Times New Roman" w:hAnsi="Times New Roman"/>
          <w:sz w:val="22"/>
        </w:rPr>
        <w:t>Figure 1.1. Title-aligned structure of the thesis</w:t>
        <w:tab/>
        <w:t>12</w:t>
      </w:r>
    </w:p>
    <w:p>
      <w:pPr>
        <w:pStyle w:val="TOC1"/>
        <w:keepNext w:val="0"/>
        <w:keepLines/>
        <w:tabs>
          <w:tab w:pos="8496" w:val="right" w:leader="dot"/>
        </w:tabs>
        <w:spacing w:before="0" w:after="80" w:line="276" w:lineRule="auto"/>
        <w:ind w:right="374"/>
      </w:pPr>
      <w:r>
        <w:rPr>
          <w:rFonts w:ascii="Times New Roman" w:hAnsi="Times New Roman"/>
          <w:sz w:val="22"/>
        </w:rPr>
        <w:t>Figure 2.1. The five-part literature-to-design synthesis: conceptual rationale for gamification, continuous improvement and innovation enhancement</w:t>
        <w:tab/>
        <w:t>37</w:t>
      </w:r>
    </w:p>
    <w:p>
      <w:pPr>
        <w:pStyle w:val="TOC1"/>
        <w:keepNext w:val="0"/>
        <w:keepLines/>
        <w:tabs>
          <w:tab w:pos="8496" w:val="right" w:leader="dot"/>
        </w:tabs>
        <w:spacing w:before="0" w:after="80" w:line="276" w:lineRule="auto"/>
        <w:ind w:right="374"/>
      </w:pPr>
      <w:r>
        <w:rPr>
          <w:rFonts w:ascii="Times New Roman" w:hAnsi="Times New Roman"/>
          <w:sz w:val="22"/>
        </w:rPr>
        <w:t>Figure 3.1. Three-stage action-research logic model: Stage 1 supplies the retrospective field signal, Stage 2 examines the original design expectation in deployment, and Stage 3 provides a non-equivalent-cohort decoupling comparison</w:t>
        <w:tab/>
        <w:t>44</w:t>
      </w:r>
    </w:p>
    <w:p>
      <w:pPr>
        <w:pStyle w:val="TOC1"/>
        <w:keepNext w:val="0"/>
        <w:keepLines/>
        <w:tabs>
          <w:tab w:pos="8496" w:val="right" w:leader="dot"/>
        </w:tabs>
        <w:spacing w:before="0" w:after="80" w:line="276" w:lineRule="auto"/>
        <w:ind w:right="374"/>
      </w:pPr>
      <w:r>
        <w:rPr>
          <w:rFonts w:ascii="Times New Roman" w:hAnsi="Times New Roman"/>
          <w:sz w:val="22"/>
        </w:rPr>
        <w:t>Figure 4.1A. Fall Risk Assessment (FRA) system architecture as deployed at the Poly Group facility (InBody FRA510S)</w:t>
        <w:tab/>
        <w:t>55</w:t>
      </w:r>
    </w:p>
    <w:p>
      <w:pPr>
        <w:pStyle w:val="TOC1"/>
        <w:keepNext w:val="0"/>
        <w:keepLines/>
        <w:tabs>
          <w:tab w:pos="8496" w:val="right" w:leader="dot"/>
        </w:tabs>
        <w:spacing w:before="0" w:after="80" w:line="276" w:lineRule="auto"/>
        <w:ind w:right="374"/>
      </w:pPr>
      <w:r>
        <w:rPr>
          <w:rFonts w:ascii="Times New Roman" w:hAnsi="Times New Roman"/>
          <w:sz w:val="22"/>
        </w:rPr>
        <w:t>Figure 4.1B. The FRA balance station as deployed in the rehabilitation room of the Guangzhou facility (photograph by the author)</w:t>
        <w:tab/>
        <w:t>56</w:t>
      </w:r>
    </w:p>
    <w:p>
      <w:pPr>
        <w:pStyle w:val="TOC1"/>
        <w:keepNext w:val="0"/>
        <w:keepLines/>
        <w:tabs>
          <w:tab w:pos="8496" w:val="right" w:leader="dot"/>
        </w:tabs>
        <w:spacing w:before="0" w:after="80" w:line="276" w:lineRule="auto"/>
        <w:ind w:right="374"/>
      </w:pPr>
      <w:r>
        <w:rPr>
          <w:rFonts w:ascii="Times New Roman" w:hAnsi="Times New Roman"/>
          <w:sz w:val="22"/>
        </w:rPr>
        <w:t>Figure 5.0. Configurations compared across Stages 2 and 3</w:t>
        <w:tab/>
        <w:t>66</w:t>
      </w:r>
    </w:p>
    <w:p>
      <w:pPr>
        <w:pStyle w:val="TOC1"/>
        <w:keepNext w:val="0"/>
        <w:keepLines/>
        <w:tabs>
          <w:tab w:pos="8496" w:val="right" w:leader="dot"/>
        </w:tabs>
        <w:spacing w:before="0" w:after="80" w:line="276" w:lineRule="auto"/>
        <w:ind w:right="374"/>
      </w:pPr>
      <w:r>
        <w:rPr>
          <w:rFonts w:ascii="Times New Roman" w:hAnsi="Times New Roman"/>
          <w:sz w:val="22"/>
        </w:rPr>
        <w:t>Figure 5.1. Schematic illustration of the skiing-game display</w:t>
        <w:tab/>
        <w:t>72</w:t>
      </w:r>
    </w:p>
    <w:p>
      <w:pPr>
        <w:pStyle w:val="TOC1"/>
        <w:keepNext w:val="0"/>
        <w:keepLines/>
        <w:tabs>
          <w:tab w:pos="8496" w:val="right" w:leader="dot"/>
        </w:tabs>
        <w:spacing w:before="0" w:after="80" w:line="276" w:lineRule="auto"/>
        <w:ind w:right="374"/>
      </w:pPr>
      <w:r>
        <w:rPr>
          <w:rFonts w:ascii="Times New Roman" w:hAnsi="Times New Roman"/>
          <w:sz w:val="22"/>
        </w:rPr>
        <w:t>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w:t>
        <w:tab/>
        <w:t>73</w:t>
      </w:r>
    </w:p>
    <w:p>
      <w:pPr>
        <w:pStyle w:val="TOC1"/>
        <w:keepNext w:val="0"/>
        <w:keepLines/>
        <w:tabs>
          <w:tab w:pos="8496" w:val="right" w:leader="dot"/>
        </w:tabs>
        <w:spacing w:before="0" w:after="80" w:line="276" w:lineRule="auto"/>
        <w:ind w:right="374"/>
      </w:pPr>
      <w:r>
        <w:rPr>
          <w:rFonts w:ascii="Times New Roman" w:hAnsi="Times New Roman"/>
          <w:sz w:val="22"/>
        </w:rPr>
        <w:t>Figure 5.1B. Successor-build illustration of the game artefact across difficulty levels 1–5 (screenshots from the programme's archived successor build in the same design lineage as the Stage-2 deployment, not from the deployed Stage-2 build)</w:t>
        <w:tab/>
        <w:t>74</w:t>
      </w:r>
    </w:p>
    <w:p>
      <w:pPr>
        <w:pStyle w:val="TOC1"/>
        <w:keepNext w:val="0"/>
        <w:keepLines/>
        <w:tabs>
          <w:tab w:pos="8496" w:val="right" w:leader="dot"/>
        </w:tabs>
        <w:spacing w:before="0" w:after="80" w:line="276" w:lineRule="auto"/>
        <w:ind w:right="374"/>
      </w:pPr>
      <w:r>
        <w:rPr>
          <w:rFonts w:ascii="Times New Roman" w:hAnsi="Times New Roman"/>
          <w:sz w:val="22"/>
        </w:rPr>
        <w:t>Figure 5.2. Stage-2 architecture: the game's layers L0–L3 and the InBody measurement (L4) that ran in parallel</w:t>
        <w:tab/>
        <w:t>76</w:t>
      </w:r>
    </w:p>
    <w:p>
      <w:pPr>
        <w:pStyle w:val="TOC1"/>
        <w:keepNext w:val="0"/>
        <w:keepLines/>
        <w:tabs>
          <w:tab w:pos="8496" w:val="right" w:leader="dot"/>
        </w:tabs>
        <w:spacing w:before="0" w:after="80" w:line="276" w:lineRule="auto"/>
        <w:ind w:right="374"/>
      </w:pPr>
      <w:r>
        <w:rPr>
          <w:rFonts w:ascii="Times New Roman" w:hAnsi="Times New Roman"/>
          <w:sz w:val="22"/>
        </w:rPr>
        <w:t>Figure 5.3. Proposed dynamic game-state architecture for the FRA skiing game</w:t>
        <w:tab/>
        <w:t>82</w:t>
      </w:r>
    </w:p>
    <w:p>
      <w:pPr>
        <w:pStyle w:val="TOC1"/>
        <w:keepNext w:val="0"/>
        <w:keepLines/>
        <w:tabs>
          <w:tab w:pos="8496" w:val="right" w:leader="dot"/>
        </w:tabs>
        <w:spacing w:before="0" w:after="80" w:line="276" w:lineRule="auto"/>
        <w:ind w:right="374"/>
      </w:pPr>
      <w:r>
        <w:rPr>
          <w:rFonts w:ascii="Times New Roman" w:hAnsi="Times New Roman"/>
          <w:sz w:val="22"/>
        </w:rPr>
        <w:t>Figure 5.4. Participant-level pre/post recorded FRA index (standard-mode baseline to final play; provenance in §5.5) for the Stage-2 cohort (N = 30), by engagement group</w:t>
        <w:tab/>
        <w:t>90</w:t>
      </w:r>
    </w:p>
    <w:p>
      <w:pPr>
        <w:pStyle w:val="TOC1"/>
        <w:keepNext w:val="0"/>
        <w:keepLines/>
        <w:tabs>
          <w:tab w:pos="8496" w:val="right" w:leader="dot"/>
        </w:tabs>
        <w:spacing w:before="0" w:after="80" w:line="276" w:lineRule="auto"/>
        <w:ind w:right="374"/>
      </w:pPr>
      <w:r>
        <w:rPr>
          <w:rFonts w:ascii="Times New Roman" w:hAnsi="Times New Roman"/>
          <w:sz w:val="22"/>
        </w:rPr>
        <w:t>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w:t>
        <w:tab/>
        <w:t>90</w:t>
      </w:r>
    </w:p>
    <w:p>
      <w:pPr>
        <w:pStyle w:val="TOC1"/>
        <w:keepNext w:val="0"/>
        <w:keepLines/>
        <w:tabs>
          <w:tab w:pos="8496" w:val="right" w:leader="dot"/>
        </w:tabs>
        <w:spacing w:before="0" w:after="80" w:line="276" w:lineRule="auto"/>
        <w:ind w:right="374"/>
      </w:pPr>
      <w:r>
        <w:rPr>
          <w:rFonts w:ascii="Times New Roman" w:hAnsi="Times New Roman"/>
          <w:sz w:val="22"/>
        </w:rPr>
        <w:t>Figure 5.6. Observed non-return and candidate explanatory pathways</w:t>
        <w:tab/>
        <w:t>98</w:t>
      </w:r>
    </w:p>
    <w:p>
      <w:pPr>
        <w:pStyle w:val="TOC1"/>
        <w:keepNext w:val="0"/>
        <w:keepLines/>
        <w:tabs>
          <w:tab w:pos="8496" w:val="right" w:leader="dot"/>
        </w:tabs>
        <w:spacing w:before="0" w:after="80" w:line="276" w:lineRule="auto"/>
        <w:ind w:right="374"/>
      </w:pPr>
      <w:r>
        <w:rPr>
          <w:rFonts w:ascii="Times New Roman" w:hAnsi="Times New Roman"/>
          <w:sz w:val="22"/>
        </w:rPr>
        <w:t>Figure 6.1. Stage-3 continued or resumed play and observed non-return by the July 2026 compilation, by age band (N = 120)</w:t>
        <w:tab/>
        <w:t>110</w:t>
      </w:r>
    </w:p>
    <w:p>
      <w:pPr>
        <w:pStyle w:val="TOC1"/>
        <w:keepNext w:val="0"/>
        <w:keepLines/>
        <w:tabs>
          <w:tab w:pos="8496" w:val="right" w:leader="dot"/>
        </w:tabs>
        <w:spacing w:before="0" w:after="80" w:line="276" w:lineRule="auto"/>
        <w:ind w:right="374"/>
      </w:pPr>
      <w:r>
        <w:rPr>
          <w:rFonts w:ascii="Times New Roman" w:hAnsi="Times New Roman"/>
          <w:sz w:val="22"/>
        </w:rPr>
        <w:t>Figure 6.2. Return after initial dropout by age band in Stage 3, including 62.5% in the 65–80 band</w:t>
        <w:tab/>
        <w:t>111</w:t>
      </w:r>
    </w:p>
    <w:p>
      <w:pPr>
        <w:pStyle w:val="TOC1"/>
        <w:keepNext w:val="0"/>
        <w:keepLines/>
        <w:tabs>
          <w:tab w:pos="8496" w:val="right" w:leader="dot"/>
        </w:tabs>
        <w:spacing w:before="0" w:after="80" w:line="276" w:lineRule="auto"/>
        <w:ind w:right="374"/>
      </w:pPr>
      <w:r>
        <w:rPr>
          <w:rFonts w:ascii="Times New Roman" w:hAnsi="Times New Roman"/>
          <w:sz w:val="22"/>
        </w:rPr>
        <w:t>Figure 6.3. Continued or resumed play and regular-use intention by age band</w:t>
        <w:tab/>
        <w:t>114</w:t>
      </w:r>
    </w:p>
    <w:p>
      <w:pPr>
        <w:pStyle w:val="TOC1"/>
        <w:keepNext w:val="0"/>
        <w:keepLines/>
        <w:tabs>
          <w:tab w:pos="8496" w:val="right" w:leader="dot"/>
        </w:tabs>
        <w:spacing w:before="0" w:after="80" w:line="276" w:lineRule="auto"/>
        <w:ind w:right="374"/>
      </w:pPr>
      <w:r>
        <w:rPr>
          <w:rFonts w:ascii="Times New Roman" w:hAnsi="Times New Roman"/>
          <w:sz w:val="22"/>
        </w:rPr>
        <w:t>Figure 7.1. Proposed adaptive reference architecture</w:t>
        <w:tab/>
        <w:t>130</w:t>
      </w:r>
    </w:p>
    <w:p>
      <w:pPr>
        <w:pStyle w:val="TOC1"/>
        <w:keepNext w:val="0"/>
        <w:keepLines/>
        <w:tabs>
          <w:tab w:pos="8496" w:val="right" w:leader="dot"/>
        </w:tabs>
        <w:spacing w:before="0" w:after="80" w:line="276" w:lineRule="auto"/>
        <w:ind w:right="374"/>
      </w:pPr>
      <w:r>
        <w:rPr>
          <w:rFonts w:ascii="Times New Roman" w:hAnsi="Times New Roman"/>
          <w:sz w:val="22"/>
        </w:rPr>
        <w:t>Figure 7.2. Two linked improvement cycles proposed for the gamified service</w:t>
        <w:tab/>
        <w:t>139</w:t>
      </w:r>
    </w:p>
    <w:p>
      <w:pPr>
        <w:pStyle w:val="TOC1"/>
        <w:keepNext w:val="0"/>
        <w:keepLines/>
        <w:tabs>
          <w:tab w:pos="8496" w:val="right" w:leader="dot"/>
        </w:tabs>
        <w:spacing w:before="0" w:after="80" w:line="276" w:lineRule="auto"/>
        <w:ind w:right="374"/>
      </w:pPr>
      <w:r>
        <w:rPr>
          <w:rFonts w:ascii="Times New Roman" w:hAnsi="Times New Roman"/>
          <w:sz w:val="22"/>
        </w:rPr>
        <w:t>Figure 7.3. The gerontechnology design space as documented in this programme and the cited material</w:t>
        <w:tab/>
        <w:t>143</w:t>
      </w:r>
    </w:p>
    <w:p>
      <w:pPr>
        <w:pStyle w:val="TOC1"/>
        <w:keepNext w:val="0"/>
        <w:keepLines/>
        <w:tabs>
          <w:tab w:pos="8496" w:val="right" w:leader="dot"/>
        </w:tabs>
        <w:spacing w:before="0" w:after="80" w:line="276" w:lineRule="auto"/>
        <w:ind w:right="374"/>
      </w:pPr>
      <w:r>
        <w:rPr>
          <w:rFonts w:ascii="Times New Roman" w:hAnsi="Times New Roman"/>
          <w:sz w:val="22"/>
        </w:rPr>
        <w:t>Figure 9.1. Proposed person-conditioned adaptive loop</w:t>
        <w:tab/>
        <w:t>185</w:t>
      </w:r>
    </w:p>
    <w:p>
      <w:pPr>
        <w:pStyle w:val="TOC1"/>
        <w:keepNext w:val="0"/>
        <w:keepLines/>
        <w:tabs>
          <w:tab w:pos="8496" w:val="right" w:leader="dot"/>
        </w:tabs>
        <w:spacing w:before="0" w:after="80" w:line="276" w:lineRule="auto"/>
        <w:ind w:right="374"/>
      </w:pPr>
      <w:r>
        <w:rPr>
          <w:rFonts w:ascii="Times New Roman" w:hAnsi="Times New Roman"/>
          <w:sz w:val="22"/>
        </w:rPr>
        <w:t>Figure B.1. Distribution of provisional FIAS composite scores across all 30 participants</w:t>
        <w:tab/>
        <w:t>200</w:t>
      </w:r>
    </w:p>
    <w:p>
      <w:pPr>
        <w:pStyle w:val="TOC1"/>
        <w:keepNext w:val="0"/>
        <w:keepLines/>
        <w:tabs>
          <w:tab w:pos="8496" w:val="right" w:leader="dot"/>
        </w:tabs>
        <w:spacing w:before="0" w:after="80" w:line="276" w:lineRule="auto"/>
        <w:ind w:right="374"/>
      </w:pPr>
      <w:r>
        <w:rPr>
          <w:rFonts w:ascii="Times New Roman" w:hAnsi="Times New Roman"/>
          <w:sz w:val="22"/>
        </w:rPr>
        <w:t>Figure I.1. Repository-dated events for Stage 3B</w:t>
        <w:tab/>
        <w:t>232</w:t>
      </w:r>
    </w:p>
    <w:p>
      <w:pPr>
        <w:pStyle w:val="TOC1"/>
        <w:keepNext w:val="0"/>
        <w:keepLines/>
        <w:tabs>
          <w:tab w:pos="8496" w:val="right" w:leader="dot"/>
        </w:tabs>
        <w:spacing w:before="0" w:after="80" w:line="276" w:lineRule="auto"/>
        <w:ind w:right="374"/>
      </w:pPr>
      <w:r>
        <w:rPr>
          <w:rFonts w:ascii="Times New Roman" w:hAnsi="Times New Roman"/>
          <w:sz w:val="22"/>
        </w:rPr>
        <w:t>Figure I.2. Pace multiplier applied to successive practice runs after each feedback → proposal → decision chain (twelve chains, three codes, visit 1)</w:t>
        <w:tab/>
        <w:t>241</w:t>
      </w:r>
    </w:p>
    <w:p>
      <w:pPr>
        <w:pStyle w:val="TOC1"/>
        <w:keepNext w:val="0"/>
        <w:keepLines/>
        <w:tabs>
          <w:tab w:pos="8496" w:val="right" w:leader="dot"/>
        </w:tabs>
        <w:spacing w:before="0" w:after="80" w:line="276" w:lineRule="auto"/>
        <w:ind w:right="374"/>
      </w:pPr>
      <w:r>
        <w:rPr>
          <w:rFonts w:ascii="Times New Roman" w:hAnsi="Times New Roman"/>
          <w:sz w:val="22"/>
        </w:rPr>
        <w:t>Figure I.3. Obstacle-clearance rate on the opening and closing fixed-course checks, Pro record (six pairs, five stored codes, including PFWU9V received on 29 September 2026; pace ×0.85, 20 obstacles, 30 s)</w:t>
        <w:tab/>
        <w:t>242</w:t>
      </w:r>
    </w:p>
    <w:p>
      <w:pPr>
        <w:pStyle w:val="Normal"/>
      </w:pPr>
    </w:p>
    <w:p>
      <w:pPr>
        <w:pStyle w:val="Heading1"/>
      </w:pPr>
      <w:bookmarkStart w:id="3" w:name="_Toc232024494"/>
      <w:r>
        <w:rPr>
          <w:lang w:val="en-US" w:eastAsia="en-US" w:bidi="ar-SA"/>
          <w:color w:val="000000"/>
          <w:szCs w:val="28"/>
        </w:rPr>
        <w:t>List of Tables</w:t>
      </w:r>
      <w:bookmarkEnd w:id="3"/>
    </w:p>
    <w:p>
      <w:pPr>
        <w:pStyle w:val="TOC1"/>
        <w:keepNext w:val="0"/>
        <w:keepLines/>
        <w:tabs>
          <w:tab w:pos="8496" w:val="right" w:leader="dot"/>
        </w:tabs>
        <w:spacing w:before="0" w:after="80" w:line="276" w:lineRule="auto"/>
        <w:ind w:right="374"/>
      </w:pPr>
      <w:r>
        <w:rPr>
          <w:rFonts w:ascii="Times New Roman" w:hAnsi="Times New Roman"/>
          <w:sz w:val="22"/>
        </w:rPr>
        <w:t>Table 2.1. From the unmet design expectation to candidate mechanisms and prospective tests</w:t>
        <w:tab/>
        <w:t>21</w:t>
      </w:r>
    </w:p>
    <w:p>
      <w:pPr>
        <w:pStyle w:val="TOC1"/>
        <w:keepNext w:val="0"/>
        <w:keepLines/>
        <w:tabs>
          <w:tab w:pos="8496" w:val="right" w:leader="dot"/>
        </w:tabs>
        <w:spacing w:before="0" w:after="80" w:line="276" w:lineRule="auto"/>
        <w:ind w:right="374"/>
      </w:pPr>
      <w:r>
        <w:rPr>
          <w:rFonts w:ascii="Times New Roman" w:hAnsi="Times New Roman"/>
          <w:sz w:val="22"/>
        </w:rPr>
        <w:t>Table 2.2. The five-stage literature journey: what each stage establishes, the question it leaves open, and where the programme takes it up</w:t>
        <w:tab/>
        <w:t>32</w:t>
      </w:r>
    </w:p>
    <w:p>
      <w:pPr>
        <w:pStyle w:val="TOC1"/>
        <w:keepNext w:val="0"/>
        <w:keepLines/>
        <w:tabs>
          <w:tab w:pos="8496" w:val="right" w:leader="dot"/>
        </w:tabs>
        <w:spacing w:before="0" w:after="80" w:line="276" w:lineRule="auto"/>
        <w:ind w:right="374"/>
      </w:pPr>
      <w:r>
        <w:rPr>
          <w:rFonts w:ascii="Times New Roman" w:hAnsi="Times New Roman"/>
          <w:sz w:val="22"/>
        </w:rPr>
        <w:t>Table 2.3. From literature to research design: each empirical activity read against the literature stage it tests</w:t>
        <w:tab/>
        <w:t>35</w:t>
      </w:r>
    </w:p>
    <w:p>
      <w:pPr>
        <w:pStyle w:val="TOC1"/>
        <w:keepNext w:val="0"/>
        <w:keepLines/>
        <w:tabs>
          <w:tab w:pos="8496" w:val="right" w:leader="dot"/>
        </w:tabs>
        <w:spacing w:before="0" w:after="80" w:line="276" w:lineRule="auto"/>
        <w:ind w:right="374"/>
      </w:pPr>
      <w:r>
        <w:rPr>
          <w:rFonts w:ascii="Times New Roman" w:hAnsi="Times New Roman"/>
          <w:sz w:val="22"/>
        </w:rPr>
        <w:t>Table 3.1. The hypothesis architecture of the programme: where each claim originates, is stated, is tested, and stands</w:t>
        <w:tab/>
        <w:t>42</w:t>
      </w:r>
    </w:p>
    <w:p>
      <w:pPr>
        <w:pStyle w:val="TOC1"/>
        <w:keepNext w:val="0"/>
        <w:keepLines/>
        <w:tabs>
          <w:tab w:pos="8496" w:val="right" w:leader="dot"/>
        </w:tabs>
        <w:spacing w:before="0" w:after="80" w:line="276" w:lineRule="auto"/>
        <w:ind w:right="374"/>
      </w:pPr>
      <w:r>
        <w:rPr>
          <w:rFonts w:ascii="Times New Roman" w:hAnsi="Times New Roman"/>
          <w:sz w:val="22"/>
        </w:rPr>
        <w:t>Table 3.1A. Programme timeline: programme activities in programme order, 2023 – October 2026, with the chapter that reports each; the Stage-3B row is stated at the 30 September 2026 cut-off of that record</w:t>
        <w:tab/>
        <w:t>44</w:t>
      </w:r>
    </w:p>
    <w:p>
      <w:pPr>
        <w:pStyle w:val="TOC1"/>
        <w:keepNext w:val="0"/>
        <w:keepLines/>
        <w:tabs>
          <w:tab w:pos="8496" w:val="right" w:leader="dot"/>
        </w:tabs>
        <w:spacing w:before="0" w:after="80" w:line="276" w:lineRule="auto"/>
        <w:ind w:right="374"/>
      </w:pPr>
      <w:r>
        <w:rPr>
          <w:rFonts w:ascii="Times New Roman" w:hAnsi="Times New Roman"/>
          <w:sz w:val="22"/>
        </w:rPr>
        <w:t>Table 4.1. Stage-1 survey results (N = 200 residents surveyed, of a resident population of 280)</w:t>
        <w:tab/>
        <w:t>58</w:t>
      </w:r>
    </w:p>
    <w:p>
      <w:pPr>
        <w:pStyle w:val="TOC1"/>
        <w:keepNext w:val="0"/>
        <w:keepLines/>
        <w:tabs>
          <w:tab w:pos="8496" w:val="right" w:leader="dot"/>
        </w:tabs>
        <w:spacing w:before="0" w:after="80" w:line="276" w:lineRule="auto"/>
        <w:ind w:right="374"/>
      </w:pPr>
      <w:r>
        <w:rPr>
          <w:rFonts w:ascii="Times New Roman" w:hAnsi="Times New Roman"/>
          <w:sz w:val="22"/>
        </w:rPr>
        <w:t>Table 4.2. TAM limitations for older-adult FRA users</w:t>
        <w:tab/>
        <w:t>59</w:t>
      </w:r>
    </w:p>
    <w:p>
      <w:pPr>
        <w:pStyle w:val="TOC1"/>
        <w:keepNext w:val="0"/>
        <w:keepLines/>
        <w:tabs>
          <w:tab w:pos="8496" w:val="right" w:leader="dot"/>
        </w:tabs>
        <w:spacing w:before="0" w:after="80" w:line="276" w:lineRule="auto"/>
        <w:ind w:right="374"/>
      </w:pPr>
      <w:r>
        <w:rPr>
          <w:rFonts w:ascii="Times New Roman" w:hAnsi="Times New Roman"/>
          <w:sz w:val="22"/>
        </w:rPr>
        <w:t>Table 4.3. Octalysis drives contextualised against STAM characteristics</w:t>
        <w:tab/>
        <w:t>61</w:t>
      </w:r>
    </w:p>
    <w:p>
      <w:pPr>
        <w:pStyle w:val="TOC1"/>
        <w:keepNext w:val="0"/>
        <w:keepLines/>
        <w:tabs>
          <w:tab w:pos="8496" w:val="right" w:leader="dot"/>
        </w:tabs>
        <w:spacing w:before="0" w:after="80" w:line="276" w:lineRule="auto"/>
        <w:ind w:right="374"/>
      </w:pPr>
      <w:r>
        <w:rPr>
          <w:rFonts w:ascii="Times New Roman" w:hAnsi="Times New Roman"/>
          <w:sz w:val="22"/>
        </w:rPr>
        <w:t>Table 5.0. Parameters of the early Stage-3 build (index.html, Appendix G item G.18; extract from Game_States_and_Parameters.xlsx, item G.14)</w:t>
        <w:tab/>
        <w:t>68</w:t>
      </w:r>
    </w:p>
    <w:p>
      <w:pPr>
        <w:pStyle w:val="TOC1"/>
        <w:keepNext w:val="0"/>
        <w:keepLines/>
        <w:tabs>
          <w:tab w:pos="8496" w:val="right" w:leader="dot"/>
        </w:tabs>
        <w:spacing w:before="0" w:after="80" w:line="276" w:lineRule="auto"/>
        <w:ind w:right="374"/>
      </w:pPr>
      <w:r>
        <w:rPr>
          <w:rFonts w:ascii="Times New Roman" w:hAnsi="Times New Roman"/>
          <w:sz w:val="22"/>
        </w:rPr>
        <w:t>Table 5.1. Skiing game data structure summary</w:t>
        <w:tab/>
        <w:t>77</w:t>
      </w:r>
    </w:p>
    <w:p>
      <w:pPr>
        <w:pStyle w:val="TOC1"/>
        <w:keepNext w:val="0"/>
        <w:keepLines/>
        <w:tabs>
          <w:tab w:pos="8496" w:val="right" w:leader="dot"/>
        </w:tabs>
        <w:spacing w:before="0" w:after="80" w:line="276" w:lineRule="auto"/>
        <w:ind w:right="374"/>
      </w:pPr>
      <w:r>
        <w:rPr>
          <w:rFonts w:ascii="Times New Roman" w:hAnsi="Times New Roman"/>
          <w:sz w:val="22"/>
        </w:rPr>
        <w:t>Table 5.2. Stage-2 engagement pattern (N = 30)</w:t>
        <w:tab/>
        <w:t>87</w:t>
      </w:r>
    </w:p>
    <w:p>
      <w:pPr>
        <w:pStyle w:val="TOC1"/>
        <w:keepNext w:val="0"/>
        <w:keepLines/>
        <w:tabs>
          <w:tab w:pos="8496" w:val="right" w:leader="dot"/>
        </w:tabs>
        <w:spacing w:before="0" w:after="80" w:line="276" w:lineRule="auto"/>
        <w:ind w:right="374"/>
      </w:pPr>
      <w:r>
        <w:rPr>
          <w:rFonts w:ascii="Times New Roman" w:hAnsi="Times New Roman"/>
          <w:sz w:val="22"/>
        </w:rPr>
        <w:t>Table 5.3. Qualitative requirements mapping (QFD-style): user needs evidenced by the Stage-1 and Stage-2 data (the Stage-1 figure is an aggregate record whose per-respondent file is not archived, Table 4.1 and Appendix G item G.1), mapped onto the game's technical characteristics</w:t>
        <w:tab/>
        <w:t>92</w:t>
      </w:r>
    </w:p>
    <w:p>
      <w:pPr>
        <w:pStyle w:val="TOC1"/>
        <w:keepNext w:val="0"/>
        <w:keepLines/>
        <w:tabs>
          <w:tab w:pos="8496" w:val="right" w:leader="dot"/>
        </w:tabs>
        <w:spacing w:before="0" w:after="80" w:line="276" w:lineRule="auto"/>
        <w:ind w:right="374"/>
      </w:pPr>
      <w:r>
        <w:rPr>
          <w:rFonts w:ascii="Times New Roman" w:hAnsi="Times New Roman"/>
          <w:sz w:val="22"/>
        </w:rPr>
        <w:t>Table 6.1. Stage-3 overall engagement and dropout (N = 120)</w:t>
        <w:tab/>
        <w:t>107</w:t>
      </w:r>
    </w:p>
    <w:p>
      <w:pPr>
        <w:pStyle w:val="TOC1"/>
        <w:keepNext w:val="0"/>
        <w:keepLines/>
        <w:tabs>
          <w:tab w:pos="8496" w:val="right" w:leader="dot"/>
        </w:tabs>
        <w:spacing w:before="0" w:after="80" w:line="276" w:lineRule="auto"/>
        <w:ind w:right="374"/>
      </w:pPr>
      <w:r>
        <w:rPr>
          <w:rFonts w:ascii="Times New Roman" w:hAnsi="Times New Roman"/>
          <w:sz w:val="22"/>
        </w:rPr>
        <w:t>Table 6.2. Stage-3 age-stratified engagement</w:t>
        <w:tab/>
        <w:t>108</w:t>
      </w:r>
    </w:p>
    <w:p>
      <w:pPr>
        <w:pStyle w:val="TOC1"/>
        <w:keepNext w:val="0"/>
        <w:keepLines/>
        <w:tabs>
          <w:tab w:pos="8496" w:val="right" w:leader="dot"/>
        </w:tabs>
        <w:spacing w:before="0" w:after="80" w:line="276" w:lineRule="auto"/>
        <w:ind w:right="374"/>
      </w:pPr>
      <w:r>
        <w:rPr>
          <w:rFonts w:ascii="Times New Roman" w:hAnsi="Times New Roman"/>
          <w:sz w:val="22"/>
        </w:rPr>
        <w:t>Table 6.3. Stage-3 coordination endorsement and regular-use intention by age band</w:t>
        <w:tab/>
        <w:t>109</w:t>
      </w:r>
    </w:p>
    <w:p>
      <w:pPr>
        <w:pStyle w:val="TOC1"/>
        <w:keepNext w:val="0"/>
        <w:keepLines/>
        <w:tabs>
          <w:tab w:pos="8496" w:val="right" w:leader="dot"/>
        </w:tabs>
        <w:spacing w:before="0" w:after="80" w:line="276" w:lineRule="auto"/>
        <w:ind w:right="374"/>
      </w:pPr>
      <w:r>
        <w:rPr>
          <w:rFonts w:ascii="Times New Roman" w:hAnsi="Times New Roman"/>
          <w:sz w:val="22"/>
        </w:rPr>
        <w:t>Table 6.4. Three-tier nested model specification for the FIAS-vs-TAM/STAM quantitative comparison</w:t>
        <w:tab/>
        <w:t>117</w:t>
      </w:r>
    </w:p>
    <w:p>
      <w:pPr>
        <w:pStyle w:val="TOC1"/>
        <w:keepNext w:val="0"/>
        <w:keepLines/>
        <w:tabs>
          <w:tab w:pos="8496" w:val="right" w:leader="dot"/>
        </w:tabs>
        <w:spacing w:before="0" w:after="80" w:line="276" w:lineRule="auto"/>
        <w:ind w:right="374"/>
      </w:pPr>
      <w:r>
        <w:rPr>
          <w:rFonts w:ascii="Times New Roman" w:hAnsi="Times New Roman"/>
          <w:sz w:val="22"/>
        </w:rPr>
        <w:t>Table 6.5. Consolidated statistical results for the key contrasts of Stages 2 and 3</w:t>
        <w:tab/>
        <w:t>119</w:t>
      </w:r>
    </w:p>
    <w:p>
      <w:pPr>
        <w:pStyle w:val="TOC1"/>
        <w:keepNext w:val="0"/>
        <w:keepLines/>
        <w:tabs>
          <w:tab w:pos="8496" w:val="right" w:leader="dot"/>
        </w:tabs>
        <w:spacing w:before="0" w:after="80" w:line="276" w:lineRule="auto"/>
        <w:ind w:right="374"/>
      </w:pPr>
      <w:r>
        <w:rPr>
          <w:rFonts w:ascii="Times New Roman" w:hAnsi="Times New Roman"/>
          <w:sz w:val="22"/>
        </w:rPr>
        <w:t>Table 7.1. Adaptive-learning principles, function and empirical anchor</w:t>
        <w:tab/>
        <w:t>127</w:t>
      </w:r>
    </w:p>
    <w:p>
      <w:pPr>
        <w:pStyle w:val="TOC1"/>
        <w:keepNext w:val="0"/>
        <w:keepLines/>
        <w:tabs>
          <w:tab w:pos="8496" w:val="right" w:leader="dot"/>
        </w:tabs>
        <w:spacing w:before="0" w:after="80" w:line="276" w:lineRule="auto"/>
        <w:ind w:right="374"/>
      </w:pPr>
      <w:r>
        <w:rPr>
          <w:rFonts w:ascii="Times New Roman" w:hAnsi="Times New Roman"/>
          <w:sz w:val="22"/>
        </w:rPr>
        <w:t>Table 7.2. Adaptive-learning reference stack (L0–L7) mapped to adaptive-learning principles</w:t>
        <w:tab/>
        <w:t>129</w:t>
      </w:r>
    </w:p>
    <w:p>
      <w:pPr>
        <w:pStyle w:val="TOC1"/>
        <w:keepNext w:val="0"/>
        <w:keepLines/>
        <w:tabs>
          <w:tab w:pos="8496" w:val="right" w:leader="dot"/>
        </w:tabs>
        <w:spacing w:before="0" w:after="80" w:line="276" w:lineRule="auto"/>
        <w:ind w:right="374"/>
      </w:pPr>
      <w:r>
        <w:rPr>
          <w:rFonts w:ascii="Times New Roman" w:hAnsi="Times New Roman"/>
          <w:sz w:val="22"/>
        </w:rPr>
        <w:t>Table 7.3. Interpreting progress when an adaptive task changes</w:t>
        <w:tab/>
        <w:t>132</w:t>
      </w:r>
    </w:p>
    <w:p>
      <w:pPr>
        <w:pStyle w:val="TOC1"/>
        <w:keepNext w:val="0"/>
        <w:keepLines/>
        <w:tabs>
          <w:tab w:pos="8496" w:val="right" w:leader="dot"/>
        </w:tabs>
        <w:spacing w:before="0" w:after="80" w:line="276" w:lineRule="auto"/>
        <w:ind w:right="374"/>
      </w:pPr>
      <w:r>
        <w:rPr>
          <w:rFonts w:ascii="Times New Roman" w:hAnsi="Times New Roman"/>
          <w:sz w:val="22"/>
        </w:rPr>
        <w:t>Table 8.0. The four contribution registers and where each is stated</w:t>
        <w:tab/>
        <w:t>144</w:t>
      </w:r>
    </w:p>
    <w:p>
      <w:pPr>
        <w:pStyle w:val="TOC1"/>
        <w:keepNext w:val="0"/>
        <w:keepLines/>
        <w:tabs>
          <w:tab w:pos="8496" w:val="right" w:leader="dot"/>
        </w:tabs>
        <w:spacing w:before="0" w:after="80" w:line="276" w:lineRule="auto"/>
        <w:ind w:right="374"/>
      </w:pPr>
      <w:r>
        <w:rPr>
          <w:rFonts w:ascii="Times New Roman" w:hAnsi="Times New Roman"/>
          <w:sz w:val="22"/>
        </w:rPr>
        <w:t>Table 9.1. The programme diary: knowledge evolution in programme order, 2023 – October 2026</w:t>
        <w:tab/>
        <w:t>168</w:t>
      </w:r>
    </w:p>
    <w:p>
      <w:pPr>
        <w:pStyle w:val="TOC1"/>
        <w:keepNext w:val="0"/>
        <w:keepLines/>
        <w:tabs>
          <w:tab w:pos="8496" w:val="right" w:leader="dot"/>
        </w:tabs>
        <w:spacing w:before="0" w:after="80" w:line="276" w:lineRule="auto"/>
        <w:ind w:right="374"/>
      </w:pPr>
      <w:r>
        <w:rPr>
          <w:rFonts w:ascii="Times New Roman" w:hAnsi="Times New Roman"/>
          <w:sz w:val="22"/>
        </w:rPr>
        <w:t>Table 9.2. The sequence from empirical observations to candidate explanations and a proposed engineering response</w:t>
        <w:tab/>
        <w:t>174</w:t>
      </w:r>
    </w:p>
    <w:p>
      <w:pPr>
        <w:pStyle w:val="TOC1"/>
        <w:keepNext w:val="0"/>
        <w:keepLines/>
        <w:tabs>
          <w:tab w:pos="8496" w:val="right" w:leader="dot"/>
        </w:tabs>
        <w:spacing w:before="0" w:after="80" w:line="276" w:lineRule="auto"/>
        <w:ind w:right="374"/>
      </w:pPr>
      <w:r>
        <w:rPr>
          <w:rFonts w:ascii="Times New Roman" w:hAnsi="Times New Roman"/>
          <w:sz w:val="22"/>
        </w:rPr>
        <w:t>Table 9.3. Deployed Stage-2 adaptation configuration versus a proposed person-conditioned extension</w:t>
        <w:tab/>
        <w:t>184</w:t>
      </w:r>
    </w:p>
    <w:p>
      <w:pPr>
        <w:pStyle w:val="TOC1"/>
        <w:keepNext w:val="0"/>
        <w:keepLines/>
        <w:tabs>
          <w:tab w:pos="8496" w:val="right" w:leader="dot"/>
        </w:tabs>
        <w:spacing w:before="0" w:after="80" w:line="276" w:lineRule="auto"/>
        <w:ind w:right="374"/>
      </w:pPr>
      <w:r>
        <w:rPr>
          <w:rFonts w:ascii="Times New Roman" w:hAnsi="Times New Roman"/>
          <w:sz w:val="22"/>
        </w:rPr>
        <w:t>Table I.1. Status of the Stage-3B record at the 30 September 2026 cut-off (returns received to 30 September 2026)</w:t>
        <w:tab/>
        <w:t>225</w:t>
      </w:r>
    </w:p>
    <w:p>
      <w:pPr>
        <w:pStyle w:val="TOC1"/>
        <w:keepNext w:val="0"/>
        <w:keepLines/>
        <w:tabs>
          <w:tab w:pos="8496" w:val="right" w:leader="dot"/>
        </w:tabs>
        <w:spacing w:before="0" w:after="80" w:line="276" w:lineRule="auto"/>
        <w:ind w:right="374"/>
      </w:pPr>
      <w:r>
        <w:rPr>
          <w:rFonts w:ascii="Times New Roman" w:hAnsi="Times New Roman"/>
          <w:sz w:val="22"/>
        </w:rPr>
        <w:t>Table I.2. Stage-3B build parameters as coded in the frozen study edition (Alpine3B_STUDY_DEV1_FROZEN_2026-09-15.html; SHA-256 in CHECKSUMS.txt)</w:t>
        <w:tab/>
        <w:t>227</w:t>
      </w:r>
    </w:p>
    <w:p>
      <w:pPr>
        <w:pStyle w:val="TOC1"/>
        <w:keepNext w:val="0"/>
        <w:keepLines/>
        <w:tabs>
          <w:tab w:pos="8496" w:val="right" w:leader="dot"/>
        </w:tabs>
        <w:spacing w:before="0" w:after="80" w:line="276" w:lineRule="auto"/>
        <w:ind w:right="374"/>
      </w:pPr>
      <w:r>
        <w:rPr>
          <w:rFonts w:ascii="Times New Roman" w:hAnsi="Times New Roman"/>
          <w:sz w:val="22"/>
        </w:rPr>
        <w:t>Table I.3. Build and distribution lineage, 8 August – 30 September 2026 (dates UTC from the repository log; exposure only as recorded)</w:t>
        <w:tab/>
        <w:t>229</w:t>
      </w:r>
    </w:p>
    <w:p>
      <w:pPr>
        <w:pStyle w:val="TOC1"/>
        <w:keepNext w:val="0"/>
        <w:keepLines/>
        <w:tabs>
          <w:tab w:pos="8496" w:val="right" w:leader="dot"/>
        </w:tabs>
        <w:spacing w:before="0" w:after="80" w:line="276" w:lineRule="auto"/>
        <w:ind w:right="374"/>
      </w:pPr>
      <w:r>
        <w:rPr>
          <w:rFonts w:ascii="Times New Roman" w:hAnsi="Times New Roman"/>
          <w:sz w:val="22"/>
        </w:rPr>
        <w:t>Table I.4. Stage-3B participant returns on record at the 30 September 2026 cut-off (codes only; no names; no outcome values for excluded returns)</w:t>
        <w:tab/>
        <w:t>233</w:t>
      </w:r>
    </w:p>
    <w:p>
      <w:pPr>
        <w:pStyle w:val="TOC1"/>
        <w:keepNext w:val="0"/>
        <w:keepLines/>
        <w:tabs>
          <w:tab w:pos="8496" w:val="right" w:leader="dot"/>
        </w:tabs>
        <w:spacing w:before="0" w:after="80" w:line="276" w:lineRule="auto"/>
        <w:ind w:right="374"/>
      </w:pPr>
      <w:r>
        <w:rPr>
          <w:rFonts w:ascii="Times New Roman" w:hAnsi="Times New Roman"/>
          <w:sz w:val="22"/>
        </w:rPr>
        <w:t>Table I.5. Batch 01 deduplicated units (as stated in the Batch 01 Research Review of 20 September 2026), with seven-code totals including the two later-received exports (PFWU9V, PXG3R9)</w:t>
        <w:tab/>
        <w:t>237</w:t>
      </w:r>
    </w:p>
    <w:p>
      <w:pPr>
        <w:pStyle w:val="TOC1"/>
        <w:keepNext w:val="0"/>
        <w:keepLines/>
        <w:tabs>
          <w:tab w:pos="8496" w:val="right" w:leader="dot"/>
        </w:tabs>
        <w:spacing w:before="0" w:after="80" w:line="276" w:lineRule="auto"/>
        <w:ind w:right="374"/>
      </w:pPr>
      <w:r>
        <w:rPr>
          <w:rFonts w:ascii="Times New Roman" w:hAnsi="Times New Roman"/>
          <w:sz w:val="22"/>
        </w:rPr>
        <w:t>Table I.6. Record-level coverage per stored code (Batch 01 codes as reported; PFWU9V and PXG3R9 from their raw exports)</w:t>
        <w:tab/>
        <w:t>238</w:t>
      </w:r>
    </w:p>
    <w:p>
      <w:pPr>
        <w:pStyle w:val="TOC1"/>
        <w:keepNext w:val="0"/>
        <w:keepLines/>
        <w:tabs>
          <w:tab w:pos="8496" w:val="right" w:leader="dot"/>
        </w:tabs>
        <w:spacing w:before="0" w:after="80" w:line="276" w:lineRule="auto"/>
        <w:ind w:right="374"/>
      </w:pPr>
      <w:r>
        <w:rPr>
          <w:rFonts w:ascii="Times New Roman" w:hAnsi="Times New Roman"/>
          <w:sz w:val="22"/>
        </w:rPr>
        <w:t>Table I.7. Visit-by-visit routes (W = warm-up; Pre/Post = opening/closing fixed-course check; P = practice)</w:t>
        <w:tab/>
        <w:t>239</w:t>
      </w:r>
    </w:p>
    <w:p>
      <w:pPr>
        <w:pStyle w:val="TOC1"/>
        <w:keepNext w:val="0"/>
        <w:keepLines/>
        <w:tabs>
          <w:tab w:pos="8496" w:val="right" w:leader="dot"/>
        </w:tabs>
        <w:spacing w:before="0" w:after="80" w:line="276" w:lineRule="auto"/>
        <w:ind w:right="374"/>
      </w:pPr>
      <w:r>
        <w:rPr>
          <w:rFonts w:ascii="Times New Roman" w:hAnsi="Times New Roman"/>
          <w:sz w:val="22"/>
        </w:rPr>
        <w:t>Table I.8. Decision audit: the twelve feedback → proposal → applied-settings chains (three stored codes; transition numbers are exported Session_No values, which include warm-ups and checks; pace values are multipliers)</w:t>
        <w:tab/>
        <w:t>240</w:t>
      </w:r>
    </w:p>
    <w:p>
      <w:pPr>
        <w:pStyle w:val="TOC1"/>
        <w:keepNext w:val="0"/>
        <w:keepLines/>
        <w:tabs>
          <w:tab w:pos="8496" w:val="right" w:leader="dot"/>
        </w:tabs>
        <w:spacing w:before="0" w:after="80" w:line="276" w:lineRule="auto"/>
        <w:ind w:right="374"/>
      </w:pPr>
      <w:r>
        <w:rPr>
          <w:rFonts w:ascii="Times New Roman" w:hAnsi="Times New Roman"/>
          <w:sz w:val="22"/>
        </w:rPr>
        <w:t>Table I.9. Paired fixed-course checks (opening → closing, within visit; pace ×0.85, 20 obstacles, 30-s planned duration, same input mode within each pair; course forms differ within each pair)</w:t>
        <w:tab/>
        <w:t>241</w:t>
      </w:r>
    </w:p>
    <w:p>
      <w:pPr>
        <w:pStyle w:val="TOC1"/>
        <w:keepNext w:val="0"/>
        <w:keepLines/>
        <w:tabs>
          <w:tab w:pos="8496" w:val="right" w:leader="dot"/>
        </w:tabs>
        <w:spacing w:before="0" w:after="80" w:line="276" w:lineRule="auto"/>
        <w:ind w:right="374"/>
      </w:pPr>
      <w:r>
        <w:rPr>
          <w:rFonts w:ascii="Times New Roman" w:hAnsi="Times New Roman"/>
          <w:sz w:val="22"/>
        </w:rPr>
        <w:t>Table I.10. First-visit questionnaire, one record per stored code, seven codes (five-point scale, strongly disagree to strongly agree; as-administered wording from the deposited Pro v4.1 HTML)</w:t>
        <w:tab/>
        <w:t>242</w:t>
      </w:r>
    </w:p>
    <w:p>
      <w:pPr>
        <w:pStyle w:val="TOC1"/>
        <w:keepNext w:val="0"/>
        <w:keepLines/>
        <w:tabs>
          <w:tab w:pos="8496" w:val="right" w:leader="dot"/>
        </w:tabs>
        <w:spacing w:before="0" w:after="80" w:line="276" w:lineRule="auto"/>
        <w:ind w:right="374"/>
      </w:pPr>
      <w:r>
        <w:rPr>
          <w:rFonts w:ascii="Times New Roman" w:hAnsi="Times New Roman"/>
          <w:sz w:val="22"/>
        </w:rPr>
        <w:t>Table I.11. Exploratory paired statistics reproduced from the Learning Measurement addendum (conditional calculations; assumptions not verified; not confirmatory evidence of an effect or of its absence)</w:t>
        <w:tab/>
        <w:t>243</w:t>
      </w:r>
    </w:p>
    <w:p>
      <w:pPr>
        <w:pStyle w:val="TOC1"/>
        <w:keepNext w:val="0"/>
        <w:keepLines/>
        <w:tabs>
          <w:tab w:pos="8496" w:val="right" w:leader="dot"/>
        </w:tabs>
        <w:spacing w:before="0" w:after="80" w:line="276" w:lineRule="auto"/>
        <w:ind w:right="374"/>
      </w:pPr>
      <w:r>
        <w:rPr>
          <w:rFonts w:ascii="Times New Roman" w:hAnsi="Times New Roman"/>
          <w:sz w:val="22"/>
        </w:rPr>
        <w:t>Table I.12. Gap between the recorded measurement and the adaptive-learning construct</w:t>
        <w:tab/>
        <w:t>245</w:t>
      </w:r>
    </w:p>
    <w:p>
      <w:pPr>
        <w:pStyle w:val="Normal"/>
        <w:spacing w:after="200" w:line="276" w:lineRule="auto"/>
        <w:rPr>
          <w:rFonts w:asciiTheme="majorHAnsi" w:eastAsiaTheme="majorEastAsia" w:hAnsiTheme="majorHAnsi" w:cstheme="majorBidi"/>
          <w:b/>
          <w:bCs/>
          <w:color w:val="000000"/>
          <w:sz w:val="32"/>
          <w:szCs w:val="28"/>
        </w:rPr>
      </w:pPr>
    </w:p>
    <w:p>
      <w:pPr>
        <w:pStyle w:val="Heading1"/>
      </w:pPr>
      <w:r>
        <w:rPr>
          <w:lang w:val="en-US" w:eastAsia="en-US" w:bidi="ar-SA"/>
          <w:color w:val="000000"/>
          <w:szCs w:val="28"/>
        </w:rPr>
        <w:t>List of Abbreviations</w:t>
      </w:r>
    </w:p>
    <w:tbl>
      <w:tblPr>
        <w:tblStyle w:val="TableGrid"/>
        <w:tblW w:w="8505" w:type="dxa"/>
        <w:jc w:val="center"/>
        <w:tblLayout w:type="fixed"/>
        <w:tblLook w:val="04A0" w:firstRow="1" w:lastRow="0" w:firstColumn="1" w:lastColumn="0" w:noHBand="0" w:noVBand="1"/>
      </w:tblPr>
      <w:tblGrid>
        <w:gridCol w:w="2324"/>
        <w:gridCol w:w="6181"/>
      </w:tblGrid>
      <w:tr>
        <w:trPr>
          <w:jc w:val="center"/>
          <w:cantSplit/>
        </w:trPr>
        <w:tc>
          <w:tcPr>
            <w:tcW w:w="2324" w:type="dxa"/>
          </w:tcPr>
          <w:p>
            <w:pPr>
              <w:pStyle w:val="Normal"/>
              <w:keepNext w:val="0"/>
              <w:keepLines/>
            </w:pPr>
            <w:r>
              <w:rPr>
                <w:b w:val="0"/>
                <w:sz w:val="22"/>
                <w:szCs w:val="22"/>
                <w:lang w:val="en-US" w:eastAsia="en-US" w:bidi="ar-SA"/>
                <w:rFonts w:ascii="Times New Roman" w:hAnsi="Times New Roman" w:eastAsia="Times New Roman" w:cs="Times New Roman"/>
              </w:rPr>
              <w:t>AI</w:t>
            </w:r>
          </w:p>
        </w:tc>
        <w:tc>
          <w:tcPr>
            <w:tcW w:w="6181" w:type="dxa"/>
          </w:tcPr>
          <w:p>
            <w:pPr>
              <w:pStyle w:val="Normal"/>
              <w:keepNext w:val="0"/>
              <w:keepLines/>
            </w:pPr>
            <w:r>
              <w:rPr>
                <w:b w:val="0"/>
                <w:sz w:val="22"/>
                <w:szCs w:val="22"/>
                <w:lang w:val="en-US" w:eastAsia="en-US" w:bidi="ar-SA"/>
                <w:rFonts w:ascii="Times New Roman" w:hAnsi="Times New Roman" w:eastAsia="Times New Roman" w:cs="Times New Roman"/>
              </w:rPr>
              <w:t>Artificial Intelligence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AIC / BIC</w:t>
            </w:r>
          </w:p>
        </w:tc>
        <w:tc>
          <w:tcPr>
            <w:tcW w:w="6181" w:type="dxa"/>
          </w:tcPr>
          <w:p>
            <w:pPr>
              <w:pStyle w:val="Normal"/>
            </w:pPr>
            <w:r>
              <w:rPr>
                <w:sz w:val="20"/>
                <w:szCs w:val="22"/>
                <w:lang w:val="en-US" w:eastAsia="en-US" w:bidi="ar-SA"/>
                <w:rFonts w:ascii="Times New Roman" w:hAnsi="Times New Roman" w:eastAsia="Times New Roman" w:cs="Times New Roman"/>
              </w:rPr>
              <w:t>Akaike / Bayesian Information Criterion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AUC</w:t>
            </w:r>
          </w:p>
        </w:tc>
        <w:tc>
          <w:tcPr>
            <w:tcW w:w="6181" w:type="dxa"/>
          </w:tcPr>
          <w:p>
            <w:pPr>
              <w:pStyle w:val="Normal"/>
            </w:pPr>
            <w:r>
              <w:rPr>
                <w:sz w:val="20"/>
                <w:szCs w:val="22"/>
                <w:lang w:val="en-US" w:eastAsia="en-US" w:bidi="ar-SA"/>
                <w:rFonts w:ascii="Times New Roman" w:hAnsi="Times New Roman" w:eastAsia="Times New Roman" w:cs="Times New Roman"/>
              </w:rPr>
              <w:t>Area Under the (ROC) Curve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BIA</w:t>
            </w:r>
          </w:p>
        </w:tc>
        <w:tc>
          <w:tcPr>
            <w:tcW w:w="6181" w:type="dxa"/>
          </w:tcPr>
          <w:p>
            <w:pPr>
              <w:pStyle w:val="Normal"/>
            </w:pPr>
            <w:r>
              <w:rPr>
                <w:sz w:val="20"/>
                <w:szCs w:val="22"/>
                <w:lang w:val="en-US" w:eastAsia="en-US" w:bidi="ar-SA"/>
                <w:rFonts w:ascii="Times New Roman" w:hAnsi="Times New Roman" w:eastAsia="Times New Roman" w:cs="Times New Roman"/>
              </w:rPr>
              <w:t>Bioelectrical-impedance analysis station (InBody BIA station, optionally linked to the FRA510S; §4.1A)</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CI</w:t>
            </w:r>
          </w:p>
        </w:tc>
        <w:tc>
          <w:tcPr>
            <w:tcW w:w="6181" w:type="dxa"/>
          </w:tcPr>
          <w:p>
            <w:pPr>
              <w:pStyle w:val="Normal"/>
            </w:pPr>
            <w:r>
              <w:rPr>
                <w:sz w:val="20"/>
                <w:szCs w:val="22"/>
                <w:lang w:val="en-US" w:eastAsia="en-US" w:bidi="ar-SA"/>
                <w:rFonts w:ascii="Times New Roman" w:hAnsi="Times New Roman" w:eastAsia="Times New Roman" w:cs="Times New Roman"/>
              </w:rPr>
              <w:t>Confidence Interval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COP</w:t>
            </w:r>
          </w:p>
        </w:tc>
        <w:tc>
          <w:tcPr>
            <w:tcW w:w="6181" w:type="dxa"/>
          </w:tcPr>
          <w:p>
            <w:pPr>
              <w:pStyle w:val="Normal"/>
            </w:pPr>
            <w:r>
              <w:rPr>
                <w:sz w:val="20"/>
                <w:szCs w:val="22"/>
                <w:lang w:val="en-US" w:eastAsia="en-US" w:bidi="ar-SA"/>
                <w:rFonts w:ascii="Times New Roman" w:hAnsi="Times New Roman" w:eastAsia="Times New Roman" w:cs="Times New Roman"/>
              </w:rPr>
              <w:t>Centre of Pressure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FES-I</w:t>
            </w:r>
          </w:p>
        </w:tc>
        <w:tc>
          <w:tcPr>
            <w:tcW w:w="6181" w:type="dxa"/>
          </w:tcPr>
          <w:p>
            <w:pPr>
              <w:pStyle w:val="Normal"/>
            </w:pPr>
            <w:r>
              <w:rPr>
                <w:sz w:val="20"/>
                <w:szCs w:val="22"/>
                <w:lang w:val="en-US" w:eastAsia="en-US" w:bidi="ar-SA"/>
                <w:rFonts w:ascii="Times New Roman" w:hAnsi="Times New Roman" w:eastAsia="Times New Roman" w:cs="Times New Roman"/>
              </w:rPr>
              <w:t>Falls Efficacy Scale – International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FIAS</w:t>
            </w:r>
          </w:p>
        </w:tc>
        <w:tc>
          <w:tcPr>
            <w:tcW w:w="6181" w:type="dxa"/>
          </w:tcPr>
          <w:p>
            <w:pPr>
              <w:pStyle w:val="Normal"/>
            </w:pPr>
            <w:r>
              <w:rPr>
                <w:sz w:val="20"/>
                <w:szCs w:val="22"/>
                <w:lang w:val="en-US" w:eastAsia="en-US" w:bidi="ar-SA"/>
                <w:rFonts w:ascii="Times New Roman" w:hAnsi="Times New Roman" w:eastAsia="Times New Roman" w:cs="Times New Roman"/>
              </w:rPr>
              <w:t>Failure-Induced Abandonment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FIDS</w:t>
            </w:r>
          </w:p>
        </w:tc>
        <w:tc>
          <w:tcPr>
            <w:tcW w:w="6181" w:type="dxa"/>
          </w:tcPr>
          <w:p>
            <w:pPr>
              <w:pStyle w:val="Normal"/>
            </w:pPr>
            <w:r>
              <w:rPr>
                <w:sz w:val="20"/>
                <w:szCs w:val="22"/>
                <w:lang w:val="en-US" w:eastAsia="en-US" w:bidi="ar-SA"/>
                <w:rFonts w:ascii="Times New Roman" w:hAnsi="Times New Roman" w:eastAsia="Times New Roman" w:cs="Times New Roman"/>
              </w:rPr>
              <w:t>Failure-Induced Dropout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F0–F4</w:t>
            </w:r>
          </w:p>
        </w:tc>
        <w:tc>
          <w:tcPr>
            <w:tcW w:w="6181" w:type="dxa"/>
          </w:tcPr>
          <w:p>
            <w:pPr>
              <w:pStyle w:val="Normal"/>
            </w:pPr>
            <w:r>
              <w:rPr>
                <w:sz w:val="20"/>
                <w:szCs w:val="22"/>
                <w:lang w:val="en-US" w:eastAsia="en-US" w:bidi="ar-SA"/>
                <w:rFonts w:ascii="Times New Roman" w:hAnsi="Times New Roman" w:eastAsia="Times New Roman" w:cs="Times New Roman"/>
              </w:rPr>
              <w:t>Stage-2 FIAS coding categories (Appendix B); F4 = observed non-return under the study definition (the F4 cluster, §5.6)</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FRA</w:t>
            </w:r>
          </w:p>
        </w:tc>
        <w:tc>
          <w:tcPr>
            <w:tcW w:w="6181" w:type="dxa"/>
          </w:tcPr>
          <w:p>
            <w:pPr>
              <w:pStyle w:val="Normal"/>
            </w:pPr>
            <w:r>
              <w:rPr>
                <w:sz w:val="20"/>
                <w:szCs w:val="22"/>
                <w:lang w:val="en-US" w:eastAsia="en-US" w:bidi="ar-SA"/>
                <w:rFonts w:ascii="Times New Roman" w:hAnsi="Times New Roman" w:eastAsia="Times New Roman" w:cs="Times New Roman"/>
              </w:rPr>
              <w:t>Fall Risk Assessment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GO</w:t>
            </w:r>
          </w:p>
        </w:tc>
        <w:tc>
          <w:tcPr>
            <w:tcW w:w="6181" w:type="dxa"/>
          </w:tcPr>
          <w:p>
            <w:pPr>
              <w:pStyle w:val="Normal"/>
            </w:pPr>
            <w:r>
              <w:rPr>
                <w:sz w:val="20"/>
                <w:szCs w:val="22"/>
                <w:lang w:val="en-US" w:eastAsia="en-US" w:bidi="ar-SA"/>
                <w:rFonts w:ascii="Times New Roman" w:hAnsi="Times New Roman" w:eastAsia="Times New Roman" w:cs="Times New Roman"/>
              </w:rPr>
              <w:t>Game-over failure mode (Stage-3B component study): the third bump ends the run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HSEARS</w:t>
            </w:r>
          </w:p>
        </w:tc>
        <w:tc>
          <w:tcPr>
            <w:tcW w:w="6181" w:type="dxa"/>
          </w:tcPr>
          <w:p>
            <w:pPr>
              <w:pStyle w:val="Normal"/>
            </w:pPr>
            <w:r>
              <w:rPr>
                <w:sz w:val="20"/>
                <w:szCs w:val="22"/>
                <w:lang w:val="en-US" w:eastAsia="en-US" w:bidi="ar-SA"/>
                <w:rFonts w:ascii="Times New Roman" w:hAnsi="Times New Roman" w:eastAsia="Times New Roman" w:cs="Times New Roman"/>
              </w:rPr>
              <w:t>PolyU Human Subjects Ethics Application Review System (the ethics approval reference, §3.4)</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M0 / M1 / M2</w:t>
            </w:r>
          </w:p>
        </w:tc>
        <w:tc>
          <w:tcPr>
            <w:tcW w:w="6181" w:type="dxa"/>
          </w:tcPr>
          <w:p>
            <w:pPr>
              <w:pStyle w:val="Normal"/>
            </w:pPr>
            <w:r>
              <w:rPr>
                <w:sz w:val="20"/>
                <w:szCs w:val="22"/>
                <w:lang w:val="en-US" w:eastAsia="en-US" w:bidi="ar-SA"/>
                <w:rFonts w:ascii="Times New Roman" w:hAnsi="Times New Roman" w:eastAsia="Times New Roman" w:cs="Times New Roman"/>
              </w:rPr>
              <w:t>Nested models of the proposed quantitative comparison (Table 6.4; §6.10.1): demographic baseline, STAM-only, STAM with FIAS operators</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NASSS</w:t>
            </w:r>
          </w:p>
        </w:tc>
        <w:tc>
          <w:tcPr>
            <w:tcW w:w="6181" w:type="dxa"/>
          </w:tcPr>
          <w:p>
            <w:pPr>
              <w:pStyle w:val="Normal"/>
            </w:pPr>
            <w:r>
              <w:rPr>
                <w:sz w:val="20"/>
                <w:szCs w:val="22"/>
                <w:lang w:val="en-US" w:eastAsia="en-US" w:bidi="ar-SA"/>
                <w:rFonts w:ascii="Times New Roman" w:hAnsi="Times New Roman" w:eastAsia="Times New Roman" w:cs="Times New Roman"/>
              </w:rPr>
              <w:t>Non-adoption, Abandonment, Scale-up, Spread and Sustainability framework (§2.7.2)</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PEOU</w:t>
            </w:r>
          </w:p>
        </w:tc>
        <w:tc>
          <w:tcPr>
            <w:tcW w:w="6181" w:type="dxa"/>
          </w:tcPr>
          <w:p>
            <w:pPr>
              <w:pStyle w:val="Normal"/>
            </w:pPr>
            <w:r>
              <w:rPr>
                <w:sz w:val="20"/>
                <w:szCs w:val="22"/>
                <w:lang w:val="en-US" w:eastAsia="en-US" w:bidi="ar-SA"/>
                <w:rFonts w:ascii="Times New Roman" w:hAnsi="Times New Roman" w:eastAsia="Times New Roman" w:cs="Times New Roman"/>
              </w:rPr>
              <w:t>Perceived Ease of Use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PIPL</w:t>
            </w:r>
          </w:p>
        </w:tc>
        <w:tc>
          <w:tcPr>
            <w:tcW w:w="6181" w:type="dxa"/>
          </w:tcPr>
          <w:p>
            <w:pPr>
              <w:pStyle w:val="Normal"/>
            </w:pPr>
            <w:r>
              <w:rPr>
                <w:sz w:val="20"/>
                <w:szCs w:val="22"/>
                <w:lang w:val="en-US" w:eastAsia="en-US" w:bidi="ar-SA"/>
                <w:rFonts w:ascii="Times New Roman" w:hAnsi="Times New Roman" w:eastAsia="Times New Roman" w:cs="Times New Roman"/>
              </w:rPr>
              <w:t>Personal Information Protection Law (PRC)</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PU</w:t>
            </w:r>
          </w:p>
        </w:tc>
        <w:tc>
          <w:tcPr>
            <w:tcW w:w="6181" w:type="dxa"/>
          </w:tcPr>
          <w:p>
            <w:pPr>
              <w:pStyle w:val="Normal"/>
            </w:pPr>
            <w:r>
              <w:rPr>
                <w:sz w:val="20"/>
                <w:szCs w:val="22"/>
                <w:lang w:val="en-US" w:eastAsia="en-US" w:bidi="ar-SA"/>
                <w:rFonts w:ascii="Times New Roman" w:hAnsi="Times New Roman" w:eastAsia="Times New Roman" w:cs="Times New Roman"/>
              </w:rPr>
              <w:t>Perceived Usefulness</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QFD</w:t>
            </w:r>
          </w:p>
        </w:tc>
        <w:tc>
          <w:tcPr>
            <w:tcW w:w="6181" w:type="dxa"/>
          </w:tcPr>
          <w:p>
            <w:pPr>
              <w:pStyle w:val="Normal"/>
            </w:pPr>
            <w:r>
              <w:rPr>
                <w:sz w:val="20"/>
                <w:szCs w:val="22"/>
                <w:lang w:val="en-US" w:eastAsia="en-US" w:bidi="ar-SA"/>
                <w:rFonts w:ascii="Times New Roman" w:hAnsi="Times New Roman" w:eastAsia="Times New Roman" w:cs="Times New Roman"/>
              </w:rPr>
              <w:t>Quality Function Deployment (§5.5A)</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SDT</w:t>
            </w:r>
          </w:p>
        </w:tc>
        <w:tc>
          <w:tcPr>
            <w:tcW w:w="6181" w:type="dxa"/>
          </w:tcPr>
          <w:p>
            <w:pPr>
              <w:pStyle w:val="Normal"/>
            </w:pPr>
            <w:r>
              <w:rPr>
                <w:sz w:val="20"/>
                <w:szCs w:val="22"/>
                <w:lang w:val="en-US" w:eastAsia="en-US" w:bidi="ar-SA"/>
                <w:rFonts w:ascii="Times New Roman" w:hAnsi="Times New Roman" w:eastAsia="Times New Roman" w:cs="Times New Roman"/>
              </w:rPr>
              <w:t>Self-Determination Theory (§2.6.2B)</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STAM</w:t>
            </w:r>
          </w:p>
        </w:tc>
        <w:tc>
          <w:tcPr>
            <w:tcW w:w="6181" w:type="dxa"/>
          </w:tcPr>
          <w:p>
            <w:pPr>
              <w:pStyle w:val="Normal"/>
            </w:pPr>
            <w:r>
              <w:rPr>
                <w:sz w:val="20"/>
                <w:szCs w:val="22"/>
                <w:lang w:val="en-US" w:eastAsia="en-US" w:bidi="ar-SA"/>
                <w:rFonts w:ascii="Times New Roman" w:hAnsi="Times New Roman" w:eastAsia="Times New Roman" w:cs="Times New Roman"/>
              </w:rPr>
              <w:t>Senior 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TAM</w:t>
            </w:r>
          </w:p>
        </w:tc>
        <w:tc>
          <w:tcPr>
            <w:tcW w:w="6181" w:type="dxa"/>
          </w:tcPr>
          <w:p>
            <w:pPr>
              <w:pStyle w:val="Normal"/>
            </w:pPr>
            <w:r>
              <w:rPr>
                <w:sz w:val="20"/>
                <w:szCs w:val="22"/>
                <w:lang w:val="en-US" w:eastAsia="en-US" w:bidi="ar-SA"/>
                <w:rFonts w:ascii="Times New Roman" w:hAnsi="Times New Roman" w:eastAsia="Times New Roman" w:cs="Times New Roman"/>
              </w:rPr>
              <w:t>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UTAUT</w:t>
            </w:r>
          </w:p>
        </w:tc>
        <w:tc>
          <w:tcPr>
            <w:tcW w:w="6181" w:type="dxa"/>
          </w:tcPr>
          <w:p>
            <w:pPr>
              <w:pStyle w:val="Normal"/>
            </w:pPr>
            <w:r>
              <w:rPr>
                <w:sz w:val="20"/>
                <w:szCs w:val="22"/>
                <w:lang w:val="en-US" w:eastAsia="en-US" w:bidi="ar-SA"/>
                <w:rFonts w:ascii="Times New Roman" w:hAnsi="Times New Roman" w:eastAsia="Times New Roman" w:cs="Times New Roman"/>
              </w:rPr>
              <w:t>Unified Theory of Acceptance and Use of Technology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WTA</w:t>
            </w:r>
          </w:p>
        </w:tc>
        <w:tc>
          <w:tcPr>
            <w:tcW w:w="6181" w:type="dxa"/>
          </w:tcPr>
          <w:p>
            <w:pPr>
              <w:pStyle w:val="Normal"/>
            </w:pPr>
            <w:r>
              <w:rPr>
                <w:sz w:val="20"/>
                <w:szCs w:val="22"/>
                <w:lang w:val="en-US" w:eastAsia="en-US" w:bidi="ar-SA"/>
                <w:rFonts w:ascii="Times New Roman" w:hAnsi="Times New Roman" w:eastAsia="Times New Roman" w:cs="Times New Roman"/>
              </w:rPr>
              <w:t>Willingness To Accept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WTP</w:t>
            </w:r>
          </w:p>
        </w:tc>
        <w:tc>
          <w:tcPr>
            <w:tcW w:w="6181" w:type="dxa"/>
          </w:tcPr>
          <w:p>
            <w:pPr>
              <w:pStyle w:val="Normal"/>
            </w:pPr>
            <w:r>
              <w:rPr>
                <w:sz w:val="20"/>
                <w:szCs w:val="22"/>
                <w:lang w:val="en-US" w:eastAsia="en-US" w:bidi="ar-SA"/>
                <w:rFonts w:ascii="Times New Roman" w:hAnsi="Times New Roman" w:eastAsia="Times New Roman" w:cs="Times New Roman"/>
              </w:rPr>
              <w:t>Willingness To Pay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ZF</w:t>
            </w:r>
          </w:p>
        </w:tc>
        <w:tc>
          <w:tcPr>
            <w:tcW w:w="6181" w:type="dxa"/>
          </w:tcPr>
          <w:p>
            <w:pPr>
              <w:pStyle w:val="Normal"/>
            </w:pPr>
            <w:r>
              <w:rPr>
                <w:sz w:val="20"/>
                <w:szCs w:val="22"/>
                <w:lang w:val="en-US" w:eastAsia="en-US" w:bidi="ar-SA"/>
                <w:rFonts w:ascii="Times New Roman" w:hAnsi="Times New Roman" w:eastAsia="Times New Roman" w:cs="Times New Roman"/>
              </w:rPr>
              <w:t>Zero-failure failure mode (Stage-3B component study): non-terminal feedback; the run completes</w:t>
            </w:r>
          </w:p>
        </w:tc>
      </w:tr>
    </w:tbl>
    <w:p>
      <w:pPr>
        <w:pStyle w:val="Normal"/>
        <w:keepNext w:val="0"/>
        <w:keepLines w:val="0"/>
        <w:spacing w:after="0" w:before="0" w:line="20" w:lineRule="exact"/>
        <w:rPr>
          <w:sz w:val="2"/>
        </w:rPr>
      </w:pPr>
    </w:p>
    <w:p>
      <w:pPr>
        <w:pStyle w:val="Normal"/>
        <w:keepNext w:val="0"/>
        <w:keepLines w:val="0"/>
        <w:spacing w:after="0" w:before="0" w:line="20" w:lineRule="exact"/>
        <w:rPr>
          <w:sz w:val="2"/>
        </w:rPr>
        <w:sectPr w:rsidR="0062437E">
          <w:footerReference w:type="default" r:id="rId8"/>
          <w:pgSz w:w="11906" w:h="16838"/>
          <w:pgMar w:top="1417" w:right="1417" w:bottom="1417" w:left="1984" w:header="720" w:footer="720" w:gutter="0"/>
          <w:pgNumType w:fmt="lowerRoman" w:start="1"/>
          <w:cols w:space="720"/>
          <w:titlePg/>
          <w:docGrid w:linePitch="360"/>
        </w:sectPr>
      </w:pPr>
    </w:p>
    <w:p>
      <w:pPr>
        <w:pStyle w:val="Heading1"/>
        <w:pageBreakBefore/>
      </w:pPr>
      <w:bookmarkStart w:id="4" w:name="_Toc232024496"/>
      <w:r>
        <w:rPr>
          <w:lang w:val="en-US" w:eastAsia="en-US" w:bidi="ar-SA"/>
          <w:color w:val="000000"/>
          <w:szCs w:val="28"/>
        </w:rPr>
        <w:t>Chapter 1 Introduction</w:t>
      </w:r>
      <w:bookmarkEnd w:id="4"/>
    </w:p>
    <w:p>
      <w:pPr>
        <w:pStyle w:val="Heading2"/>
      </w:pPr>
      <w:bookmarkStart w:id="5" w:name="_Toc232024497"/>
      <w:r>
        <w:rPr>
          <w:lang w:val="en-US" w:eastAsia="en-US" w:bidi="ar-SA"/>
          <w:color w:val="000000"/>
          <w:szCs w:val="26"/>
        </w:rPr>
        <w:t>1.1 The Point of Departure: An Empty Station in a Busy Hall</w:t>
      </w:r>
      <w:bookmarkEnd w:id="5"/>
    </w:p>
    <w:p>
      <w:pPr>
        <w:pStyle w:val="Normal"/>
        <w:jc w:val="both"/>
      </w:pPr>
      <w:r>
        <w:rPr>
          <w:szCs w:val="22"/>
          <w:lang w:val="en-US" w:eastAsia="en-US" w:bidi="ar-SA"/>
          <w:rFonts w:ascii="Times New Roman" w:hAnsi="Times New Roman" w:eastAsia="Times New Roman" w:cs="Times New Roman"/>
          <w:sz w:val="24"/>
        </w:rP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pPr>
        <w:pStyle w:val="Normal"/>
        <w:jc w:val="both"/>
      </w:pPr>
      <w:r>
        <w:rPr>
          <w:szCs w:val="22"/>
          <w:lang w:val="en-US" w:eastAsia="en-US" w:bidi="ar-SA"/>
          <w:rFonts w:ascii="Times New Roman" w:hAnsi="Times New Roman" w:eastAsia="Times New Roman" w:cs="Times New Roman"/>
          <w:sz w:val="24"/>
        </w:rPr>
        <w:t>The pattern was not new. By the facility's account to the author,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(This utilisation history and the campaign dates are reported as described to the author by the facility's management and care staff; no facility utilisation record or campaign documentation is archived with this thesis, Appendix G.)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pPr>
        <w:jc w:val="both"/>
      </w:pPr>
      <w:r>
        <w:t>Nor is the empty station unique to this hall. The quiet isolation of health technology that users experience as too demanding is documented across three decades of literature: in the classic study of assistive devices, 29.3% were completely abandoned, with devices procured without regard to the user's opinion and poor perceived performance among the strongest predictors (Phillips &amp; Zhao, 1993); in the consumer era, users abandoned some 80% of smart health devices, citing burdensome upkeep, data they could not use — and, notably, devices that did not fit their conception of themselves, a foreshadowing of the mechanism this thesis will pursue (Lazar et al., 2015); and for older adults specifically, the systematic acceptance literature places perceived complexity and usability concerns among the recurring barriers to technology for ageing in place (Peek et al., 2014). What the literature records as rates and factors, the rehabilitation hall displayed as furniture: a validated device, present and switched on, around which daily life had simply learned to flow.</w:t>
      </w:r>
    </w:p>
    <w:p>
      <w:pPr>
        <w:pStyle w:val="Normal"/>
        <w:jc w:val="both"/>
      </w:pPr>
      <w:r>
        <w:rPr>
          <w:szCs w:val="22"/>
          <w:lang w:val="en-US" w:eastAsia="en-US" w:bidi="ar-SA"/>
          <w:rFonts w:ascii="Times New Roman" w:hAnsi="Times New Roman" w:eastAsia="Times New Roman" w:cs="Times New Roman"/>
          <w:sz w:val="24"/>
        </w:rPr>
        <w:t>The industrial problem is the gap between an available assessment service and residents’ willingness to use it repeatedly. The field setting offered installed equipment and local support, yet these provisions did not secure sustained use. This case therefore warrants examination of the encounter with assessment and of what follows an adverse experience. It does not establish that access, usability or clinical value are unimportant, or that all subsequent non-use reflects a single psychological mechanism.</w:t>
      </w:r>
    </w:p>
    <w:p>
      <w:pPr>
        <w:jc w:val="both"/>
      </w:pPr>
      <w:r>
        <w:rPr/>
        <w:t>The station's own history sharpens the puzzle. The FRA had been installed roughly twelve years before this research began, and</w:t>
      </w:r>
      <w:r>
        <w:rPr/>
      </w:r>
      <w:r/>
      <w:r>
        <w:rPr/>
      </w:r>
      <w:r/>
      <w:r>
        <w:rPr/>
      </w:r>
      <w:r/>
      <w:r>
        <w:rPr/>
      </w:r>
      <w:r/>
      <w:r>
        <w:rPr/>
      </w:r>
      <w:r>
        <w:t xml:space="preserve"> its decade of near-silence sat oddly beside the platform's standing in its Korean home market, where the system was introduced with an active clinical research base - a community validation study of 289 older adults at a Seoul senior welfare centre (W.-C. Park et al., 2019) and a reliability study (Kim et al., 2018). Whether home-market utilisation actually ran higher is not verifiable from the published record - the Korean literature validates the instrument but reports no uptake rates - and this thesis therefore makes no utilisation comparison between the two markets. What the contrast supplied instead was an assumption worth examining: that the station's silence reflected challenges local to its deployment - operational, cultural, or psychological - rather than a defect of the instrument itself. That assumption is examined from Chapter 4 onward, and the cross-cultural reference point is taken up at §4.7.</w:t>
      </w:r>
    </w:p>
    <w:p>
      <w:pPr>
        <w:jc w:val="both"/>
      </w:pPr>
      <w:r>
        <w:rPr/>
        <w:t>Nor was gamification foreign to the station. In 2022 InBody's own balance games were installed on the facility's FRA - the line ships a training mode of games tailored to test results (InBody Co., Ltd., 2022) - and the station stayed quiet. The evaluation that became this thesis began in late 2023, when the author - an industrial practitioner responsible for exactly such equipment - started to examine that silence systematically. The first working direction came from the author's supervisor: gamification, done differently, might still help. The direction was credible on the evidence then available - the literature reviewed in Chapter 2 documents game-based engagement effects for older adults - and a year after InBody's games arrived, the author began developing the skiing games for the Poly Group centres, taking InBody's installed games as their starting point (the design is reported in Chapter 5). The industrial signal, in other words, was already concrete before this programme deployed anything: a free, clinically beneficial, accessible station had been given games and was still being left alone. If people still leave such a station after their first failure, then what, exactly, is doing the leaving? The working conjecture formed at this point - failure-induced dropout, stated as the pre-research hypothesis in §1.5 - and what became of it is reported stage by stage in the chapters that follow.</w:t>
      </w:r>
      <w:r>
        <w:rPr/>
      </w:r>
      <w:r/>
      <w:r>
        <w:rPr/>
      </w:r>
      <w:r/>
    </w:p>
    <w:p>
      <w:pPr>
        <w:pStyle w:val="Heading2"/>
      </w:pPr>
      <w:bookmarkStart w:id="6" w:name="_Toc232024498"/>
      <w:r>
        <w:rPr>
          <w:lang w:val="en-US" w:eastAsia="en-US" w:bidi="ar-SA"/>
          <w:color w:val="000000"/>
          <w:szCs w:val="26"/>
        </w:rPr>
        <w:t>1.2 The Empty Station as a Service-Design Problem</w:t>
      </w:r>
      <w:bookmarkEnd w:id="6"/>
    </w:p>
    <w:p>
      <w:pPr>
        <w:pStyle w:val="Normal"/>
        <w:jc w:val="both"/>
      </w:pPr>
      <w:r>
        <w:rPr>
          <w:szCs w:val="22"/>
          <w:lang w:val="en-US" w:eastAsia="en-US" w:bidi="ar-SA"/>
          <w:rFonts w:ascii="Times New Roman" w:hAnsi="Times New Roman" w:eastAsia="Times New Roman" w:cs="Times New Roman"/>
          <w:sz w:val="24"/>
        </w:rPr>
        <w:t>The empty station is, in the first instance, an industrial puzzle rather than a literature gap. For the facility and the technology provider, an assessment system that is rarely used presents a service-design problem. Equipment availability is only one part of an effective offering: users must understand its purpose, find the interaction manageable and decide whether another encounter is worthwhile. This thesis investigates that practical relationship in one bounded programme. Its relevance to other organisations lies in the resulting questions and design propositions, whose transfer must be evaluated in their own settings.</w:t>
      </w:r>
    </w:p>
    <w:p>
      <w:pPr>
        <w:pStyle w:val="Normal"/>
        <w:jc w:val="both"/>
      </w:pPr>
      <w:r>
        <w:rPr>
          <w:szCs w:val="22"/>
          <w:lang w:val="en-US" w:eastAsia="en-US" w:bidi="ar-SA"/>
          <w:rFonts w:ascii="Times New Roman" w:hAnsi="Times New Roman" w:eastAsia="Times New Roman" w:cs="Times New Roman"/>
          <w:sz w:val="24"/>
        </w:rPr>
        <w:t>Repeated engagement can create opportunities for assessment, follow-up and appropriate support. It is therefore a relevant service outcome, but it is not a substitute for diagnostic validity or demonstrated reductions in falls. The present programme studies engagement and interaction design; it does not establish the clinical effectiveness of the FRA platform or the health effects of increased use.</w:t>
      </w:r>
    </w:p>
    <w:p>
      <w:pPr>
        <w:pStyle w:val="Heading2"/>
      </w:pPr>
      <w:bookmarkStart w:id="7" w:name="_Toc232024499"/>
      <w:r>
        <w:rPr>
          <w:lang w:val="en-US" w:eastAsia="en-US" w:bidi="ar-SA"/>
          <w:color w:val="000000"/>
          <w:szCs w:val="26"/>
        </w:rPr>
        <w:t>1.3 The Demographic Backdrop</w:t>
      </w:r>
      <w:bookmarkEnd w:id="7"/>
    </w:p>
    <w:p>
      <w:pPr>
        <w:pStyle w:val="Normal"/>
        <w:jc w:val="both"/>
      </w:pPr>
      <w:r>
        <w:rPr>
          <w:szCs w:val="22"/>
          <w:lang w:val="en-US" w:eastAsia="en-US" w:bidi="ar-SA"/>
          <w:rFonts w:ascii="Times New Roman" w:hAnsi="Times New Roman" w:eastAsia="Times New Roman" w:cs="Times New Roman"/>
          <w:sz w:val="24"/>
        </w:rPr>
        <w:t>Population ageing supplies the scale at which this problem operates. Global estimates anticipate 2.1 billion people aged 60 or older worldwide by 2050 (World Health Organization, 2024). China leads the transition: at the end of 2024, the population aged 60 or above in China was 310.31 million, 22.0% of the national population (National Bureau of Statistics of China, 2025), a figure that official projections expect to pass 400 million around 2035 (State Council of the People's Republic of China, 2025). Hong Kong sits further along the curve, with one of the highest life expectancies in the world; official projections anticipate that about one in three Hong Kong residents will be 65 or older by 2046 (Census and Statistics Department, 2023). The pressure on health and care services is structural, not cyclical.</w:t>
      </w:r>
    </w:p>
    <w:p>
      <w:pPr>
        <w:pStyle w:val="Normal"/>
        <w:jc w:val="both"/>
      </w:pPr>
      <w:r>
        <w:rPr>
          <w:szCs w:val="22"/>
          <w:lang w:val="en-US" w:eastAsia="en-US" w:bidi="ar-SA"/>
          <w:rFonts w:ascii="Times New Roman" w:hAnsi="Times New Roman" w:eastAsia="Times New Roman" w:cs="Times New Roman"/>
          <w:sz w:val="24"/>
        </w:rP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of acute mental-health conditions. Whatever drives their abandonment is operating within a population that the standard non-use framings do not reach.</w:t>
      </w:r>
    </w:p>
    <w:p>
      <w:pPr>
        <w:pStyle w:val="Heading2"/>
      </w:pPr>
      <w:bookmarkStart w:id="8" w:name="_Toc232024500"/>
      <w:r>
        <w:rPr>
          <w:lang w:val="en-US" w:eastAsia="en-US" w:bidi="ar-SA"/>
          <w:color w:val="000000"/>
          <w:szCs w:val="26"/>
        </w:rPr>
        <w:t>1.4 Falls, the Cascade, and the Fall Risk Assessment Technology</w:t>
      </w:r>
      <w:bookmarkEnd w:id="8"/>
    </w:p>
    <w:p>
      <w:pPr>
        <w:pStyle w:val="Normal"/>
        <w:jc w:val="both"/>
      </w:pPr>
      <w:r>
        <w:rPr>
          <w:szCs w:val="22"/>
          <w:lang w:val="en-US" w:eastAsia="en-US" w:bidi="ar-SA"/>
          <w:rFonts w:ascii="Times New Roman" w:hAnsi="Times New Roman" w:eastAsia="Times New Roman" w:cs="Times New Roman"/>
          <w:sz w:val="24"/>
        </w:rPr>
        <w:t>Falls supply the clinical backdrop. They are the leading cause of injury-related hospital admission among adults aged 65 and above (Centers for Disease Control and Prevention, 2023; World Health Organization, 2023). World Health Organization estimates indicate that approximately 28–35% of people aged 65 and over fall each year, rising to 32–42% for those over 70 years of age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pPr>
        <w:pStyle w:val="Normal"/>
        <w:jc w:val="both"/>
      </w:pPr>
      <w:r>
        <w:rPr>
          <w:szCs w:val="22"/>
          <w:lang w:val="en-US" w:eastAsia="en-US" w:bidi="ar-SA"/>
          <w:rFonts w:ascii="Times New Roman" w:hAnsi="Times New Roman" w:eastAsia="Times New Roman" w:cs="Times New Roman"/>
          <w:sz w:val="24"/>
        </w:rP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 The station's disuse is therefore treated as a service-design problem local to the deployment studied (§1.2), not as evidence that FRA systems in general fail for any single reason; whether the behavioural consequences of an adverse first experience were insufficiently accommodated in this service's design is a question the empirical programme examines rather than a premise it asserts. This thesis examines that disengagement and proposes adaptive interaction design as a candidate means of reducing it while preserving clinical validity; that proposal is specified for future study rather than tested here.</w:t>
      </w:r>
    </w:p>
    <w:p>
      <w:pPr>
        <w:pStyle w:val="Heading2"/>
      </w:pPr>
      <w:bookmarkStart w:id="9" w:name="_Toc232024501"/>
      <w:r>
        <w:rPr>
          <w:lang w:val="en-US" w:eastAsia="en-US" w:bidi="ar-SA"/>
          <w:color w:val="000000"/>
          <w:szCs w:val="26"/>
        </w:rPr>
        <w:t>1.5 The Working Hypothesis Formed Before the Research Began</w:t>
      </w:r>
      <w:bookmarkEnd w:id="9"/>
    </w:p>
    <w:p>
      <w:pPr>
        <w:pStyle w:val="Normal"/>
        <w:jc w:val="both"/>
      </w:pPr>
      <w:r>
        <w:rPr>
          <w:szCs w:val="22"/>
          <w:lang w:val="en-US" w:eastAsia="en-US" w:bidi="ar-SA"/>
          <w:rFonts w:ascii="Times New Roman" w:hAnsi="Times New Roman" w:eastAsia="Times New Roman" w:cs="Times New Roman"/>
          <w:sz w:val="24"/>
        </w:rP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pPr>
        <w:pStyle w:val="Normal"/>
        <w:jc w:val="both"/>
      </w:pPr>
      <w:r>
        <w:rPr>
          <w:szCs w:val="22"/>
          <w:lang w:val="en-US" w:eastAsia="en-US" w:bidi="ar-SA"/>
          <w:rFonts w:ascii="Times New Roman" w:hAnsi="Times New Roman" w:eastAsia="Times New Roman" w:cs="Times New Roman"/>
          <w:sz w:val="24"/>
        </w:rP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rapid non-return among some prior users appeared to describe a post-contact behaviour that standard adoption models do not represent explicitly. These propositions were hypotheses to be refined, not findings established before data collection.</w:t>
      </w:r>
    </w:p>
    <w:p>
      <w:pPr>
        <w:pStyle w:val="Normal"/>
        <w:jc w:val="both"/>
      </w:pPr>
      <w:r>
        <w:rPr>
          <w:szCs w:val="22"/>
          <w:lang w:val="en-US" w:eastAsia="en-US" w:bidi="ar-SA"/>
          <w:rFonts w:ascii="Times New Roman" w:hAnsi="Times New Roman" w:eastAsia="Times New Roman" w:cs="Times New Roman"/>
          <w:sz w:val="24"/>
        </w:rPr>
        <w:t>The initial design expectation was that familiar acceptance and gamification considerations would support participation in the FRA activity. The thesis formalises that expectation retrospectively as H0 (§2.3.5), so that its assumptions and limitations can be examined explicitly. Adverse deployment outcomes challenge the adequacy of that expectation in this setting; they do not constitute a statistical rejection of TAM, STAM or gamification as a whole. The author initially named the conjecture Failure-Induced Dropout Syndrome (FIDS), a label that captured its hypothesised timing and direction; whether the name and definition would survive contact with the field was treated as an empirical question.</w:t>
      </w:r>
    </w:p>
    <w:p>
      <w:pPr>
        <w:pStyle w:val="Heading2"/>
      </w:pPr>
      <w:bookmarkStart w:id="10" w:name="_Toc232024502"/>
      <w:r>
        <w:rPr>
          <w:lang w:val="en-US" w:eastAsia="en-US" w:bidi="ar-SA"/>
          <w:color w:val="000000"/>
          <w:szCs w:val="26"/>
        </w:rPr>
        <w:t>1.6 The Initial Survey: Building the Foundation of the Programme</w:t>
      </w:r>
      <w:bookmarkEnd w:id="10"/>
    </w:p>
    <w:p>
      <w:pPr>
        <w:pStyle w:val="Normal"/>
        <w:jc w:val="both"/>
      </w:pPr>
      <w:r>
        <w:rPr>
          <w:szCs w:val="22"/>
          <w:lang w:val="en-US" w:eastAsia="en-US" w:bidi="ar-SA"/>
          <w:rFonts w:ascii="Times New Roman" w:hAnsi="Times New Roman" w:eastAsia="Times New Roman" w:cs="Times New Roman"/>
          <w:sz w:val="24"/>
        </w:rP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Of the facility's 280 residents, 200 eligible residents were interviewed, and the interviewed sample of 200 is the base sample for all Stage-1 results; items conditional on prior use are computed on the corresponding subgroups of the 200, with the denominator structure set out in §4.2.</w:t>
      </w:r>
    </w:p>
    <w:p>
      <w:pPr>
        <w:pStyle w:val="Normal"/>
        <w:jc w:val="both"/>
      </w:pPr>
      <w:r>
        <w:rPr>
          <w:szCs w:val="22"/>
          <w:lang w:val="en-US" w:eastAsia="en-US" w:bidi="ar-SA"/>
          <w:rFonts w:ascii="Times New Roman" w:hAnsi="Times New Roman" w:eastAsia="Times New Roman" w:cs="Times New Roman"/>
          <w:sz w:val="24"/>
        </w:rPr>
        <w:t>The six-item instrument reproduced in Appendix A measured awareness, prior use, whether the first result was understood and accepted, subsequent return, discomfort or discouragement, and willingness to use a friendlier version. The aggregate headline records from this survey provide the programme's descriptive problem signature; they are reported and analysed in Chapter 4, which also states their provenance limit: the per-respondent response file is not archived (Appendix G, item G.1), so the conditional figures survive only as rounded aggregate percentages and cannot be reproduced as item-level counts (Table 4.1). Working tables from the survey period also suggested favourable physical-access and perceived-benefit estimates; because those figures cannot be traced to items in the archived six-item instrument (Appendix A), they are not reported as survey results in this thesis. The survey's wording does not allow every negative first experience to be treated unambiguously as task failure — a limitation carried into the design of Stage 2.</w:t>
      </w:r>
    </w:p>
    <w:p>
      <w:pPr>
        <w:pStyle w:val="Normal"/>
        <w:jc w:val="both"/>
      </w:pPr>
      <w:r>
        <w:rPr>
          <w:szCs w:val="22"/>
          <w:lang w:val="en-US" w:eastAsia="en-US" w:bidi="ar-SA"/>
          <w:rFonts w:ascii="Times New Roman" w:hAnsi="Times New Roman" w:eastAsia="Times New Roman" w:cs="Times New Roman"/>
          <w:sz w:val="24"/>
        </w:rPr>
        <w:t>What the survey could establish, and what it could not, defined the next step. A retrospective instrument cannot establish the timing of a psychological collapse, irreversible abandonment, or the mechanism of non-return; whatever pattern it recorded would require direct prospective investigation. Stage 1's role in the architecture was therefore to test whether residents' reports were consistent with the FIDS conjecture and to generate the questions Stage 2 would examine prospectively; whether the conjecture's own name would require revision in the light of the field evidence is taken up in Chapter 4.</w:t>
      </w:r>
    </w:p>
    <w:p>
      <w:pPr>
        <w:pStyle w:val="Heading2"/>
      </w:pPr>
      <w:r>
        <w:rPr>
          <w:lang w:val="en-US" w:eastAsia="en-US" w:bidi="ar-SA"/>
          <w:color w:val="000000"/>
          <w:szCs w:val="26"/>
        </w:rPr>
        <w:t>1.7 Stage Two and the Score-Improvement/Non-Return Question</w:t>
      </w:r>
    </w:p>
    <w:p w14:paraId="39A8D831" w14:textId="77777777" w:rsidR="0062437E" w:rsidRDefault="00000000">
      <w:pPr>
        <w:jc w:val="both"/>
      </w:pPr>
      <w:r>
        <w:t>Stage 2 prospectively observed thirty residents over eight weeks in an action-research deployment of a dual-purpose AI-assisted skiing game on the InBody pressure panel. The analysis examines recorded score change alongside subsequent return. These outcomes need not move together: perceived value, enjoyment, burden and appraisal may influence engagement independently of a short-term score. A single-session change may include measurement variation, familiarisation, practice effects or short-term motor adaptation, and is not interpreted as clinical benefit without an appropriate measurement-error and clinical-significance basis. Chapter 5 reports the available scores and behavioural outcomes.</w:t>
      </w:r>
    </w:p>
    <w:p w14:paraId="1D7A94AA" w14:textId="77777777" w:rsidR="0062437E" w:rsidRDefault="00000000">
      <w:pPr>
        <w:jc w:val="both"/>
      </w:pPr>
      <w:r>
        <w:t>Whether a recorded score increase can coexist with non-return - and what would follow if it does - is examined in Chapter 5; any such coexistence would motivate comparison among appraisal, continuance and practical-burden explanations. It does not establish that conventional acceptance perspectives cannot accommodate the observation. Behavioural economics offers candidate interpretations, but the deployment did not directly measure mental accounting, identity protection, endowment or stereotype threat. Chapter 5 therefore treats the score–engagement discrepancy as a problem requiring explanation rather than a decisive test of a particular mechanism.</w:t>
      </w:r>
    </w:p>
    <w:p w14:paraId="02A5EE77" w14:textId="77777777" w:rsidR="0062437E" w:rsidRDefault="00000000">
      <w:pPr>
        <w:pStyle w:val="Heading2"/>
      </w:pPr>
      <w:bookmarkStart w:id="11" w:name="_Toc232024504"/>
      <w:r>
        <w:rPr>
          <w:color w:val="000000"/>
        </w:rPr>
        <w:lastRenderedPageBreak/>
        <w:t>1.8 The Learn-to-Earn Philosophy: A Thread Running Through the Journey</w:t>
      </w:r>
      <w:bookmarkEnd w:id="11"/>
    </w:p>
    <w:p w14:paraId="32BA0141" w14:textId="77777777" w:rsidR="0062437E" w:rsidRDefault="00000000">
      <w:pPr>
        <w:jc w:val="both"/>
      </w:pPr>
      <w:r>
        <w:t>The learn-to-earn proposition introduces a possible reason to return: the opportunity to develop a useful skill and recognise what to attempt next. Learning theory motivates feedback, appropriate support and opportunities to revisit difficulty, but short-term success is not equivalent to durable learning (Kapur, 2008; Soderstrom &amp; Bjork, 2015). The design must therefore make participation rewarding without presenting every assisted success as evidence of increased capability. This distinction becomes central when an adaptive system changes the conditions under which performance is observed.</w:t>
      </w:r>
    </w:p>
    <w:p w14:paraId="24CEF308" w14:textId="77777777" w:rsidR="0062437E" w:rsidRDefault="00000000">
      <w:pPr>
        <w:jc w:val="both"/>
      </w:pPr>
      <w:r>
        <w:t>Each stage examined the learn-to-earn philosophy from a different angle: Stage 1 asked whether favourable expectations alone could sustain engagement past an adverse first experience; Stage 2 embedded coins and level progression in the skiing game under the coupled clinical condition, with an adaptive-difficulty layer specified at Layer 2 (operational status per build in Appendix G, item G.0A; §5.3.5); and Stage 3 implemented participant-facing decoupling in a separate Hong Kong cohort, so that the philosophy could be observed with and without the clinical attachment. Because the Stage-2 and Stage-3 cohorts and contexts differ, any between-stage change is interpreted as convergent quasi-experimental evidence rather than a within-cohort causal effect; the stage-by-stage outcomes are reported in Chapters 4 to 6.</w:t>
      </w:r>
    </w:p>
    <w:p w14:paraId="324E5146" w14:textId="77777777" w:rsidR="0062437E" w:rsidRDefault="00000000">
      <w:pPr>
        <w:jc w:val="both"/>
      </w:pPr>
      <w:r>
        <w:t>The learn-to-earn philosophy is therefore the design orientation that links the prototype to the adaptive-learning framework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demonstrate that the complete adaptive-learning framework can close any gap between what participants endorse and what they sustain; that question is taken up as a design and future-study question from Chapter 6 onward. Its incremental effectiveness is a subject for future controlled study.</w:t>
      </w:r>
    </w:p>
    <w:p w14:paraId="0190BC55" w14:textId="77777777" w:rsidR="0062437E" w:rsidRDefault="00000000">
      <w:pPr>
        <w:pStyle w:val="Heading2"/>
      </w:pPr>
      <w:bookmarkStart w:id="12" w:name="_Toc232024505"/>
      <w:r>
        <w:rPr>
          <w:color w:val="000000"/>
        </w:rPr>
        <w:t>1.9 The Decoupling Test and the Closure of the Empirical Arc</w:t>
      </w:r>
      <w:bookmarkEnd w:id="12"/>
    </w:p>
    <w:p w14:paraId="2895AA73" w14:textId="77777777" w:rsidR="0062437E" w:rsidRDefault="00000000">
      <w:pPr>
        <w:jc w:val="both"/>
      </w:pPr>
      <w:r>
        <w:t>Stage 3 examined a decoupled game in a separate cohort and setting. Its purpose in the thesis is to explore whether an engagement pattern consistent with the framing hypothesis appears when participant-facing clinical attachment is reduced. The comparison also changes input, delivery and recruitment conditions, so it cannot determine whether framing, physical demands, selection or other contextual differences account for the contrast. Its contribution is directional evidence for a candidate redesign and a clearer controlled-study question, rather than a test that adjudicates between the validity and failure of gamification theory.</w:t>
      </w:r>
    </w:p>
    <w:p w14:paraId="10B8BFA5" w14:textId="77777777" w:rsidR="0062437E" w:rsidRDefault="00000000">
      <w:pPr>
        <w:jc w:val="both"/>
      </w:pPr>
      <w:r>
        <w:t>One hundred and twenty adults aged 25–80 were recruited through the author's Hong Kong-based networks — family and personal contacts, work contacts, a charity community network, university support channels and working peers in medical centres. Stage 3 was a remote deployment: the game was re-implemented as a separate, distributable HTML build (the Stage-2 game was itself a browser game, played at the station; §5.3); most participants received it by e-mail and played on their own computers, using arrow keys or a foot-pad sensor where one was available, while some older participants played on an iPad on which the build had been pre-installed, with an external keyboard (§6.4). The skiing mechanic and the three-to-five-play session structure were carried into the Stage-3 build, which added an in-game five-attempt counter; the pressure-panel apparatus, the clinical setting and in-person supervision were not, and in-run difficulty adaptation operated through the build's built-in rule agent rather than the large-language-model layer specified for Stage 2 (Appendix E.1; operational status per build in Appendix G, item G.0A). Stage 3 thereby changed a package of participant-facing clinical cues: no clinical pre-scan was conducted; the in-game interface carried no clinical labels, scores or risk outputs; the participant invitation on file (a 4 August 2026 reconstruction of the invitation, headed with a study period of March to April 2026, although recruitment began on 3 April 2026 by the research assistant's account, Appendix G, item G.5) opened with falls and balance training, disclosed the game's origin in an FRA balance platform and offered a browser version with that platform decoupled, while distributor e-mails presented the activity as a purely-fun coordination game; and the interface was re-skinned. The invitation e-mail itself openly disclosed the doctoral research context, including the programme's fall-risk origin — the decoupling operated at the artefact level, not by concealment. The stage's outcomes — participation, dropout and return by age band, positive-coded responses to the coordination item, and stated regular-use intention — are reported in Chapter 6.</w:t>
      </w:r>
    </w:p>
    <w:p w14:paraId="1A9CCEF5" w14:textId="77777777" w:rsidR="0062437E" w:rsidRDefault="00000000">
      <w:pPr>
        <w:jc w:val="both"/>
      </w:pPr>
      <w:r>
        <w:t>Whatever pattern Stage 3 produced would be read against both candidate explanations, with the design's limits stated in advance: a between-cohort quasi-experimental decoupling study cannot rule out cohort self-selection, setting, recruitment, health-status, staff-interaction or observation-window differences, and it is described accordingly rather than as a single-variable experiment. Chapter 6 reports the outcomes; Chapter 7 develops the design response the programme's evidence motivated — adaptive learning, formalised as the adaptive-learning framework, proposed as a candidate driver that could make returning worthwhile and eventually carry the clinical purpose back into the experience.</w:t>
      </w:r>
    </w:p>
    <w:p w14:paraId="1A9CCEF5" w14:textId="77777777" w:rsidR="0062437E" w:rsidRDefault="00000000">
      <w:pPr>
        <w:jc w:val="both"/>
      </w:pPr>
      <w:r>
        <w:t>A subsequent component study, designated Stage 3B, was specified after the Stage-3 result (the decoupled study is designated Stage 3A in programme documents; §6.1) and is reported as a descriptive record at a stated cut-off of 30 September 2026, inside its clean-run window (§8.8; Appendix I). Its learning measurement was not articulated to the adaptive-learning construct, so the study is not used as a test of the adaptive-learning claim; the empirical arc closes on the Stage 1–3A evidence, and adaptive learning is carried forward as a design direction for future study.</w:t>
      </w:r>
    </w:p>
    <w:p w14:paraId="0CBC5D11" w14:textId="77777777" w:rsidR="0062437E" w:rsidRDefault="00000000">
      <w:pPr>
        <w:pStyle w:val="Heading2"/>
      </w:pPr>
      <w:bookmarkStart w:id="13" w:name="_Toc232024506"/>
      <w:r>
        <w:rPr>
          <w:color w:val="000000"/>
        </w:rPr>
        <w:t>1.10 The Researcher's Position</w:t>
      </w:r>
      <w:bookmarkEnd w:id="13"/>
    </w:p>
    <w:p w14:paraId="314B1F05" w14:textId="77777777" w:rsidR="0062437E" w:rsidRDefault="00000000">
      <w:pPr>
        <w:jc w:val="both"/>
      </w:pPr>
      <w:r>
        <w:t>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experience of the threshold moments at which a clinical frame can convert a measurement into a verdict. This experience informed the participant-facing wording of the Stage-3 decoupling package and the design of the interview protocol for the F4 category (observed non-return under the Stage-2 coding scheme; Appendix B), which was designed but not administered (Appendix C).</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remotely with a separate cohort recruited through the author's Hong Kong-based networks, playing an HTML build of the game, mostly e-mailed and played on their own computers and, for some older participants, pre-installed on an iPad (§6.4). The action-research cycle therefore involved continuity of problem setting and design learning, not a single repeated cohort across all three stages. The principal theoretical revisions were the renaming and re-specification of the initial FIDS conjecture in the light of the retrospective Stage-1 reports (Chapter 4, §4.6), with its temporal and mechanistic questions then examined prospectively in Stage 2, the shift from a predominantly dispositional reading toward a frame-sensitive account after Stage 3, and the formulation of adaptive learning as a design hypothesis expressed through the adaptive-learning framework.</w:t>
      </w:r>
    </w:p>
    <w:p w14:paraId="3BD51B5C" w14:textId="77777777" w:rsidR="0062437E" w:rsidRDefault="00000000">
      <w:pPr>
        <w:pStyle w:val="Heading2"/>
      </w:pPr>
      <w:bookmarkStart w:id="14" w:name="_Toc232024507"/>
      <w:r>
        <w:rPr>
          <w:color w:val="000000"/>
        </w:rPr>
        <w:t>1.11 Aim and Research Questions</w:t>
      </w:r>
      <w:bookmarkEnd w:id="14"/>
    </w:p>
    <w:p w14:paraId="79876362" w14:textId="77777777" w:rsidR="0062437E" w:rsidRDefault="00000000">
      <w:pPr>
        <w:jc w:val="both"/>
      </w:pPr>
      <w:commentRangeStart w:id="2"/>
      <w:r>
        <w:t>The aim of this thesis is to examine how gamification can support proactive continuous improvement and innovation enhancement in an older-adult FRA service that encounters persistent non-use. The inquiry characterises failure-associated non-return, examines a between-cohort decoupling comparison, and translates the findings into a testable adaptive-learning framework. The adaptive system is the proposed means of delivering and evaluating a revised interaction; gamification, engagement and evidence-led service improvement remain the organising subjects. The exploratory action-research programme is guided by four questions, with the retrospectively formalised design expectation H0 providing an explicit account of the expectation challenged by the field observations (§2.3.5; Table 3.1).</w:t>
      </w:r>
      <w:commentRangeEnd w:id="2"/>
      <w:r>
        <w:rPr>
          <w:rStyle w:val="CommentReference"/>
        </w:rPr>
        <w:commentReference w:id="2"/>
      </w:r>
    </w:p>
    <w:p w14:paraId="59FCAFB8" w14:textId="77777777" w:rsidR="0062437E" w:rsidRDefault="00000000">
      <w:pPr>
        <w:jc w:val="both"/>
      </w:pPr>
      <w:r>
        <w:t>RQ1, addressed in Stage 1: What do residents’ accounts of prior FRA encounters reveal about adverse experiences and subsequent non-return, and which features of that pattern are not explicitly represented in acceptance and gamification models?</w:t>
      </w:r>
    </w:p>
    <w:p w14:paraId="4DEE0F1E" w14:textId="77777777" w:rsidR="0062437E" w:rsidRDefault="00000000">
      <w:pPr>
        <w:jc w:val="both"/>
      </w:pPr>
      <w:r>
        <w:t>RQ2, addressed in Stage 2: How does failure-associated non-return manifest during the eight-week gamified FRA deployment with thirty residents, and what design questions arise when recorded score improvement coexists with non-return?</w:t>
      </w:r>
    </w:p>
    <w:p w14:paraId="40C6D39B" w14:textId="77777777" w:rsidR="0062437E" w:rsidRDefault="00000000">
      <w:pPr>
        <w:jc w:val="both"/>
      </w:pPr>
      <w:r>
        <w:t>RQ3, addressed in Stage 3: Is participant-facing decoupling associated with lower observed non-return and higher post-failure return in the predicted direction, and how far can that association be distinguished from cohort, delivery and contextual alternatives?</w:t>
      </w:r>
    </w:p>
    <w:p w14:paraId="26B0B5C1" w14:textId="77777777" w:rsidR="0062437E" w:rsidRDefault="00000000">
      <w:pPr>
        <w:jc w:val="both"/>
      </w:pPr>
      <w:r>
        <w:t>RQ4, addressed in Chapters 7–9: How can the combined evidence inform a gamified adaptive design that responds proactively to difficulty, represents improvement credibly when task conditions change, and makes each subsequent design revision separately evaluable? Which propositions are empirically motivated, and which require prospective validation?</w:t>
      </w:r>
    </w:p>
    <w:p w14:paraId="64397BC9" w14:textId="77777777" w:rsidR="0062437E" w:rsidRDefault="00000000">
      <w:pPr>
        <w:pStyle w:val="Heading2"/>
      </w:pPr>
      <w:bookmarkStart w:id="15" w:name="_Toc232024508"/>
      <w:r>
        <w:rPr>
          <w:color w:val="000000"/>
        </w:rPr>
        <w:t>1.12 Original Contributions</w:t>
      </w:r>
      <w:bookmarkEnd w:id="15"/>
    </w:p>
    <w:p w14:paraId="0C4EC396" w14:textId="77777777" w:rsidR="0062437E" w:rsidRDefault="00000000">
      <w:pPr>
        <w:jc w:val="both"/>
      </w:pPr>
      <w:r>
        <w:t>The contribution has three connected parts, which Chapter 8 restates in its four contribution registers (engineering; empirical and theoretical; industrial; methodological). First, the field programme characterises failure-associated non-return in a gamified FRA setting and develops a provisional descriptive construct for it, introduced in Chapter 4. Behavioural accounts involving identity, loss appraisal and information avoidance supply competing explanations, rather than mechanisms directly measured by the studies. Second, the between-cohort decoupling findings motivate a candidate boundary concerning clinical framing, while leaving substantial alternative explanations unresolved. Third, the thesis translates these observations into an adaptive-learning framework for gamified service improvement. Its contextual engineering contribution is the integration of truthful trajectory feedback, calibrated challenge and learning from unsuccessful design, rather than the invention of adaptive learning itself. The framework distinguishes participant support from system redesign and specifies how each should be evaluated. The dual-purpose mechanic, staged inquiry, qualitative requirements mapping and descriptive comparison of continued or resumed play with stated regular-use intention support that translation. The AI-assisted development workflow enables the artefact but is not evidence of behavioural effectiveness. Figure 1.1 links the observed problem, the proposed response and the outcomes that a future evaluation must establish.</w:t>
      </w:r>
    </w:p>
    <w:p>
      <w:pPr>
        <w:keepNext/>
        <w:jc w:val="center"/>
      </w:pPr>
      <w:r>
        <w:drawing>
          <wp:inline>
            <wp:extent cx="5358384" cy="3394734"/>
            <wp:docPr id="33" name="Picture 33" descr="Figure 1.1. Title-aligned structure of the thesis."/>
            <wp:cNvGraphicFramePr>
              <a:graphicFrameLocks noChangeAspect="1"/>
            </wp:cNvGraphicFramePr>
            <a:graphic>
              <a:graphicData uri="http://schemas.openxmlformats.org/drawingml/2006/picture">
                <pic:pic>
                  <pic:nvPicPr>
                    <pic:cNvPr id="0" name="figure_P0320.png"/>
                    <pic:cNvPicPr/>
                  </pic:nvPicPr>
                  <pic:blipFill>
                    <a:blip r:embed="rId42"/>
                    <a:stretch>
                      <a:fillRect/>
                    </a:stretch>
                  </pic:blipFill>
                  <pic:spPr>
                    <a:xfrm>
                      <a:off x="0" y="0"/>
                      <a:ext cx="5358384" cy="3394734"/>
                    </a:xfrm>
                    <a:prstGeom prst="rect"/>
                  </pic:spPr>
                </pic:pic>
              </a:graphicData>
            </a:graphic>
          </wp:inline>
        </w:drawing>
      </w:r>
    </w:p>
    <w:p>
      <w:pPr>
        <w:pStyle w:val="FigureCaption"/>
        <w:keepLines/>
        <w:jc w:val="center"/>
      </w:pPr>
      <w:r>
        <w:rPr/>
        <w:t>Figure 1.1. Title-aligned structure of the thesis. Observed engagement difficulty motivates a proposed adaptive design within a gamified service. Participant support and system redesign are distinct improvement targets; sustained capability, engagement and clinical benefit require their respective evaluations.</w:t>
      </w:r>
    </w:p>
    <w:p w14:paraId="44B204BE" w14:textId="77777777" w:rsidR="0062437E" w:rsidRDefault="00000000">
      <w:pPr>
        <w:pStyle w:val="Heading2"/>
      </w:pPr>
      <w:bookmarkStart w:id="16" w:name="_Toc232024509"/>
      <w:r>
        <w:rPr>
          <w:color w:val="000000"/>
        </w:rP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network-recruited cohort playing remotely, mostly on their own computers and, for some older participants, on a pre-installed iPad with a research assistant beside them (§6.4). Both were Chinese-cultural in language and cultural context,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The abandonment construct developed in Chapters 4 and 5 is not claimed to explain all non-adoption or abandonment of health technology, and "syndrome" is used there as a conceptual, non-diagnostic term. Cross-domain application to glucose monitoring, sleep tracking, cognitive screening and other systems remains a design hypothesis.</w:t>
      </w:r>
    </w:p>
    <w:p w14:paraId="757A4DEB" w14:textId="77777777" w:rsidR="0062437E" w:rsidRDefault="00000000">
      <w:pPr>
        <w:jc w:val="both"/>
      </w:pPr>
      <w:r>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Should the field stages observe gaps between what participants endorse and what they commit to, such gaps would not by themselves identify adaptive learning as their cause; fatigue, physical capacity, access, session burden and other motivational factors would remain viable alternatives. Direct comparison of design levers and controlled evaluation of the complete adaptive-learning framework lie beyond this thesis's scope and are specified as future confirmatory work. The Stage-3B component study and the researcher self-test batch of its later Pro v4.1 build are documented as a descriptive record to the 30 September 2026 cut-off (§8.8; Appendix I); no confirmatory analysis is reported from them, and no claim about adaptive learning, durable learning or reduced abandonment rests on them.</w:t>
      </w:r>
    </w:p>
    <w:p w14:paraId="700C23D5" w14:textId="77777777" w:rsidR="0062437E" w:rsidRDefault="00000000">
      <w:pPr>
        <w:pStyle w:val="Heading2"/>
      </w:pPr>
      <w:bookmarkStart w:id="17" w:name="_Toc232024510"/>
      <w:r>
        <w:rPr>
          <w:color w:val="000000"/>
        </w:rPr>
        <w:t>1.14 Structure of the Thesis</w:t>
      </w:r>
      <w:bookmarkEnd w:id="17"/>
    </w:p>
    <w:p w14:paraId="1CC79F23" w14:textId="77777777" w:rsidR="0062437E" w:rsidRDefault="00000000">
      <w:pPr>
        <w:jc w:val="both"/>
      </w:pPr>
      <w:r>
        <w:t>Chapter 2 reviews acceptance, gamification, continuance and learning perspectives and formalises the initial design expectation retrospectively. Chapter 3 explains the exploratory action-research design and the evidential role of each stage. Chapters 4–6 report the retrospective field signal, prospective deployment observations and between-cohort decoupling comparison. Chapter 7 translates those findings into a proposed adaptive-learning framework, specifies credible progress under changing task conditions and connects participant support to iterative service redesign. Chapter 8 evaluates the contribution alongside rival explanations and limitations, and records the Stage-3B component study as an achieved, descriptive record at its stated cut-off of 30 September 2026 (§8.8), with its design parameters, builds and returns on record compiled in Appendix I. Chapter 9 answers the research questions, distinguishes achieved design learning from untested benefits, and sets out the prospective programme needed to evaluate the framework.</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ageBreakBefore/>
      </w:pPr>
      <w:r>
        <w:rPr>
          <w:color w:val="000000"/>
        </w:rPr>
        <w:lastRenderedPageBreak/>
        <w:t>Chapter 2 Literature Review and Theoretical Foundation</w:t>
      </w:r>
      <w:bookmarkEnd w:id="18"/>
    </w:p>
    <w:p w14:paraId="3076D113" w14:textId="77777777" w:rsidR="0062437E" w:rsidRDefault="00000000">
      <w:pPr>
        <w:pStyle w:val="Heading2"/>
      </w:pPr>
      <w:bookmarkStart w:id="19" w:name="_Toc232024512"/>
      <w:r>
        <w:rPr>
          <w:color w:val="000000"/>
        </w:rPr>
        <w:t>2.1 The Transformative Logic of the Literature Review</w:t>
      </w:r>
      <w:bookmarkEnd w:id="19"/>
    </w:p>
    <w:p w14:paraId="593F9A92" w14:textId="77777777" w:rsidR="0062437E" w:rsidRDefault="00000000">
      <w:pPr>
        <w:jc w:val="both"/>
      </w:pPr>
      <w:r>
        <w:t>This chapter develops the theoretical basis for using gamification proactively to support continuous improvement in an assessment service. It begins with a literature-informed expectation that acceptance-sensitive game design should encourage use, examines the limits of transferring that expectation to the present setting, and develops candidate explanations and engineering responses. The argument distinguishes what established theories predict, what the completed studies observed, and what the proposed adaptive system still requires testing.</w:t>
      </w:r>
    </w:p>
    <w:p w14:paraId="7819B69E" w14:textId="77777777" w:rsidR="0062437E" w:rsidRDefault="00000000">
      <w:pPr>
        <w:jc w:val="both"/>
      </w:pPr>
      <w:r>
        <w:t>Stages one and two develop the initial design expectation. Stage one examines the technology acceptance lineage: the Technology Acceptance Model (Davis, 1989), its extensions (TAM2, TAM3 and UTAUT), and the Senior Technology Acceptance Model (Chen &amp; Chan, 2014). These models connect users' perceptions and circumstances with intention and use. Stage two examines gamification through Deterding et al. (2011), Chou's Octalysis Framework (2015), and the An–Cheung studies of older adults' technology adoption (An, Cheung &amp; Willoughby, 2024; An, Cheung &amp; Lo, 2025). These sources motivate the expectation labelled H0 in §2.3.5; they do not jointly guarantee sustained engagement or supply a retention threshold for FRA. Chapters 4 and 5 examine how this expectation fared in the studied deployments.</w:t>
      </w:r>
    </w:p>
    <w:p w14:paraId="0D7FB49A" w14:textId="77777777" w:rsidR="0062437E" w:rsidRDefault="00000000">
      <w:pPr>
        <w:jc w:val="both"/>
      </w:pPr>
      <w:r>
        <w:t>Stage three considers self-efficacy theory (Bandura, 1977, 1997) and research on older adults' engagement with computers and related technologies (Hawthorn, 2007; Broady, Chan &amp; Caputi, 2010; Tsai et al., 2020). These sources identify perceived capability and anxiety as plausible influences on persistence. A favourable recorded score change need not produce a corresponding change in confidence, satisfaction or willingness to return. Self-efficacy therefore remains a competing or complementary explanation for the observed non-return, rather than a theory excluded by it.</w:t>
      </w:r>
    </w:p>
    <w:p w14:paraId="77402C51" w14:textId="77777777" w:rsidR="0062437E" w:rsidRDefault="00000000">
      <w:pPr>
        <w:jc w:val="both"/>
      </w:pPr>
      <w:r>
        <w:t>Stage four develops an additional appraisal account. Prospect theory and loss aversion (Kahneman &amp; Tversky, 1979), the proposed extension of endowment to identity-relevant self-concepts, mental accounting (Thaler, 1985), and stereotype threat (Steele &amp; Aronson, 1995) are organised in Table 2.1 as distinguishable candidate mechanisms. Their integration is developed in Chapter 5, alongside the provisional descriptive construct that Chapter 4 introduces. None of these operators was directly measured in the empirical stages, and their explanatory value must be assessed against self-efficacy, satisfaction-based continuance and medical-information avoidance.</w:t>
      </w:r>
    </w:p>
    <w:p w14:paraId="73F11E5A" w14:textId="77777777" w:rsidR="0062437E" w:rsidRDefault="00000000">
      <w:pPr>
        <w:jc w:val="both"/>
      </w:pPr>
      <w:r>
        <w:t>Stage five translates these possibilities into a design proposition. Participant-facing decoupling was examined as part of the Stage-3 deployment package; learning-oriented adaptation is proposed for prospective evaluation. The latter links gamification to the thesis title by making difficulty a prompt for support, review and a testable next action. Continuous improvement concerns the refinement of both the service and the participant's opportunities to learn; it does not imply that every participant's scores will rise. The chapter closes by explaining why credible feedback must distinguish changed task conditions from evidence of changed capability.</w:t>
      </w:r>
    </w:p>
    <w:p w14:paraId="0426575D" w14:textId="77777777" w:rsidR="0062437E" w:rsidRDefault="00000000">
      <w:pPr>
        <w:pStyle w:val="Heading2"/>
      </w:pPr>
      <w:bookmarkStart w:id="20" w:name="_Toc232024513"/>
      <w:r>
        <w:rPr>
          <w:color w:val="000000"/>
        </w:rPr>
        <w:t>2.2 Stage One: The Technology Acceptance Lineage</w:t>
      </w:r>
      <w:bookmarkEnd w:id="20"/>
    </w:p>
    <w:p w14:paraId="4DF23738" w14:textId="77777777" w:rsidR="0062437E" w:rsidRDefault="00000000">
      <w:pPr>
        <w:pStyle w:val="Heading3"/>
      </w:pPr>
      <w:bookmarkStart w:id="21" w:name="_Toc232024514"/>
      <w:r>
        <w:rPr>
          <w:color w:val="000000"/>
        </w:rPr>
        <w:t>2.2.1 TAM and the Two-Construct Core</w:t>
      </w:r>
      <w:bookmarkEnd w:id="21"/>
    </w:p>
    <w:p w14:paraId="603D2E2B" w14:textId="77777777" w:rsidR="0062437E" w:rsidRDefault="00000000">
      <w:pPr>
        <w:jc w:val="both"/>
      </w:pPr>
      <w:r>
        <w:t>Davis (1989) proposed Perceived Usefulness (PU) and Perceived Ease of Use (PEOU) as central determinants of technology acceptance. King and He (2006) reviewed the model across 88 studies, supporting its broad relevance while documenting variation across applications. TAM is useful here because it directs attention to how participants understand the value and effort of the system. It does not, however, provide a detailed event-level account of how an adverse assessment encounter changes subsequent use. This is a question of explanatory granularity, rather than evidence that acceptance models cannot address identity-relevant technologies or post-adoption behaviour. Continuance theory also addresses use after initial acceptance through satisfaction, confirmed expectations and perceived usefulness (Bhattacherjee, 2001; §2.7).</w:t>
      </w:r>
    </w:p>
    <w:p w14:paraId="262104C2" w14:textId="77777777" w:rsidR="0062437E" w:rsidRDefault="00000000">
      <w:pPr>
        <w:pStyle w:val="Heading3"/>
      </w:pPr>
      <w:bookmarkStart w:id="22" w:name="_Toc232024515"/>
      <w:r>
        <w:rPr>
          <w:color w:val="000000"/>
        </w:rPr>
        <w:t>2.2.2 TAM2, TAM3 and UTAUT</w:t>
      </w:r>
      <w:bookmarkEnd w:id="22"/>
    </w:p>
    <w:p w14:paraId="5BC057D9" w14:textId="77777777" w:rsidR="0062437E" w:rsidRDefault="00000000">
      <w:pPr>
        <w:jc w:val="both"/>
      </w:pPr>
      <w:r>
        <w:t>Venkatesh and Davis (2000) extended TAM through social influence and cognitive instrumental processes in TAM2. Venkatesh and Bala (2008) developed TAM3, and Venkatesh, Morris, Davis and Davis (2003) integrated eight models in the Unified Theory of Acceptance and Use of Technology (UTAUT). These developments broaden the treatment of intention and use, including effort, social influence and facilitating conditions. They remain relevant to the present programme. The specific question pursued here is how an adverse assessment event may alter perceived competence, anticipated consequences and the personal meaning of continued participation; that sequence is not specified as a distinct mechanism in the models reviewed.</w:t>
      </w:r>
    </w:p>
    <w:p w14:paraId="7CF703B5" w14:textId="77777777" w:rsidR="0062437E" w:rsidRDefault="00000000">
      <w:pPr>
        <w:pStyle w:val="Heading3"/>
      </w:pPr>
      <w:bookmarkStart w:id="23" w:name="_Toc232024516"/>
      <w:r>
        <w:rPr>
          <w:color w:val="000000"/>
        </w:rPr>
        <w:lastRenderedPageBreak/>
        <w:t>2.2.3 The Senior Technology Acceptance Model (STAM)</w:t>
      </w:r>
      <w:bookmarkEnd w:id="23"/>
    </w:p>
    <w:p w14:paraId="2B563BD4" w14:textId="77777777" w:rsidR="0062437E" w:rsidRDefault="00000000">
      <w:pPr>
        <w:jc w:val="both"/>
      </w:pPr>
      <w:r>
        <w:t>Chen and Chan (2014) developed STAM in a study of 1,012 Hong Kong Chinese adults aged 55 and above. Their model explained 68% of the variance in gerontechnology usage and highlighted the relevance of health and ability characteristics, facilitating conditions, anxiety and self-efficacy. STAM therefore supplies an age-sensitive baseline for this thesis, extending attention beyond conventional usefulness and ease-of-use beliefs. Recent mapping reviews likewise identify a broad range of factors associated with older adults' intention to adopt digital technologies (Schroeder et al., 2023). Selected STAM-related attributes inform the coding scheme in Chapter 5 and Appendix B; such coding does not reproduce or independently validate the complete STAM model.</w:t>
      </w:r>
    </w:p>
    <w:p w14:paraId="2641FE45" w14:textId="77777777" w:rsidR="0062437E" w:rsidRDefault="00000000">
      <w:pPr>
        <w:jc w:val="both"/>
      </w:pPr>
      <w:r>
        <w:t>STAM addresses usage as well as intention, so abandonment cannot be positioned as wholly outside its scope. The narrower question is whether an event-specific appraisal of an adverse assessment adds explanatory value beyond the factors STAM already identifies. Chapter 4 introduces a provisional label for the observed pattern of failure-associated non-return; the label describes the pattern and does not itself identify the process producing it. The present stages motivate an appraisal hypothesis but do not demonstrate its incremental predictive value over a fitted STAM or continuance model.</w:t>
      </w:r>
    </w:p>
    <w:p w14:paraId="4CC47721" w14:textId="77777777" w:rsidR="0062437E" w:rsidRDefault="00000000">
      <w:pPr>
        <w:pStyle w:val="Heading2"/>
      </w:pPr>
      <w:bookmarkStart w:id="24" w:name="_Toc232024517"/>
      <w:r>
        <w:rPr>
          <w:color w:val="000000"/>
        </w:rPr>
        <w:t>2.3 Stage Two: Gamification, Octalysis and the An–Cheung Demonstration</w:t>
      </w:r>
      <w:bookmarkEnd w:id="24"/>
    </w:p>
    <w:p w14:paraId="281B1391" w14:textId="77777777" w:rsidR="0062437E" w:rsidRDefault="00000000">
      <w:pPr>
        <w:pStyle w:val="Heading3"/>
      </w:pPr>
      <w:bookmarkStart w:id="25" w:name="_Toc232024518"/>
      <w:r>
        <w:rPr>
          <w:color w:val="000000"/>
        </w:rPr>
        <w:t>2.3.1 Defining Gamification</w:t>
      </w:r>
      <w:bookmarkEnd w:id="25"/>
    </w:p>
    <w:p w14:paraId="31CA6EB4" w14:textId="77777777" w:rsidR="0062437E" w:rsidRDefault="00000000">
      <w:pPr>
        <w:jc w:val="both"/>
      </w:pPr>
      <w:r>
        <w:t>Deterding, Dixon, Khaled and Nacke (2011) defined gamification as the use of game design elements in non-game contexts. Such elements include points, levels, challenges, narratives and feedback structures. A complete game is conceptually distinct from this definition. The present intervention is therefore described more precisely as a serious game, with an embodied exercise component in the pressure-panel configuration, used within a gamified assessment service. The thesis retains gamification as the broader service-design term. Within game studies, failure can be a valued part of play (Juul, 2013); the question here is how its meaning may change when play is associated with assessment. The gameplay and measurement functions can be driven by the same bodily movement, but no equivalence between game performance and validated clinical FRA outcomes should be assumed without protocol-level validation.</w:t>
      </w:r>
    </w:p>
    <w:p w14:paraId="3E05BEBD" w14:textId="77777777" w:rsidR="0062437E" w:rsidRDefault="00000000">
      <w:pPr>
        <w:pStyle w:val="Heading3"/>
      </w:pPr>
      <w:bookmarkStart w:id="26" w:name="_Toc232024519"/>
      <w:r>
        <w:rPr>
          <w:color w:val="000000"/>
        </w:rPr>
        <w:lastRenderedPageBreak/>
        <w:t>2.3.2 The Octalysis Framework</w:t>
      </w:r>
      <w:bookmarkEnd w:id="26"/>
    </w:p>
    <w:p w14:paraId="7D734035" w14:textId="77777777" w:rsidR="0062437E" w:rsidRDefault="00000000">
      <w:pPr>
        <w:jc w:val="both"/>
      </w:pPr>
      <w:r>
        <w:t>Chou (2015) organises Octalysis around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supplies a practitioner vocabulary for the present design. Its own guidance recognises that excessive loss-based motivation can demoralise users and cause dropout, and recommends moderation and alternative drives (Beerda, 2015). The thesis therefore does not claim to discover that loss can undermine engagement. Its narrower proposition is that an assessment context may add personally consequential meanings to loss that are insufficiently addressed by manipulating in-game rewards alone. Section 2.6.2C develops non-terminal feedback as one testable response to that contextual problem.</w:t>
      </w:r>
    </w:p>
    <w:p w14:paraId="49733281" w14:textId="77777777" w:rsidR="0062437E" w:rsidRDefault="00000000">
      <w:pPr>
        <w:pStyle w:val="Heading3"/>
      </w:pPr>
      <w:r>
        <w:rPr>
          <w:color w:val="000000"/>
        </w:rPr>
        <w:t>2.3.3 An, Cheung and Willoughby (2024): Evidence for Gamified Technology Learning with Older Adults</w:t>
      </w:r>
    </w:p>
    <w:p>
      <w:pPr>
        <w:pStyle w:val="Normal"/>
        <w:jc w:val="both"/>
      </w:pPr>
      <w:r>
        <w:rPr>
          <w:szCs w:val="22"/>
          <w:lang w:val="en-US" w:eastAsia="en-US" w:bidi="ar-SA"/>
          <w:rFonts w:ascii="Times New Roman" w:hAnsi="Times New Roman" w:eastAsia="Times New Roman" w:cs="Times New Roman"/>
          <w:sz w:val="24"/>
        </w:rPr>
        <w:t>An, Cheung and Willoughby (2024) examined a gamification approach to older adults' mobile-payment adoption and knowledge transfer in Hong Kong. Their one-group pre/post study reported gains in knowledge and adoption-related outcomes, providing a relevant example of game-informed technology learning. An, Cheung and Lo (2025) examined a related approach to mobile maps. These studies support investigating gamification with older adults, but their domains and designs do not establish that a selected set of acceptance and game-design features will sustain use in a clinical assessment service.</w:t>
      </w:r>
    </w:p>
    <w:p>
      <w:pPr>
        <w:pStyle w:val="Normal"/>
        <w:jc w:val="both"/>
      </w:pPr>
      <w:r>
        <w:rPr>
          <w:szCs w:val="22"/>
          <w:lang w:val="en-US" w:eastAsia="en-US" w:bidi="ar-SA"/>
          <w:rFonts w:ascii="Times New Roman" w:hAnsi="Times New Roman" w:eastAsia="Times New Roman" w:cs="Times New Roman"/>
          <w:sz w:val="24"/>
        </w:rPr>
        <w:t>Two transfer questions are particularly relevant. Mobile payments and mobile maps differ from assessment in their purpose and the possible personal consequences of feedback. Their adoption findings also do not supply a benchmark for the longitudinal non-return examined in this thesis. These differences motivate study of the FRA setting; they do not establish a categorical clinical/non-clinical boundary or imply that identity concerns cannot arise in other technologies.</w:t>
      </w:r>
    </w:p>
    <w:p>
      <w:pPr>
        <w:pStyle w:val="Heading3"/>
      </w:pPr>
      <w:bookmarkStart w:id="27" w:name="_Toc232024521"/>
      <w:r>
        <w:rPr>
          <w:color w:val="000000"/>
          <w:szCs w:val="22"/>
          <w:lang w:val="en-US" w:eastAsia="en-US" w:bidi="ar-SA"/>
        </w:rPr>
        <w:t>2.3.4 The Boundary: When the Technology is Attached to FRA</w:t>
      </w:r>
      <w:bookmarkEnd w:id="27"/>
    </w:p>
    <w:p>
      <w:pPr>
        <w:pStyle w:val="Normal"/>
        <w:jc w:val="both"/>
      </w:pPr>
      <w:r>
        <w:rPr>
          <w:szCs w:val="22"/>
          <w:lang w:val="en-US" w:eastAsia="en-US" w:bidi="ar-SA"/>
          <w:rFonts w:ascii="Times New Roman" w:hAnsi="Times New Roman" w:eastAsia="Times New Roman" w:cs="Times New Roman"/>
          <w:sz w:val="24"/>
        </w:rPr>
        <w:t>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about personal decline. D5 (Social Influence and Relatedness) may also become double-edged if peer comparison increases age-related self-awareness. These are context-dependent propositions, not universal inversions of the framework. Whether social-comparison framing reduces engagement in this population was not isolated as a test in the present programme; it is recorded as a question for future controlled study (§6.8A; §8.8).</w:t>
      </w:r>
    </w:p>
    <w:p>
      <w:pPr>
        <w:pStyle w:val="Normal"/>
        <w:jc w:val="both"/>
      </w:pPr>
      <w:r>
        <w:rPr>
          <w:szCs w:val="22"/>
          <w:lang w:val="en-US" w:eastAsia="en-US" w:bidi="ar-SA"/>
          <w:rFonts w:ascii="Times New Roman" w:hAnsi="Times New Roman" w:eastAsia="Times New Roman" w:cs="Times New Roman"/>
          <w:sz w:val="24"/>
        </w:rPr>
        <w:t>The Stage-1 survey, reported in Chapter 4, supplies the corresponding population-level signature: it records a pattern of prior use, adverse first experiences and subsequent non-return that motivated the boundary question; among prior users, most first experiences were coded as adverse, unacceptable or unsuccessful, and most of that subgroup reported no subsequent return; the figures are reported in Chapter 4 (Table 4.1) as aggregate percentages; the per-respondent response file is not archived (Appendix G, item G.1), so the conditional figures cannot be reproduced as item-level counts. These labels require item-level reconciliation because the reproduced survey item asks whether the first result was understood and accepted rather than directly measuring task failure. The favourable physical-access and perceived-benefit estimates that appeared in working tables from the survey period are not reported as survey results, because they cannot be traced to items in the archived six-item instrument (Appendix A; §4.2).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rPr>
          <w:color w:val="000000"/>
          <w:szCs w:val="22"/>
          <w:lang w:val="en-US" w:eastAsia="en-US" w:bidi="ar-SA"/>
        </w:rPr>
        <w:t>2.3.5 The Initial Design Expectation from Stages One and Two</w:t>
      </w:r>
    </w:p>
    <w:p>
      <w:pPr>
        <w:pStyle w:val="Normal"/>
        <w:jc w:val="both"/>
      </w:pPr>
      <w:r>
        <w:rPr>
          <w:szCs w:val="22"/>
          <w:lang w:val="en-US" w:eastAsia="en-US" w:bidi="ar-SA"/>
          <w:rFonts w:ascii="Times New Roman" w:hAnsi="Times New Roman" w:eastAsia="Times New Roman" w:cs="Times New Roman"/>
          <w:sz w:val="24"/>
        </w:rPr>
        <w:t>The acceptance and gamification literatures motivate an initial design expectation: a useful, accessible and engaging FRA interaction should encourage participation and return (Davis, 1989; Chen &amp; Chan, 2014; An, Cheung &amp; Willoughby, 2024). The H0 notation is retained to connect this expectation with the programme's later discussion, but it denotes a qualitative working proposition formalised retrospectively, not a preregistered statistical null hypothesis. The cited sources provide neither a numerical retention threshold nor a guarantee that adverse experiences will have no effect. Consequently, an unmet expectation identifies a shortfall in this implementation and setting; it cannot by itself falsify TAM, STAM or gamification research.</w:t>
      </w:r>
    </w:p>
    <w:p>
      <w:pPr>
        <w:pStyle w:val="Normal"/>
        <w:jc w:val="both"/>
      </w:pPr>
      <w:r>
        <w:rPr>
          <w:szCs w:val="22"/>
          <w:lang w:val="en-US" w:eastAsia="en-US" w:bidi="ar-SA"/>
          <w:rFonts w:ascii="Times New Roman" w:hAnsi="Times New Roman" w:eastAsia="Times New Roman" w:cs="Times New Roman"/>
          <w:sz w:val="24"/>
        </w:rPr>
        <w:t>H0 — The initial design expectation is that an FRA interaction informed by TAM/STAM and selected Octalysis drives will encourage acceptance and sustained participation, including willingness to retry after difficulty. Whether the implemented design meets that expectation is an empirical question for this programme.</w:t>
      </w:r>
    </w:p>
    <w:p>
      <w:pPr>
        <w:pStyle w:val="Normal"/>
        <w:jc w:val="both"/>
      </w:pPr>
      <w:r>
        <w:rPr>
          <w:szCs w:val="22"/>
          <w:lang w:val="en-US" w:eastAsia="en-US" w:bidi="ar-SA"/>
          <w:rFonts w:ascii="Times New Roman" w:hAnsi="Times New Roman" w:eastAsia="Times New Roman" w:cs="Times New Roman"/>
          <w:sz w:val="24"/>
        </w:rPr>
        <w:t>The Stage-2 game included an acceptance-oriented entry flow, challenge calibration, coin rewards, levels, feedback and a natural control mapping, with AI assistance used in development (§5.3.9). These features document the intended design response; they do not establish that every participant experienced the corresponding usefulness, ease, competence or motivation. Stage 1 provides retrospective context; whether the implemented design realised that expectation is examined prospectively in Chapter 5, including cases with favourable recorded score change. Chapter 5 records that the initial expectation was not realised in this deployment. Implementation quality, task demands and contextual influences remain explanations requiring examination (§8.5.7); AI-assisted construction does not eliminate them.</w:t>
      </w:r>
    </w:p>
    <w:p>
      <w:pPr>
        <w:pStyle w:val="Normal"/>
        <w:jc w:val="both"/>
      </w:pPr>
      <w:r>
        <w:rPr>
          <w:szCs w:val="22"/>
          <w:lang w:val="en-US" w:eastAsia="en-US" w:bidi="ar-SA"/>
          <w:rFonts w:ascii="Times New Roman" w:hAnsi="Times New Roman" w:eastAsia="Times New Roman" w:cs="Times New Roman"/>
          <w:sz w:val="24"/>
        </w:rPr>
        <w:t>The remainder of the chapter considers why the implemented intervention may not have sustained participation and develops alternative responses. Established acceptance and continuance explanations remain relevant, while additional appraisal accounts motivate changes to feedback, challenge and support that Chapters 5 to 7 translate into prospective engineering questions.</w:t>
      </w:r>
    </w:p>
    <w:p>
      <w:pPr>
        <w:pStyle w:val="Heading2"/>
      </w:pPr>
      <w:bookmarkStart w:id="28" w:name="_Toc232024522"/>
      <w:r>
        <w:rPr>
          <w:lang w:val="en-US" w:eastAsia="en-US" w:bidi="ar-SA"/>
          <w:color w:val="000000"/>
          <w:szCs w:val="26"/>
        </w:rPr>
        <w:t>2.4 Stage Three: Self-Efficacy as the First Diagnostic Layer</w:t>
      </w:r>
      <w:bookmarkEnd w:id="28"/>
    </w:p>
    <w:p>
      <w:pPr>
        <w:pStyle w:val="Heading3"/>
      </w:pPr>
      <w:bookmarkStart w:id="29" w:name="_Toc232024523"/>
      <w:r>
        <w:rPr>
          <w:color w:val="000000"/>
          <w:szCs w:val="22"/>
          <w:lang w:val="en-US" w:eastAsia="en-US" w:bidi="ar-SA"/>
        </w:rPr>
        <w:t>2.4.1 Bandura's Self-Efficacy</w:t>
      </w:r>
      <w:bookmarkEnd w:id="29"/>
    </w:p>
    <w:p>
      <w:pPr>
        <w:pStyle w:val="Normal"/>
        <w:jc w:val="both"/>
      </w:pPr>
      <w:r>
        <w:rPr>
          <w:szCs w:val="22"/>
          <w:lang w:val="en-US" w:eastAsia="en-US" w:bidi="ar-SA"/>
          <w:rFonts w:ascii="Times New Roman" w:hAnsi="Times New Roman" w:eastAsia="Times New Roman" w:cs="Times New Roman"/>
          <w:sz w:val="24"/>
        </w:rPr>
        <w:t>Self-efficacy is a person's belief in their capacity to succeed at a specific task (Bandura, 1977, 1997). It is task-specific, responsive to experience and relevant to persistence under difficulty. An adverse experience can lower perceived capability and reduce willingness to continue, although its effect depends on how the person interprets the event and the support available. Self-efficacy therefore supplies an established candidate explanation for withdrawal that the present appraisal account must address.</w:t>
      </w:r>
    </w:p>
    <w:p>
      <w:pPr>
        <w:pStyle w:val="Heading3"/>
      </w:pPr>
      <w:bookmarkStart w:id="30" w:name="_Toc232024524"/>
      <w:r>
        <w:rPr>
          <w:color w:val="000000"/>
          <w:szCs w:val="22"/>
          <w:lang w:val="en-US" w:eastAsia="en-US" w:bidi="ar-SA"/>
        </w:rPr>
        <w:t>2.4.2 Computer Self-Efficacy Among Older Adults</w:t>
      </w:r>
      <w:bookmarkEnd w:id="30"/>
    </w:p>
    <w:p>
      <w:pPr>
        <w:pStyle w:val="Normal"/>
        <w:jc w:val="both"/>
      </w:pPr>
      <w:r>
        <w:rPr>
          <w:szCs w:val="22"/>
          <w:lang w:val="en-US" w:eastAsia="en-US" w:bidi="ar-SA"/>
          <w:rFonts w:ascii="Times New Roman" w:hAnsi="Times New Roman" w:eastAsia="Times New Roman" w:cs="Times New Roman"/>
          <w:sz w:val="24"/>
        </w:rPr>
        <w:t>Computer self-efficacy, developed as a domain-specific construct by Compeau and Higgins (1995), concerns confidence in using computing technology. Research on older users highlights the importance of prior experience, support and perceived capability, while also showing why age alone is an incomplete explanation of engagement (Hawthorn, 2007; Broady, Chan &amp; Caputi, 2010). In the present setting, difficulty may undermine confidence for some participants, but a smaller confidence reserve cannot be inferred from age or non-return alone. The relevant proposition is that perceived capability and its change after the encounter should be measured alongside recorded performance.</w:t>
      </w:r>
    </w:p>
    <w:p>
      <w:pPr>
        <w:pStyle w:val="Heading3"/>
      </w:pPr>
      <w:bookmarkStart w:id="31" w:name="_Toc232024525"/>
      <w:bookmarkEnd w:id="31"/>
      <w:r>
        <w:rPr>
          <w:color w:val="000000"/>
          <w:szCs w:val="22"/>
          <w:lang w:val="en-US" w:eastAsia="en-US" w:bidi="ar-SA"/>
        </w:rPr>
        <w:t>2.4.3 Technology Anxiety and Perceived Acceptance</w:t>
      </w:r>
    </w:p>
    <w:p>
      <w:pPr>
        <w:pStyle w:val="Normal"/>
        <w:jc w:val="both"/>
      </w:pPr>
      <w:r>
        <w:rPr>
          <w:szCs w:val="22"/>
          <w:lang w:val="en-US" w:eastAsia="en-US" w:bidi="ar-SA"/>
          <w:rFonts w:ascii="Times New Roman" w:hAnsi="Times New Roman" w:eastAsia="Times New Roman" w:cs="Times New Roman"/>
          <w:sz w:val="24"/>
        </w:rPr>
        <w:t>Tsai et al. (2020) examined older adults' perceptions of a wearable cardiac warming system after a demonstration, using an extended technology-acceptance model. Technology anxiety was associated with perceived ease of use and perceived ubiquity in their overall sample, whereas the proposed resistance-to-change relationships were unsupported. The study makes anxiety relevant to the present design problem, but it did not follow repeated adverse encounters or everyday device use. It therefore cannot establish a temporal sequence from early difficulty to declining confidence and permanent withdrawal.</w:t>
      </w:r>
    </w:p>
    <w:p>
      <w:pPr>
        <w:pStyle w:val="Heading3"/>
      </w:pPr>
      <w:bookmarkStart w:id="32" w:name="_Toc232024526"/>
      <w:r>
        <w:rPr>
          <w:color w:val="000000"/>
          <w:szCs w:val="22"/>
          <w:lang w:val="en-US" w:eastAsia="en-US" w:bidi="ar-SA"/>
        </w:rPr>
        <w:t>2.4.4 What Self-Efficacy Explains and What It Does Not</w:t>
      </w:r>
      <w:bookmarkEnd w:id="32"/>
    </w:p>
    <w:p>
      <w:pPr>
        <w:pStyle w:val="Normal"/>
        <w:jc w:val="both"/>
      </w:pPr>
      <w:r>
        <w:rPr>
          <w:szCs w:val="22"/>
          <w:lang w:val="en-US" w:eastAsia="en-US" w:bidi="ar-SA"/>
          <w:rFonts w:ascii="Times New Roman" w:hAnsi="Times New Roman" w:eastAsia="Times New Roman" w:cs="Times New Roman"/>
          <w:sz w:val="24"/>
        </w:rP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pPr>
        <w:pStyle w:val="Normal"/>
        <w:jc w:val="both"/>
      </w:pPr>
      <w:r>
        <w:rPr>
          <w:szCs w:val="22"/>
          <w:lang w:val="en-US" w:eastAsia="en-US" w:bidi="ar-SA"/>
          <w:rFonts w:ascii="Times New Roman" w:hAnsi="Times New Roman" w:eastAsia="Times New Roman" w:cs="Times New Roman"/>
          <w:sz w:val="24"/>
        </w:rPr>
        <w:t>Chapter 5 examines whether recorded index change and return move together; a subgroup in which they diverge is not easily predicted from a simple capability-improves-confidence account. However, the observation rests on the six-member F4 cluster, all of whom played a single session and none of whom returned during the observation window; the divergence itself concerns the three of the six who recorded a positive index change, one of whom is the record that failed verification (S2-P015; §5.5, §5.6). Positive single-session score change is also not equivalent to mastery or clinical benefit. The pattern therefore motivates an additional explanatory layer; it does not by itself falsify self-efficacy theory.</w:t>
      </w:r>
    </w:p>
    <w:p>
      <w:pPr>
        <w:pStyle w:val="Heading2"/>
      </w:pPr>
      <w:r>
        <w:rPr>
          <w:lang w:val="en-US" w:eastAsia="en-US" w:bidi="ar-SA"/>
          <w:color w:val="000000"/>
          <w:szCs w:val="26"/>
        </w:rPr>
        <w:t>2.5 Stage Four: Behavioural Science as a Candidate Account of Failure-Associated Non-Return</w:t>
      </w:r>
    </w:p>
    <w:p>
      <w:pPr>
        <w:pStyle w:val="Heading3"/>
      </w:pPr>
      <w:r>
        <w:rPr>
          <w:color w:val="000000"/>
          <w:szCs w:val="22"/>
          <w:lang w:val="en-US" w:eastAsia="en-US" w:bidi="ar-SA"/>
        </w:rPr>
        <w:t>2.5.1 Why an Additional Appraisal Account Is Considered</w:t>
      </w:r>
    </w:p>
    <w:p>
      <w:pPr>
        <w:pStyle w:val="Normal"/>
        <w:jc w:val="both"/>
      </w:pPr>
      <w:r>
        <w:rPr>
          <w:szCs w:val="22"/>
          <w:lang w:val="en-US" w:eastAsia="en-US" w:bidi="ar-SA"/>
          <w:rFonts w:ascii="Times New Roman" w:hAnsi="Times New Roman" w:eastAsia="Times New Roman" w:cs="Times New Roman"/>
          <w:sz w:val="24"/>
        </w:rPr>
        <w:t>The proposed appraisal account extends the questions raised by the unmet design expectation. Three features warrant investigation: the concentration of exits around adverse experiences, non-return alongside favourable recorded score change, and different engagement patterns across the clinically framed and remote gameplay deployments. None uniquely identifies a behavioural-economic mechanism, and self-efficacy remains compatible with non-return even though it allows recovery. Table 2.1 maps these observations to candidate explanations and predictions that could distinguish them in future work. The psychological operators were not directly measured; the table guides the prospective measurement programme (§3.6) rather than reporting a validated causal sequence.</w:t>
      </w:r>
    </w:p>
    <w:p>
      <w:pPr>
        <w:pStyle w:val="FigureCaption"/>
        <w:keepNext/>
        <w:keepLines/>
        <w:jc w:val="center"/>
      </w:pPr>
      <w:r>
        <w:rPr>
          <w:sz w:val="22"/>
          <w:szCs w:val="22"/>
          <w:lang w:val="en-US" w:eastAsia="en-US" w:bidi="ar-SA"/>
          <w:rFonts w:ascii="Times New Roman" w:hAnsi="Times New Roman" w:eastAsia="Times New Roman" w:cs="Times New Roman"/>
          <w:i/>
        </w:rPr>
        <w:t>Table 2.1. From the unmet design expectation to candidate mechanisms and prospective tests.</w:t>
      </w:r>
    </w:p>
    <w:tbl>
      <w:tblPr>
        <w:tblStyle w:val="TableGrid"/>
        <w:tblW w:type="dxa" w:w="8505"/>
        <w:tblLayout w:type="fixed"/>
        <w:tblLook w:firstColumn="1" w:firstRow="1" w:lastColumn="0" w:lastRow="0" w:noHBand="0" w:noVBand="1" w:val="04A0"/>
      </w:tblPr>
      <w:tblGrid>
        <w:gridCol w:w="2039"/>
        <w:gridCol w:w="1850"/>
        <w:gridCol w:w="2183"/>
        <w:gridCol w:w="2433"/>
      </w:tblGrid>
      <w:tr>
        <w:trPr>
          <w:tblHeader/>
          <w:cantSplit/>
        </w:trPr>
        <w:tc>
          <w:tcPr>
            <w:tcW w:type="dxa" w:w="2039"/>
          </w:tcPr>
          <w:p>
            <w:pPr>
              <w:keepNext w:val="0"/>
              <w:keepLines/>
            </w:pPr>
            <w:r>
              <w:rPr>
                <w:rFonts w:ascii="Times New Roman" w:hAnsi="Times New Roman"/>
                <w:b/>
                <w:sz w:val="18"/>
              </w:rPr>
              <w:t>Observation motivating investigation</w:t>
            </w:r>
          </w:p>
        </w:tc>
        <w:tc>
          <w:tcPr>
            <w:tcW w:type="dxa" w:w="1850"/>
          </w:tcPr>
          <w:p>
            <w:pPr>
              <w:pStyle w:val="Normal"/>
              <w:keepNext w:val="0"/>
              <w:keepLines/>
            </w:pPr>
            <w:r>
              <w:rPr>
                <w:b/>
                <w:sz w:val="18"/>
                <w:szCs w:val="22"/>
                <w:lang w:val="en-US" w:eastAsia="en-US" w:bidi="ar-SA"/>
                <w:rFonts w:ascii="Times New Roman" w:hAnsi="Times New Roman" w:eastAsia="Times New Roman" w:cs="Times New Roman"/>
              </w:rPr>
              <w:t>Behavioural theory</w:t>
            </w:r>
          </w:p>
        </w:tc>
        <w:tc>
          <w:tcPr>
            <w:tcW w:type="dxa" w:w="2183"/>
          </w:tcPr>
          <w:p>
            <w:pPr>
              <w:keepNext w:val="0"/>
              <w:keepLines/>
            </w:pPr>
            <w:r>
              <w:rPr>
                <w:rFonts w:ascii="Times New Roman" w:hAnsi="Times New Roman"/>
                <w:b/>
                <w:sz w:val="18"/>
              </w:rPr>
              <w:t>Construct contributed to the account</w:t>
            </w:r>
          </w:p>
        </w:tc>
        <w:tc>
          <w:tcPr>
            <w:tcW w:type="dxa" w:w="2433"/>
          </w:tcPr>
          <w:p>
            <w:pPr>
              <w:pStyle w:val="Normal"/>
              <w:keepNext w:val="0"/>
              <w:keepLines/>
            </w:pPr>
            <w:r>
              <w:rPr>
                <w:b/>
                <w:sz w:val="18"/>
                <w:szCs w:val="22"/>
                <w:lang w:val="en-US" w:eastAsia="en-US" w:bidi="ar-SA"/>
                <w:rFonts w:ascii="Times New Roman" w:hAnsi="Times New Roman" w:eastAsia="Times New Roman" w:cs="Times New Roman"/>
              </w:rPr>
              <w:t>Prediction generated</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An adverse first experience precedes early disengagement</w:t>
            </w:r>
          </w:p>
        </w:tc>
        <w:tc>
          <w:tcPr>
            <w:tcW w:type="dxa" w:w="1850"/>
          </w:tcPr>
          <w:p>
            <w:pPr>
              <w:pStyle w:val="Normal"/>
            </w:pPr>
            <w:r>
              <w:rPr>
                <w:sz w:val="20"/>
                <w:szCs w:val="22"/>
                <w:lang w:val="en-US" w:eastAsia="en-US" w:bidi="ar-SA"/>
                <w:rFonts w:ascii="Times New Roman" w:hAnsi="Times New Roman" w:eastAsia="Times New Roman" w:cs="Times New Roman"/>
              </w:rPr>
              <w:t>Prospect theory / loss aversion (Kahneman &amp; Tversky, 1979)</w:t>
            </w:r>
          </w:p>
        </w:tc>
        <w:tc>
          <w:tcPr>
            <w:tcW w:type="dxa" w:w="2183"/>
          </w:tcPr>
          <w:p>
            <w:pPr>
              <w:pStyle w:val="Normal"/>
            </w:pPr>
            <w:r>
              <w:rPr>
                <w:sz w:val="20"/>
                <w:szCs w:val="22"/>
                <w:lang w:val="en-US" w:eastAsia="en-US" w:bidi="ar-SA"/>
                <w:rFonts w:ascii="Times New Roman" w:hAnsi="Times New Roman" w:eastAsia="Times New Roman" w:cs="Times New Roman"/>
              </w:rPr>
              <w:t>Asymmetric weighting of an adverse result against a valued reference point</w:t>
            </w:r>
          </w:p>
        </w:tc>
        <w:tc>
          <w:tcPr>
            <w:tcW w:type="dxa" w:w="2433"/>
          </w:tcPr>
          <w:p>
            <w:pPr>
              <w:pStyle w:val="Normal"/>
            </w:pPr>
            <w:r>
              <w:rPr>
                <w:sz w:val="20"/>
                <w:szCs w:val="22"/>
                <w:lang w:val="en-US" w:eastAsia="en-US" w:bidi="ar-SA"/>
                <w:rFonts w:ascii="Times New Roman" w:hAnsi="Times New Roman" w:eastAsia="Times New Roman" w:cs="Times New Roman"/>
              </w:rPr>
              <w:t>Reference-dependent appraisal predicts disengagement beyond perceived competence and satisfaction (H1, Chapter 5;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Non-return coexists with favourable recorded score change</w:t>
            </w:r>
          </w:p>
        </w:tc>
        <w:tc>
          <w:tcPr>
            <w:tcW w:type="dxa" w:w="1850"/>
          </w:tcPr>
          <w:p>
            <w:pPr>
              <w:pStyle w:val="Normal"/>
            </w:pPr>
            <w:r>
              <w:rPr>
                <w:sz w:val="20"/>
                <w:szCs w:val="22"/>
                <w:lang w:val="en-US" w:eastAsia="en-US" w:bidi="ar-SA"/>
                <w:rFonts w:ascii="Times New Roman" w:hAnsi="Times New Roman" w:eastAsia="Times New Roman" w:cs="Times New Roman"/>
              </w:rPr>
              <w:t>Endowment effect (Thaler, 1980; Kahneman, Knetsch &amp; Thaler, 1990)</w:t>
            </w:r>
          </w:p>
        </w:tc>
        <w:tc>
          <w:tcPr>
            <w:tcW w:type="dxa" w:w="2183"/>
          </w:tcPr>
          <w:p>
            <w:pPr>
              <w:pStyle w:val="Normal"/>
            </w:pPr>
            <w:r>
              <w:rPr>
                <w:sz w:val="20"/>
                <w:szCs w:val="22"/>
                <w:lang w:val="en-US" w:eastAsia="en-US" w:bidi="ar-SA"/>
                <w:rFonts w:ascii="Times New Roman" w:hAnsi="Times New Roman" w:eastAsia="Times New Roman" w:cs="Times New Roman"/>
              </w:rPr>
              <w:t>Proposed identity-related endowment: avoidance may protect a valued self-description</w:t>
            </w:r>
          </w:p>
        </w:tc>
        <w:tc>
          <w:tcPr>
            <w:tcW w:type="dxa" w:w="2433"/>
          </w:tcPr>
          <w:p>
            <w:pPr>
              <w:pStyle w:val="Normal"/>
            </w:pPr>
            <w:r>
              <w:rPr>
                <w:sz w:val="20"/>
                <w:szCs w:val="22"/>
                <w:lang w:val="en-US" w:eastAsia="en-US" w:bidi="ar-SA"/>
                <w:rFonts w:ascii="Times New Roman" w:hAnsi="Times New Roman" w:eastAsia="Times New Roman" w:cs="Times New Roman"/>
              </w:rPr>
              <w:t>Identity-related appraisal predicts return beyond recorded performance and perceived capability (H4;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Engagement differs across assessment and remote gameplay contexts</w:t>
            </w:r>
          </w:p>
        </w:tc>
        <w:tc>
          <w:tcPr>
            <w:tcW w:type="dxa" w:w="1850"/>
          </w:tcPr>
          <w:p>
            <w:pPr>
              <w:pStyle w:val="Normal"/>
            </w:pPr>
            <w:r>
              <w:rPr>
                <w:sz w:val="20"/>
                <w:szCs w:val="22"/>
                <w:lang w:val="en-US" w:eastAsia="en-US" w:bidi="ar-SA"/>
                <w:rFonts w:ascii="Times New Roman" w:hAnsi="Times New Roman" w:eastAsia="Times New Roman" w:cs="Times New Roman"/>
              </w:rPr>
              <w:t>Mental accounting (Thaler, 1985)</w:t>
            </w:r>
          </w:p>
        </w:tc>
        <w:tc>
          <w:tcPr>
            <w:tcW w:type="dxa" w:w="2183"/>
          </w:tcPr>
          <w:p>
            <w:pPr>
              <w:pStyle w:val="Normal"/>
            </w:pPr>
            <w:r>
              <w:rPr>
                <w:sz w:val="20"/>
                <w:szCs w:val="22"/>
                <w:lang w:val="en-US" w:eastAsia="en-US" w:bidi="ar-SA"/>
                <w:rFonts w:ascii="Times New Roman" w:hAnsi="Times New Roman" w:eastAsia="Times New Roman" w:cs="Times New Roman"/>
              </w:rPr>
              <w:t>Clinical framing may assign the encounter greater personal stakes</w:t>
            </w:r>
          </w:p>
        </w:tc>
        <w:tc>
          <w:tcPr>
            <w:tcW w:type="dxa" w:w="2433"/>
          </w:tcPr>
          <w:p>
            <w:pPr>
              <w:pStyle w:val="Normal"/>
            </w:pPr>
            <w:r>
              <w:rPr>
                <w:sz w:val="20"/>
                <w:szCs w:val="22"/>
                <w:lang w:val="en-US" w:eastAsia="en-US" w:bidi="ar-SA"/>
                <w:rFonts w:ascii="Times New Roman" w:hAnsi="Times New Roman" w:eastAsia="Times New Roman" w:cs="Times New Roman"/>
              </w:rPr>
              <w:t>Controlled changes to framing alter appraisals and return; the Stage-3 contrast motivates this test (H5)</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Clinical and age-related cues may affect the interpretation of difficulty</w:t>
            </w:r>
          </w:p>
        </w:tc>
        <w:tc>
          <w:tcPr>
            <w:tcW w:type="dxa" w:w="1850"/>
          </w:tcPr>
          <w:p>
            <w:pPr>
              <w:pStyle w:val="Normal"/>
            </w:pPr>
            <w:r>
              <w:rPr>
                <w:sz w:val="20"/>
                <w:szCs w:val="22"/>
                <w:lang w:val="en-US" w:eastAsia="en-US" w:bidi="ar-SA"/>
                <w:rFonts w:ascii="Times New Roman" w:hAnsi="Times New Roman" w:eastAsia="Times New Roman" w:cs="Times New Roman"/>
              </w:rPr>
              <w:t>Stereotype threat (Steele &amp; Aronson, 1995; Barber, 2017)</w:t>
            </w:r>
          </w:p>
        </w:tc>
        <w:tc>
          <w:tcPr>
            <w:tcW w:type="dxa" w:w="2183"/>
          </w:tcPr>
          <w:p>
            <w:pPr>
              <w:pStyle w:val="Normal"/>
            </w:pPr>
            <w:r>
              <w:rPr>
                <w:sz w:val="20"/>
                <w:szCs w:val="22"/>
                <w:lang w:val="en-US" w:eastAsia="en-US" w:bidi="ar-SA"/>
                <w:rFonts w:ascii="Times New Roman" w:hAnsi="Times New Roman" w:eastAsia="Times New Roman" w:cs="Times New Roman"/>
              </w:rPr>
              <w:t>Salience of a relevant negative age stereotype as one possible trigger</w:t>
            </w:r>
          </w:p>
        </w:tc>
        <w:tc>
          <w:tcPr>
            <w:tcW w:type="dxa" w:w="2433"/>
          </w:tcPr>
          <w:p>
            <w:pPr>
              <w:pStyle w:val="Normal"/>
            </w:pPr>
            <w:r>
              <w:rPr>
                <w:sz w:val="20"/>
                <w:szCs w:val="22"/>
                <w:lang w:val="en-US" w:eastAsia="en-US" w:bidi="ar-SA"/>
                <w:rFonts w:ascii="Times New Roman" w:hAnsi="Times New Roman" w:eastAsia="Times New Roman" w:cs="Times New Roman"/>
              </w:rPr>
              <w:t>Measured stereotype activation mediates a framing effect; threat-reduced coaching is a prospective response (Chapter 7)</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Abandonment persisted although the Stage-2 build had already softened in-game loss (lives, forgiving hits)</w:t>
            </w:r>
          </w:p>
        </w:tc>
        <w:tc>
          <w:tcPr>
            <w:tcW w:type="dxa" w:w="1850"/>
          </w:tcPr>
          <w:p>
            <w:pPr>
              <w:pStyle w:val="Normal"/>
            </w:pPr>
            <w:r>
              <w:rPr>
                <w:sz w:val="20"/>
                <w:szCs w:val="22"/>
                <w:lang w:val="en-US" w:eastAsia="en-US" w:bidi="ar-SA"/>
                <w:rFonts w:ascii="Times New Roman" w:hAnsi="Times New Roman" w:eastAsia="Times New Roman" w:cs="Times New Roman"/>
              </w:rPr>
              <w:t>Octalysis loss-moderation guidance (Beerda, 2015); proposed non-terminal feedback (§2.6.2C)</w:t>
            </w:r>
          </w:p>
        </w:tc>
        <w:tc>
          <w:tcPr>
            <w:tcW w:type="dxa" w:w="2183"/>
          </w:tcPr>
          <w:p>
            <w:pPr>
              <w:pStyle w:val="Normal"/>
            </w:pPr>
            <w:r>
              <w:rPr>
                <w:sz w:val="20"/>
                <w:szCs w:val="22"/>
                <w:lang w:val="en-US" w:eastAsia="en-US" w:bidi="ar-SA"/>
                <w:rFonts w:ascii="Times New Roman" w:hAnsi="Times New Roman" w:eastAsia="Times New Roman" w:cs="Times New Roman"/>
              </w:rPr>
              <w:t>Personally consequential appraisal may outweigh softened in-game loss; mechanism unmeasured</w:t>
            </w:r>
          </w:p>
        </w:tc>
        <w:tc>
          <w:tcPr>
            <w:tcW w:type="dxa" w:w="2433"/>
          </w:tcPr>
          <w:p>
            <w:pPr>
              <w:pStyle w:val="Normal"/>
            </w:pPr>
            <w:r>
              <w:rPr>
                <w:sz w:val="20"/>
                <w:szCs w:val="22"/>
                <w:lang w:val="en-US" w:eastAsia="en-US" w:bidi="ar-SA"/>
                <w:rFonts w:ascii="Times New Roman" w:hAnsi="Times New Roman" w:eastAsia="Times New Roman" w:cs="Times New Roman"/>
              </w:rPr>
              <w:t>Non-terminal feedback adds benefit beyond decoupling or ordinary coaching; specified as a factor of the Stage-3B component design and recorded descriptively, without confirmatory analysis (§8.8); the test remains prospective</w:t>
            </w:r>
          </w:p>
        </w:tc>
      </w:tr>
    </w:tbl>
    <w:p>
      <w:pPr>
        <w:pStyle w:val="Heading3"/>
      </w:pPr>
      <w:bookmarkStart w:id="33" w:name="_Toc232024529"/>
      <w:r>
        <w:rPr>
          <w:color w:val="000000"/>
          <w:szCs w:val="22"/>
          <w:lang w:val="en-US" w:eastAsia="en-US" w:bidi="ar-SA"/>
        </w:rPr>
        <w:t>2.5.2 Prospect Theory and Loss Aversion</w:t>
      </w:r>
      <w:bookmarkEnd w:id="33"/>
    </w:p>
    <w:p>
      <w:pPr>
        <w:pStyle w:val="Normal"/>
        <w:jc w:val="both"/>
      </w:pPr>
      <w:r>
        <w:rPr>
          <w:szCs w:val="22"/>
          <w:lang w:val="en-US" w:eastAsia="en-US" w:bidi="ar-SA"/>
          <w:rFonts w:ascii="Times New Roman" w:hAnsi="Times New Roman" w:eastAsia="Times New Roman" w:cs="Times New Roman"/>
          <w:sz w:val="24"/>
        </w:rP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pPr>
        <w:pStyle w:val="Heading3"/>
      </w:pPr>
      <w:bookmarkStart w:id="34" w:name="_Toc232024530"/>
      <w:r>
        <w:rPr>
          <w:color w:val="000000"/>
          <w:szCs w:val="22"/>
          <w:lang w:val="en-US" w:eastAsia="en-US" w:bidi="ar-SA"/>
        </w:rPr>
        <w:t>2.5.3 The Endowment Effect on Identity-Level Assets</w:t>
      </w:r>
      <w:bookmarkEnd w:id="34"/>
    </w:p>
    <w:p>
      <w:pPr>
        <w:pStyle w:val="Normal"/>
        <w:jc w:val="both"/>
      </w:pPr>
      <w:r>
        <w:rPr>
          <w:szCs w:val="22"/>
          <w:lang w:val="en-US" w:eastAsia="en-US" w:bidi="ar-SA"/>
          <w:rFonts w:ascii="Times New Roman" w:hAnsi="Times New Roman" w:eastAsia="Times New Roman" w:cs="Times New Roman"/>
          <w:sz w:val="24"/>
        </w:rPr>
        <w:t>Thaler (1980) introduced the endowment effect, and Kahneman, Knetsch and Thaler (1990) studied differences between Willingness To Accept (WTA) and Willingness To Pay (WTP) for owned goods. These experiments motivate questions about reference-dependent valuation. Their interpretation is sensitive to elicitation procedures: Plott and Zeiler (2005), for example, found no WTA–WTP gap under modified procedures designed to address participant misconceptions. The present thesis therefore avoids treating an identity-relevant preference as an established endowment effect merely because the preference is strongly held.</w:t>
      </w:r>
    </w:p>
    <w:p>
      <w:pPr>
        <w:pStyle w:val="Normal"/>
        <w:jc w:val="both"/>
      </w:pPr>
      <w:r>
        <w:rPr>
          <w:szCs w:val="22"/>
          <w:lang w:val="en-US" w:eastAsia="en-US" w:bidi="ar-SA"/>
          <w:rFonts w:ascii="Times New Roman" w:hAnsi="Times New Roman" w:eastAsia="Times New Roman" w:cs="Times New Roman"/>
          <w:sz w:val="24"/>
        </w:rP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pPr>
        <w:pStyle w:val="Heading3"/>
      </w:pPr>
      <w:bookmarkStart w:id="35" w:name="_Toc232024531"/>
      <w:r>
        <w:rPr>
          <w:color w:val="000000"/>
          <w:szCs w:val="22"/>
          <w:lang w:val="en-US" w:eastAsia="en-US" w:bidi="ar-SA"/>
        </w:rPr>
        <w:t>2.5.4 Mental Accounting of Health Outcomes</w:t>
      </w:r>
      <w:bookmarkEnd w:id="35"/>
    </w:p>
    <w:p>
      <w:pPr>
        <w:pStyle w:val="Normal"/>
        <w:jc w:val="both"/>
      </w:pPr>
      <w:r>
        <w:rPr>
          <w:szCs w:val="22"/>
          <w:lang w:val="en-US" w:eastAsia="en-US" w:bidi="ar-SA"/>
          <w:rFonts w:ascii="Times New Roman" w:hAnsi="Times New Roman" w:eastAsia="Times New Roman" w:cs="Times New Roman"/>
          <w:sz w:val="24"/>
        </w:rP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reported evidence of mental budgets in household finance. The thesis adapts the framework to health outcomes.</w:t>
      </w:r>
    </w:p>
    <w:p>
      <w:pPr>
        <w:pStyle w:val="Normal"/>
        <w:jc w:val="both"/>
      </w:pPr>
      <w:r>
        <w:rPr>
          <w:szCs w:val="22"/>
          <w:lang w:val="en-US" w:eastAsia="en-US" w:bidi="ar-SA"/>
          <w:rFonts w:ascii="Times New Roman" w:hAnsi="Times New Roman" w:eastAsia="Times New Roman" w:cs="Times New Roman"/>
          <w:sz w:val="24"/>
        </w:rPr>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pPr>
        <w:pStyle w:val="Heading3"/>
      </w:pPr>
      <w:bookmarkStart w:id="36" w:name="_Toc232024532"/>
      <w:r>
        <w:rPr>
          <w:color w:val="000000"/>
          <w:szCs w:val="22"/>
          <w:lang w:val="en-US" w:eastAsia="en-US" w:bidi="ar-SA"/>
        </w:rPr>
        <w:t>2.5.5 Stereotype Threat as the Trigger</w:t>
      </w:r>
      <w:bookmarkEnd w:id="36"/>
    </w:p>
    <w:p>
      <w:pPr>
        <w:pStyle w:val="Normal"/>
        <w:jc w:val="both"/>
      </w:pPr>
      <w:r>
        <w:rPr>
          <w:szCs w:val="22"/>
          <w:lang w:val="en-US" w:eastAsia="en-US" w:bidi="ar-SA"/>
          <w:rFonts w:ascii="Times New Roman" w:hAnsi="Times New Roman" w:eastAsia="Times New Roman" w:cs="Times New Roman"/>
          <w:sz w:val="24"/>
        </w:rPr>
        <w:t>Steele and Aronson (1995) showed that making a negatively stereotyped identity salient can affect performance on identity-relevant tasks. McGlone and Aronson (2006) examined identity salience and spatial reasoning among undergraduates, providing a general example rather than older-adult evidence. Age-related work includes Levy et al.'s (2002) longitudinal association between self-perceptions of ageing and health outcomes, and Barber's (2017) review of age-based stereotype threat. These are distinct forms of evidence. In the present framework, clinical FRA language may increase the salience of age-related decline for some users, changing how difficulty is interpreted. Stereotype threat is one possible trigger, but awareness of an adverse health result is not sufficient evidence of stereotype activation. The present studies did not measure that activation, and the Stage-3 comparison cannot separate lexical cues from other contextual differences.</w:t>
      </w:r>
    </w:p>
    <w:p>
      <w:pPr>
        <w:pStyle w:val="Heading3"/>
      </w:pPr>
      <w:r>
        <w:rPr>
          <w:color w:val="000000"/>
          <w:szCs w:val="22"/>
          <w:lang w:val="en-US" w:eastAsia="en-US" w:bidi="ar-SA"/>
        </w:rPr>
        <w:t>2.5.6 A Four-Layer Behavioural Integration for Failure-Associated Non-Return</w:t>
      </w:r>
    </w:p>
    <w:p>
      <w:pPr>
        <w:pStyle w:val="Normal"/>
        <w:jc w:val="both"/>
      </w:pPr>
      <w:r>
        <w:rPr>
          <w:szCs w:val="22"/>
          <w:lang w:val="en-US" w:eastAsia="en-US" w:bidi="ar-SA"/>
          <w:rFonts w:ascii="Times New Roman" w:hAnsi="Times New Roman" w:eastAsia="Times New Roman" w:cs="Times New Roman"/>
          <w:sz w:val="24"/>
        </w:rPr>
        <w:t>The four behavioural-science perspectives organise a candidate identity-related appraisal account, but they need not operate as a single obligatory sequence. Loss aversion predicts reference-dependent asymmetry; the identity-endowment extension concerns protection of a valued self-description; mental accounting predicts differential treatment of outcomes assigned to distinct accounts; and stereotype threat requires the salience of a relevant negative stereotype. These predictions overlap but are not interchangeable. The provisional descriptive label that Chapter 4 introduces for the observed non-return pattern is not a validated clinical syndrome, nor proof that these operators caused the pattern. Direct measures must establish whether any operator adds explanatory value beyond competence, satisfaction, burden and information avoidance.</w:t>
      </w:r>
    </w:p>
    <w:p>
      <w:pPr>
        <w:pStyle w:val="Heading2"/>
      </w:pPr>
      <w:r>
        <w:rPr>
          <w:lang w:val="en-US" w:eastAsia="en-US" w:bidi="ar-SA"/>
          <w:color w:val="000000"/>
          <w:szCs w:val="26"/>
        </w:rPr>
        <w:t>2.6 Stage Five: Positioning Decoupled Gameplay and Adaptive Learning as Design Responses</w:t>
      </w:r>
    </w:p>
    <w:p>
      <w:pPr>
        <w:pStyle w:val="Heading3"/>
      </w:pPr>
      <w:bookmarkStart w:id="37" w:name="_Toc232024535"/>
      <w:r>
        <w:rPr>
          <w:color w:val="000000"/>
          <w:szCs w:val="22"/>
          <w:lang w:val="en-US" w:eastAsia="en-US" w:bidi="ar-SA"/>
        </w:rPr>
        <w:t>2.6.1 The Question Stage Four Leaves Open</w:t>
      </w:r>
      <w:bookmarkEnd w:id="37"/>
    </w:p>
    <w:p>
      <w:pPr>
        <w:pStyle w:val="Normal"/>
        <w:jc w:val="both"/>
      </w:pPr>
      <w:r>
        <w:rPr>
          <w:szCs w:val="22"/>
          <w:lang w:val="en-US" w:eastAsia="en-US" w:bidi="ar-SA"/>
          <w:rFonts w:ascii="Times New Roman" w:hAnsi="Times New Roman" w:eastAsia="Times New Roman" w:cs="Times New Roman"/>
          <w:sz w:val="24"/>
        </w:rP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the adaptive-learning framework. The key distinction is evidential: Stage 3 evaluates participant-facing decoupling in a separate cohort, whereas the complete adaptive-learning framework remains to be evaluated prospectively.</w:t>
      </w:r>
    </w:p>
    <w:p>
      <w:pPr>
        <w:pStyle w:val="Heading3"/>
      </w:pPr>
      <w:bookmarkStart w:id="38" w:name="_Toc232024536"/>
      <w:r>
        <w:rPr>
          <w:color w:val="000000"/>
          <w:szCs w:val="22"/>
          <w:lang w:val="en-US" w:eastAsia="en-US" w:bidi="ar-SA"/>
        </w:rPr>
        <w:t>2.6.2 Productive Failure and Adaptive Learning</w:t>
      </w:r>
      <w:bookmarkEnd w:id="38"/>
    </w:p>
    <w:p>
      <w:pPr>
        <w:pStyle w:val="Normal"/>
        <w:jc w:val="both"/>
      </w:pPr>
      <w:r>
        <w:rPr>
          <w:szCs w:val="22"/>
          <w:lang w:val="en-US" w:eastAsia="en-US" w:bidi="ar-SA"/>
          <w:rFonts w:ascii="Times New Roman" w:hAnsi="Times New Roman" w:eastAsia="Times New Roman" w:cs="Times New Roman"/>
          <w:sz w:val="24"/>
        </w:rPr>
        <w:t>Kapur's (2008) productive-failure approach concerns an instructional sequence in which initially unsuccessful problem solving is followed by support and consolidation that can improve subsequent learning. This thesis borrows the proposition that an unsuccessful attempt can become useful information when followed by an appropriate learning opportunity; it does not claim to reproduce that instructional intervention. Adaptive learning can adjust challenge, feedback and pacing, but easier practice or improved immediate performance does not establish durable learning. Retention and transfer require separate evaluation (Soderstrom &amp; Bjork, 2015). A trajectory display is therefore proposed as a means of communicating evidence and next steps, rather than guaranteeing a rising curve.</w:t>
      </w:r>
    </w:p>
    <w:p>
      <w:pPr>
        <w:pStyle w:val="Heading3"/>
      </w:pPr>
      <w:bookmarkStart w:id="39" w:name="_Toc232024537"/>
      <w:r>
        <w:rPr>
          <w:color w:val="000000"/>
          <w:szCs w:val="22"/>
          <w:lang w:val="en-US" w:eastAsia="en-US" w:bidi="ar-SA"/>
        </w:rPr>
        <w:t>2.6.2A The Theoretical Lineage of Adaptive Learning</w:t>
      </w:r>
      <w:bookmarkEnd w:id="39"/>
    </w:p>
    <w:p>
      <w:pPr>
        <w:pStyle w:val="Normal"/>
        <w:jc w:val="both"/>
      </w:pPr>
      <w:r>
        <w:rPr>
          <w:szCs w:val="22"/>
          <w:lang w:val="en-US" w:eastAsia="en-US" w:bidi="ar-SA"/>
          <w:rFonts w:ascii="Times New Roman" w:hAnsi="Times New Roman" w:eastAsia="Times New Roman" w:cs="Times New Roman"/>
          <w:sz w:val="24"/>
        </w:rPr>
        <w:t>The adaptive-learning framework draws on four established traditions. Flow theory relates engagement to the relation between challenge and skill (Csikszentmihalyi, 1990). The 80 per cent and 40 per cent success thresholds specified for the Stage-2 difficulty system (§5.3.5; operational status per build in Appendix G, item G.0A) are engineering heuristics inspired by that relation, not thresholds derived from or validated as measures of flow. The zone of proximal development highlights the distinction between unaided capability and performance made possible by support (Vygotsky, 1978). Desirable difficulty shows why some practice conditions that depress immediate performance can support later learning, subject to the learner and task (Bjork &amp; Bjork, 2011). Intelligent tutoring research provides evidence for the value of detailed feedback and adaptive instruction in the domains studied (VanLehn, 2011). Together these traditions justify investigating calibrated support and feedback, while leaving their effectiveness in gamified FRA to be established.</w:t>
      </w:r>
    </w:p>
    <w:p>
      <w:pPr>
        <w:pStyle w:val="Normal"/>
        <w:jc w:val="both"/>
      </w:pPr>
      <w:r>
        <w:rPr>
          <w:szCs w:val="22"/>
          <w:lang w:val="en-US" w:eastAsia="en-US" w:bidi="ar-SA"/>
          <w:rFonts w:ascii="Times New Roman" w:hAnsi="Times New Roman" w:eastAsia="Times New Roman" w:cs="Times New Roman"/>
          <w:sz w:val="24"/>
        </w:rPr>
        <w:t>These traditions also expose the measurement problem at the centre of an adaptive system. When difficulty or assistance changes, a higher score may reflect changed conditions rather than improved capability; a lower score on a harder task may coexist with progress. The proposed framework therefore separates adaptive practice from periodic, comparable checks under a specified reference condition and from delayed retention or transfer checks (Soderstrom &amp; Bjork, 2015). Displays should identify the task version, difficulty and assistance associated with each result. If comparability is lost after a design change, a new phase should be shown rather than silently continuing a single improvement curve. This is a prospective engineering requirement developed in Chapter 7, not a retrospective validation of the current scores or a claim that the Stage-3 comparison tested adaptive learning.</w:t>
      </w:r>
    </w:p>
    <w:p>
      <w:pPr>
        <w:pStyle w:val="Normal"/>
        <w:jc w:val="both"/>
      </w:pPr>
      <w:r>
        <w:rPr>
          <w:szCs w:val="22"/>
          <w:lang w:val="en-US" w:eastAsia="en-US" w:bidi="ar-SA"/>
          <w:rFonts w:ascii="Times New Roman" w:hAnsi="Times New Roman" w:eastAsia="Times New Roman" w:cs="Times New Roman"/>
          <w:sz w:val="24"/>
        </w:rPr>
        <w:t>The same requirement is the reason the Stage-3B component study is reported descriptively rather than as a test of adaptive learning (§8.8): its learning measure was immediate task performance under changing conditions, which the framework itself distinguishes from a comparable check of durable capability.</w:t>
      </w:r>
    </w:p>
    <w:p>
      <w:pPr>
        <w:pStyle w:val="Heading3"/>
      </w:pPr>
      <w:r>
        <w:rPr>
          <w:color w:val="000000"/>
          <w:szCs w:val="22"/>
          <w:lang w:val="en-US" w:eastAsia="en-US" w:bidi="ar-SA"/>
        </w:rPr>
        <w:t>2.6.2B Self-Determination Theory and Goal-Setting as Motivational Scaffolding</w:t>
      </w:r>
    </w:p>
    <w:p>
      <w:pPr>
        <w:pStyle w:val="Normal"/>
        <w:jc w:val="both"/>
      </w:pPr>
      <w:r>
        <w:rPr>
          <w:szCs w:val="22"/>
          <w:lang w:val="en-US" w:eastAsia="en-US" w:bidi="ar-SA"/>
          <w:rFonts w:ascii="Times New Roman" w:hAnsi="Times New Roman" w:eastAsia="Times New Roman" w:cs="Times New Roman"/>
          <w:sz w:val="24"/>
        </w:rPr>
        <w:t>Self-determination theory (SDT) identifies competence and autonomy as important motivational needs (Deci &amp; Ryan, 1985; Ryan &amp; Deci, 2000). In the proposed framework, truthful feedback and meaningful choices are intended to support these needs; the effect depends on participants' interpretation rather than the designer's label. Goal-setting theory supports specific goals with appropriate commitment and feedback (Locke &amp; Latham, 2002), while distinctions between mastery and performance goals help clarify whether an attempt is understood as learning or demonstration of adequacy (Elliot &amp; Murayama, 2008). When innovation encounters difficulty, an attainable next action may involve additional practice, reduced assistance, a changed strategy, maintained capability or a revised service design. None requires presenting decline as improvement. Motivation-crowding research further cautions that poorly designed rewards can displace intrinsic motives (Frey &amp; Jegen, 2001). The learn-to-earn proposition consequently recognises evidenced effort and progress while preserving accurate feedback. These literatures support candidate responses to the deployment problem; they do not establish that adaptive learning uniquely resolves it.</w:t>
      </w:r>
    </w:p>
    <w:p>
      <w:pPr>
        <w:pStyle w:val="Heading3"/>
      </w:pPr>
      <w:r>
        <w:rPr>
          <w:color w:val="000000"/>
          <w:szCs w:val="22"/>
          <w:lang w:val="en-US" w:eastAsia="en-US" w:bidi="ar-SA"/>
        </w:rPr>
        <w:t>2.6.2C Zero-Failure Design: Non-Terminal Feedback as a Testable Component</w:t>
      </w:r>
    </w:p>
    <w:p>
      <w:pPr>
        <w:pStyle w:val="Normal"/>
        <w:jc w:val="both"/>
      </w:pPr>
      <w:r>
        <w:rPr>
          <w:szCs w:val="22"/>
          <w:lang w:val="en-US" w:eastAsia="en-US" w:bidi="ar-SA"/>
          <w:rFonts w:ascii="Times New Roman" w:hAnsi="Times New Roman" w:eastAsia="Times New Roman" w:cs="Times New Roman"/>
          <w:sz w:val="24"/>
        </w:rPr>
        <w:t>Zero-failure design is the thesis's term for a proposed interaction policy in which ordinary game errors do not produce a terminal failure verdict. A collision can trigger feedback, support or a change in challenge, while the user retains the option to pause or stop. This is an observation-informed component of the wider adaptive-learning framework, rather than a claim to have invented non-terminal games. The term concerns presentation: it does not mean that errors disappear, that every attempt succeeds, or that safety-related stopping conditions are removed. The intended contribution is to specify how recoverable difficulty and truthful feedback could support continued participation in this assessment context.</w:t>
      </w:r>
    </w:p>
    <w:p>
      <w:pPr>
        <w:pStyle w:val="Normal"/>
        <w:jc w:val="both"/>
      </w:pPr>
      <w:r>
        <w:rPr>
          <w:szCs w:val="22"/>
          <w:lang w:val="en-US" w:eastAsia="en-US" w:bidi="ar-SA"/>
          <w:rFonts w:ascii="Times New Roman" w:hAnsi="Times New Roman" w:eastAsia="Times New Roman" w:cs="Times New Roman"/>
          <w:sz w:val="24"/>
        </w:rPr>
        <w:t>This policy is compatible with Octalysis guidance that excessive loss-based motivation can produce demoralisation and exit (Beerda, 2015), rather than an inversion of a universal instruction to amplify loss. The clinically relevant hypothesis is that anticipated personal or assessment consequences may outweigh the in-game resources a designer controls. Non-terminal presentation might reduce one source of evaluative pressure, but it may have little effect if a participant is responding to discomfort, burden or unwanted consequences. Its incremental value should therefore be compared with ordinary coaching and other forms of support.</w:t>
      </w:r>
    </w:p>
    <w:p>
      <w:pPr>
        <w:pStyle w:val="Normal"/>
        <w:jc w:val="both"/>
      </w:pPr>
      <w:r>
        <w:rPr>
          <w:szCs w:val="26"/>
          <w:lang w:val="en-US" w:eastAsia="en-US" w:bidi="ar-SA"/>
          <w:rFonts w:ascii="Times New Roman" w:hAnsi="Times New Roman" w:eastAsia="Times New Roman" w:cs="Times New Roman"/>
          <w:sz w:val="24"/>
        </w:rPr>
        <w:t>The Stage-2 design softened in-game loss through lives and forgiving hit responses while retaining a conventional terminal Game Over (Table 5.0). Section 5.3.10 sets out a more extensive repertoire of recovery, mastery, narrative and reframe states. In this theoretical account, that repertoire is treated as a candidate policy whose full behavioural effectiveness remains untested. The Stage-3 comparison changed several aspects of delivery and context, so it does not identify the separate effect of removing terminal verdicts. Chapter 7 incorporates non-terminal feedback into the proposed framework. The Stage-3B component study, in which failure mode was one design factor, is recorded descriptively in §8.8 and Appendix I at a stated cut-off, with the reasons it is not used as a test of the framework; a controlled evaluation of non-terminal feedback remains future work.</w:t>
      </w:r>
    </w:p>
    <w:p>
      <w:pPr>
        <w:pStyle w:val="Heading3"/>
      </w:pPr>
      <w:r>
        <w:rPr>
          <w:color w:val="000000"/>
          <w:szCs w:val="28"/>
          <w:lang w:val="en-US" w:eastAsia="en-US" w:bidi="ar-SA"/>
        </w:rPr>
        <w:t>2.6.3 Endowment-Protective and Learning-Trajectory Appraisals as Competing Regimes</w:t>
      </w:r>
    </w:p>
    <w:p>
      <w:pPr>
        <w:pStyle w:val="Normal"/>
        <w:jc w:val="both"/>
      </w:pPr>
      <w:r>
        <w:rPr>
          <w:szCs w:val="26"/>
          <w:lang w:val="en-US" w:eastAsia="en-US" w:bidi="ar-SA"/>
          <w:rFonts w:ascii="Times New Roman" w:hAnsi="Times New Roman" w:eastAsia="Times New Roman" w:cs="Times New Roman"/>
          <w:sz w:val="24"/>
        </w:rPr>
        <w:t>The thesis proposes that protective and learning-oriented appraisals may compete or coexist when an adverse event occurs. A participant may compare the result with a valued self-description, with prior performance, or with an intended next step. The engineering objective is to make the latter comparison credible without dismissing the first concern. Credibility requires showing what changed in the task and what, if anything, changed under comparable conditions. A plateau can motivate maintenance or further investigation; a decline can prompt a review of support or goals. The display should therefore communicate evidence, uncertainty and an actionable response, rather than promise that a positive slope will always be available. The WTA–WTP implications remain hypotheses for direct elicitation.</w:t>
      </w:r>
    </w:p>
    <w:p>
      <w:pPr>
        <w:pStyle w:val="Heading3"/>
      </w:pPr>
      <w:r>
        <w:rPr>
          <w:color w:val="000000"/>
          <w:szCs w:val="28"/>
          <w:lang w:val="en-US" w:eastAsia="en-US" w:bidi="ar-SA"/>
        </w:rPr>
        <w:t>2.6.4 Why Decoupled Gameplay Is a Critical but Non-Definitive Empirical Test</w:t>
      </w:r>
    </w:p>
    <w:p>
      <w:pPr>
        <w:pStyle w:val="Normal"/>
        <w:jc w:val="both"/>
      </w:pPr>
      <w:r>
        <w:rPr>
          <w:szCs w:val="26"/>
          <w:lang w:val="en-US" w:eastAsia="en-US" w:bidi="ar-SA"/>
          <w:rFonts w:ascii="Times New Roman" w:hAnsi="Times New Roman" w:eastAsia="Times New Roman" w:cs="Times New Roman"/>
          <w:sz w:val="24"/>
        </w:rPr>
        <w:t>Stage 3 retained the skiing mechanic and session structure in a separate, distributable HTML build of the game (adding an in-game five-attempt counter), but not the pressure-panel apparatus or the supervised setting: the build was distributed by e-mail and played on participants' own computers with arrow keys or, where available, a foot-pad sensor, or, for some older participants, on a pre-installed iPad with an external keyboard (§6.4), while the package of participant-facing clinical cues was changed and a separate Hong Kong network cohort was recruited. It is therefore a between-cohort quasi-experimental decoupling comparison, not a single-variable experiment. Whether post-failure return differs when the same mechanics are decoupled from the clinical attachment is reported in Chapter 6. A difference in that direction would support the proposition that framing or related contextual features moderate post-failure return, but it does not isolate the effect of framing from all differences in cohort, setting, platform, input device, supervision, recruitment, prior exposure, staff interaction or observation window. Nor does it directly test the complete adaptive-learning framework.</w:t>
      </w:r>
    </w:p>
    <w:p>
      <w:pPr>
        <w:pStyle w:val="Normal"/>
        <w:jc w:val="both"/>
      </w:pPr>
      <w:r>
        <w:rPr>
          <w:szCs w:val="26"/>
          <w:lang w:val="en-US" w:eastAsia="en-US" w:bidi="ar-SA"/>
          <w:rFonts w:ascii="Times New Roman" w:hAnsi="Times New Roman" w:eastAsia="Times New Roman" w:cs="Times New Roman"/>
          <w:sz w:val="24"/>
        </w:rPr>
        <w:t>The five-stage chain therefore closes as an engineering argument, rather than a definitive causal test. Acceptance, continuance and gamification research identify factors relevant to participation. Self-efficacy and behavioural-science accounts suggest processes that may contribute to non-return. The separate Stage-3 deployment provides a contrasting engagement pattern consistent with several contextual explanations. The proposed adaptive-learning framework converts these observations into a prospective improvement cycle: recognise difficulty, select a justified change, preserve evidence of the conditions under which performance was measured, and evaluate the result. This domain-specific integration links the thesis's gamification focus to continuous improvement and innovation enhancement while preserving the distinction between observed outcomes and intended benefits.</w:t>
      </w:r>
    </w:p>
    <w:p>
      <w:pPr>
        <w:pStyle w:val="Heading2"/>
      </w:pPr>
      <w:bookmarkStart w:id="40" w:name="_Toc232024540"/>
      <w:r>
        <w:rPr>
          <w:lang w:val="en-US" w:eastAsia="en-US" w:bidi="ar-SA"/>
          <w:color w:val="000000"/>
          <w:szCs w:val="22"/>
        </w:rPr>
        <w:t>2.7 Supporting Evidence and Adjacent Frameworks</w:t>
      </w:r>
      <w:bookmarkEnd w:id="40"/>
    </w:p>
    <w:p>
      <w:pPr>
        <w:pStyle w:val="Heading3"/>
      </w:pPr>
      <w:bookmarkStart w:id="41" w:name="_Toc232024541"/>
      <w:r>
        <w:rPr>
          <w:color w:val="000000"/>
          <w:szCs w:val="28"/>
          <w:lang w:val="en-US" w:eastAsia="en-US" w:bidi="ar-SA"/>
        </w:rPr>
        <w:t>2.7.1 Gamification for Older Adults: The Koivisto and Malik Review</w:t>
      </w:r>
      <w:bookmarkEnd w:id="41"/>
    </w:p>
    <w:p>
      <w:pPr>
        <w:pStyle w:val="Normal"/>
        <w:jc w:val="both"/>
      </w:pPr>
      <w:r>
        <w:rPr>
          <w:szCs w:val="26"/>
          <w:lang w:val="en-US" w:eastAsia="en-US" w:bidi="ar-SA"/>
          <w:rFonts w:ascii="Times New Roman" w:hAnsi="Times New Roman" w:eastAsia="Times New Roman" w:cs="Times New Roman"/>
          <w:sz w:val="24"/>
        </w:rPr>
        <w:t>Koivisto and Malik's (2021) systematic review identifies an emerging evidence base for gamification with older adults, with variation in design, theoretical grounding and evaluation. Sustained use is a relevant concern alongside short-term engagement, and Eysenbach's (2005) account of nonusage attrition provides a complementary basis for treating discontinuance as an outcome requiring explanation. The present programme contributes a detailed local deployment account and a comparison across differing delivery contexts. Its integrated theoretical framework is intended to guide further evaluation; the completeness and strength of each empirical inference are assessed in the relevant methods and results chapters.</w:t>
      </w:r>
    </w:p>
    <w:p>
      <w:pPr>
        <w:pStyle w:val="Normal"/>
        <w:jc w:val="both"/>
      </w:pPr>
      <w:r>
        <w:rPr>
          <w:szCs w:val="26"/>
          <w:lang w:val="en-US" w:eastAsia="en-US" w:bidi="ar-SA"/>
          <w:rFonts w:ascii="Times New Roman" w:hAnsi="Times New Roman" w:eastAsia="Times New Roman" w:cs="Times New Roman"/>
          <w:sz w:val="24"/>
        </w:rPr>
        <w:t>Altmeyer, Lessel and Krüger (2018) examined gamification with older users, reinforcing the importance of understanding the target population rather than assuming that preferences transfer unchanged from younger groups. Such evidence supports context-sensitive design, while leaving open which combination of challenge, support and framing is appropriate for the present clinical assessment service.</w:t>
      </w:r>
    </w:p>
    <w:p>
      <w:pPr>
        <w:pStyle w:val="Heading3"/>
      </w:pPr>
      <w:bookmarkStart w:id="42" w:name="_Toc232024542"/>
      <w:bookmarkEnd w:id="42"/>
      <w:r>
        <w:rPr>
          <w:color w:val="000000"/>
          <w:szCs w:val="28"/>
          <w:lang w:val="en-US" w:eastAsia="en-US" w:bidi="ar-SA"/>
        </w:rPr>
        <w:t>2.7.2 The NASSS Framework: A Complementary Multilevel Account</w:t>
      </w:r>
    </w:p>
    <w:p>
      <w:pPr>
        <w:pStyle w:val="Normal"/>
        <w:jc w:val="both"/>
      </w:pPr>
      <w:r>
        <w:rPr>
          <w:szCs w:val="26"/>
          <w:lang w:val="en-US" w:eastAsia="en-US" w:bidi="ar-SA"/>
          <w:rFonts w:ascii="Times New Roman" w:hAnsi="Times New Roman" w:eastAsia="Times New Roman" w:cs="Times New Roman"/>
          <w:sz w:val="24"/>
        </w:rPr>
        <w:t>Greenhalgh et al. (2017) developed the Non-Adoption, Abandonment, Scale-up, Spread and Sustainability (NASSS) framework to explain difficulties across interacting domains: condition, technology, value proposition, adopter system, organisation, wider context, and embedding over time. This multilevel account directs attention to demands, roles and circumstances that can shape continued use. The human-computer-interaction literature likewise treats non-use as meaningful behaviour (Satchell &amp; Dourish, 2009). The present thesis proposes a narrower, provisional appraisal pathway within this broader setting. It complements NASSS by specifying an event-level design question, while recognising that a response confined to the interface may be insufficient when organisational or practical conditions account for non-return.</w:t>
      </w:r>
    </w:p>
    <w:p>
      <w:pPr>
        <w:pStyle w:val="Heading3"/>
      </w:pPr>
      <w:bookmarkStart w:id="43" w:name="_Toc232024543"/>
      <w:r>
        <w:rPr>
          <w:color w:val="000000"/>
          <w:szCs w:val="28"/>
          <w:lang w:val="en-US" w:eastAsia="en-US" w:bidi="ar-SA"/>
        </w:rPr>
        <w:t>2.7.3 Cross-Cultural Reference: The Korean Comparison</w:t>
      </w:r>
      <w:bookmarkEnd w:id="43"/>
    </w:p>
    <w:p>
      <w:pPr>
        <w:pStyle w:val="Normal"/>
        <w:jc w:val="both"/>
      </w:pPr>
      <w:r>
        <w:rPr>
          <w:szCs w:val="26"/>
          <w:lang w:val="en-US" w:eastAsia="en-US" w:bidi="ar-SA"/>
          <w:rFonts w:ascii="Times New Roman" w:hAnsi="Times New Roman" w:eastAsia="Times New Roman" w:cs="Times New Roman"/>
          <w:sz w:val="24"/>
        </w:rPr>
        <w:t>Park et al. (2019) and Kim et al. (2018) provide measurement-related reference points for the FRA platform in Korea. Their validation and reliability findings should not be interpreted as evidence of sustained engagement, which is a different outcome. Neither provides an engagement benchmark used in this thesis. Whether other implementations use different support, framing or coaching remains an open question for comparative fieldwork.</w:t>
      </w:r>
    </w:p>
    <w:p>
      <w:pPr>
        <w:pStyle w:val="Heading3"/>
      </w:pPr>
      <w:bookmarkStart w:id="44" w:name="_Toc232024544"/>
      <w:r>
        <w:rPr>
          <w:color w:val="000000"/>
          <w:szCs w:val="28"/>
          <w:lang w:val="en-US" w:eastAsia="en-US" w:bidi="ar-SA"/>
        </w:rPr>
        <w:t>2.7.4 Information Entropy as a Bridge Lens</w:t>
      </w:r>
      <w:bookmarkEnd w:id="44"/>
    </w:p>
    <w:p>
      <w:pPr>
        <w:pStyle w:val="Normal"/>
        <w:jc w:val="both"/>
      </w:pPr>
      <w:r>
        <w:rPr>
          <w:szCs w:val="26"/>
          <w:lang w:val="en-US" w:eastAsia="en-US" w:bidi="ar-SA"/>
          <w:rFonts w:ascii="Times New Roman" w:hAnsi="Times New Roman" w:eastAsia="Times New Roman" w:cs="Times New Roman"/>
          <w:sz w:val="24"/>
        </w:rP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pPr>
        <w:jc w:val="both"/>
      </w:pPr>
      <w:r>
        <w:t>Expectation-confirmation theory explains continuance through satisfaction and perceived usefulness, with confirmation shaping those evaluations (Bhattacherjee, 2001). A person can regard an assessment as useful yet remain dissatisfied with the experience; value-affirming non-use therefore does not refute that model. Medical-information avoidance is an equally close comparator. Howell and Shepperd (2012) found that self-affirmation reduced avoidance of medical risk feedback, including when feedback could imply unwanted action. Their experiments show that self-related concerns and anticipated consequences can affect willingness to receive useful health information, and suggest responses beyond adaptive learning. The present contribution is narrower: a contextual account of non-return following gamified assessment and an engineering response designed around that encounter. Any explanatory increment requires testing whether the proposed appraisals predict return beyond satisfaction, perceived capability, burden, usefulness and consequence avoidance.</w:t>
      </w:r>
    </w:p>
    <w:p>
      <w:pPr>
        <w:pStyle w:val="Heading2"/>
      </w:pPr>
      <w:bookmarkStart w:id="45" w:name="_Toc232024545"/>
      <w:r>
        <w:rPr>
          <w:lang w:val="en-US" w:eastAsia="en-US" w:bidi="ar-SA"/>
          <w:color w:val="000000"/>
          <w:szCs w:val="22"/>
        </w:rPr>
        <w:t>2.8 Synthesis: The Five-Stage Transformative Argument</w:t>
      </w:r>
      <w:bookmarkEnd w:id="45"/>
    </w:p>
    <w:p>
      <w:pPr>
        <w:pStyle w:val="Normal"/>
        <w:jc w:val="both"/>
      </w:pPr>
      <w:r>
        <w:rPr>
          <w:szCs w:val="26"/>
          <w:lang w:val="en-US" w:eastAsia="en-US" w:bidi="ar-SA"/>
          <w:rFonts w:ascii="Times New Roman" w:hAnsi="Times New Roman" w:eastAsia="Times New Roman" w:cs="Times New Roman"/>
          <w:sz w:val="24"/>
        </w:rPr>
        <w:t>The chapter's argument has five steps. First, acceptance and gamification research motivate an expectation that an accessible, engaging assessment interaction can support continued use. Second, the Stage-2 deployment did not realise that expectation, prompting examination of the conditions surrounding disengagement. Third, self-efficacy, satisfaction-based continuance and information avoidance remain plausible explanations for the divergence between recorded performance and return. Fourth, the behavioural perspectives in Table 2.1 organise additional, testable appraisal hypotheses. Fifth, those hypotheses and the contrasting Stage-3 experience motivate a domain-specific adaptive-learning framework: calibrated practice, non-terminal feedback, appropriate contextual framing, and credible evidence of change. Adaptive learning is inherited from established traditions; the proposed contribution is its integration into a proactive improvement process for this service. Chapter 7 specifies that process, including how to evaluate progress when challenge or design changes. Its effects on sustained appropriate use, learning and clinical outcomes require prospective evaluation.</w:t>
      </w:r>
    </w:p>
    <w:p>
      <w:pPr>
        <w:pStyle w:val="Normal"/>
        <w:jc w:val="both"/>
      </w:pPr>
      <w:r>
        <w:rPr>
          <w:szCs w:val="26"/>
          <w:lang w:val="en-US" w:eastAsia="en-US" w:bidi="ar-SA"/>
          <w:rFonts w:ascii="Times New Roman" w:hAnsi="Times New Roman" w:eastAsia="Times New Roman" w:cs="Times New Roman"/>
          <w:sz w:val="24"/>
        </w:rPr>
        <w:t>No single stage establishes the complete argument. The completed programme contributes an informative deployment shortfall, a contrasting pattern of engagement in a separate setting, and a specification of how design could respond to difficulty. Its innovation contribution lies in the resulting contextual design knowledge and testable system requirements. Continuous improvement is documented at the level of problem understanding and iterative design development; sustained gains in participant capability or service performance remain intended outcomes. The theoretical mechanisms and the framework's effectiveness are consequently stated as propositions that direct measurement and appropriately controlled comparisons can challenge.</w:t>
      </w:r>
    </w:p>
    <w:p>
      <w:pPr>
        <w:pStyle w:val="Normal"/>
        <w:spacing w:after="0" w:line="240" w:lineRule="auto"/>
        <w:rPr>
          <w:rFonts w:asciiTheme="majorHAnsi" w:eastAsiaTheme="majorEastAsia" w:hAnsiTheme="majorHAnsi" w:cstheme="majorBidi"/>
          <w:b/>
          <w:bCs/>
          <w:color w:val="000000"/>
          <w:sz w:val="32"/>
          <w:szCs w:val="28"/>
        </w:rPr>
      </w:pPr>
      <w:bookmarkStart w:id="46" w:name="_Toc232024546"/>
      <w:r>
        <w:rPr>
          <w:rFonts w:asciiTheme="majorHAnsi" w:eastAsiaTheme="majorEastAsia" w:hAnsiTheme="majorHAnsi" w:cstheme="majorBidi"/>
          <w:b/>
          <w:color w:val="000000"/>
          <w:sz w:val="2"/>
          <w:szCs w:val="28"/>
        </w:rPr>
      </w:r>
    </w:p>
    <w:p>
      <w:pPr/>
      <w:r>
        <w:t>Two tables condense this synthesis. Table 2.2 states, for each stage of the review, what the literature establishes, the question it leaves open, and where the research programme takes that question up. Table 2.3 then reverses the direction of reading: it lists each empirical activity of the programme and traces it back to the literature stage it tests. Together they are the analytical map of this chapter; the prose above supplies the argument behind each row.</w:t>
      </w:r>
    </w:p>
    <w:p>
      <w:pPr>
        <w:sectPr w:rsidR="0062437E" w:rsidSect="00034616">
          <w:footerReference w:type="default" r:id="rId22"/>
          <w:pgSz w:w="11906" w:h="16838"/>
          <w:pgMar w:top="1417" w:right="1417" w:bottom="1417" w:left="1984" w:header="720" w:footer="720" w:gutter="0"/>
          <w:pgNumType w:fmt="decimal" w:start="1"/>
          <w:cols w:space="720"/>
          <w:docGrid w:linePitch="360"/>
        </w:sectPr>
      </w:pPr>
    </w:p>
    <w:p>
      <w:pPr>
        <w:pStyle w:val="FigureCaption"/>
        <w:keepNext/>
        <w:keepLines/>
        <w:jc w:val="center"/>
      </w:pPr>
      <w:r>
        <w:t>Table 2.2. The five-stage literature journey: what each stage establishes, the question it leaves open, and where the programme takes it up.</w:t>
      </w:r>
    </w:p>
    <w:tbl>
      <w:tblPr>
        <w:tblStyle w:val="TableGrid"/>
        <w:tblW w:w="13437" w:type="dxa"/>
        <w:tblLayout w:type="fixed"/>
        <w:tblLook w:firstColumn="1" w:firstRow="1" w:lastColumn="0" w:lastRow="0" w:noHBand="0" w:noVBand="1" w:val="04A0"/>
      </w:tblPr>
      <w:tblGrid>
        <w:gridCol w:w="1737"/>
        <w:gridCol w:w="2905"/>
        <w:gridCol w:w="3196"/>
        <w:gridCol w:w="2827"/>
        <w:gridCol w:w="2772"/>
      </w:tblGrid>
      <w:tr>
        <w:trPr>
          <w:tblHeader/>
          <w:cantSplit/>
        </w:trPr>
        <w:tc>
          <w:tcPr>
            <w:tcW w:w="1737" w:type="dxa"/>
          </w:tcPr>
          <w:p>
            <w:pPr>
              <w:keepNext w:val="0"/>
              <w:keepLines/>
            </w:pPr>
            <w:r>
              <w:rPr>
                <w:rFonts w:ascii="Times New Roman" w:hAnsi="Times New Roman"/>
                <w:b/>
                <w:sz w:val="18"/>
              </w:rPr>
              <w:t>Literature stage</w:t>
            </w:r>
          </w:p>
        </w:tc>
        <w:tc>
          <w:tcPr>
            <w:tcW w:w="2905" w:type="dxa"/>
          </w:tcPr>
          <w:p>
            <w:pPr>
              <w:keepNext w:val="0"/>
              <w:keepLines/>
            </w:pPr>
            <w:r>
              <w:rPr>
                <w:rFonts w:ascii="Times New Roman" w:hAnsi="Times New Roman"/>
                <w:b/>
                <w:sz w:val="18"/>
              </w:rPr>
              <w:t>Core sources</w:t>
            </w:r>
          </w:p>
        </w:tc>
        <w:tc>
          <w:tcPr>
            <w:tcW w:w="3196" w:type="dxa"/>
          </w:tcPr>
          <w:p>
            <w:pPr>
              <w:keepNext w:val="0"/>
              <w:keepLines/>
            </w:pPr>
            <w:r>
              <w:rPr>
                <w:rFonts w:ascii="Times New Roman" w:hAnsi="Times New Roman"/>
                <w:b/>
                <w:sz w:val="18"/>
              </w:rPr>
              <w:t>What it establishes</w:t>
            </w:r>
          </w:p>
        </w:tc>
        <w:tc>
          <w:tcPr>
            <w:tcW w:w="2827" w:type="dxa"/>
          </w:tcPr>
          <w:p>
            <w:pPr>
              <w:keepNext w:val="0"/>
              <w:keepLines/>
            </w:pPr>
            <w:r>
              <w:rPr>
                <w:rFonts w:ascii="Times New Roman" w:hAnsi="Times New Roman"/>
                <w:b/>
                <w:sz w:val="18"/>
              </w:rPr>
              <w:t>The question it leaves open</w:t>
            </w:r>
          </w:p>
        </w:tc>
        <w:tc>
          <w:tcPr>
            <w:tcW w:w="2772" w:type="dxa"/>
          </w:tcPr>
          <w:p>
            <w:pPr>
              <w:keepNext w:val="0"/>
              <w:keepLines/>
            </w:pPr>
            <w:r>
              <w:rPr>
                <w:rFonts w:ascii="Times New Roman" w:hAnsi="Times New Roman"/>
                <w:b/>
                <w:sz w:val="18"/>
              </w:rPr>
              <w:t>Where the programme takes it up</w:t>
            </w:r>
          </w:p>
        </w:tc>
      </w:tr>
      <w:tr>
        <w:trPr>
          <w:cantSplit/>
        </w:trPr>
        <w:tc>
          <w:tcPr>
            <w:tcW w:w="1737" w:type="dxa"/>
          </w:tcPr>
          <w:p>
            <w:r>
              <w:t>One — Technology acceptance lineage</w:t>
            </w:r>
          </w:p>
        </w:tc>
        <w:tc>
          <w:tcPr>
            <w:tcW w:w="2905" w:type="dxa"/>
          </w:tcPr>
          <w:p>
            <w:r>
              <w:t>Davis (1989); TAM2/TAM3/UTAUT; Chen &amp; Chan (2014)</w:t>
            </w:r>
          </w:p>
        </w:tc>
        <w:tc>
          <w:tcPr>
            <w:tcW w:w="3196" w:type="dxa"/>
          </w:tcPr>
          <w:p>
            <w:r>
              <w:t>Users' perceptions, capabilities and circumstances help explain intention and use; STAM includes usage</w:t>
            </w:r>
          </w:p>
        </w:tc>
        <w:tc>
          <w:tcPr>
            <w:tcW w:w="2827" w:type="dxa"/>
          </w:tcPr>
          <w:p>
            <w:r>
              <w:t>Whether event-specific appraisal adds explanatory value after an adverse assessment encounter</w:t>
            </w:r>
          </w:p>
        </w:tc>
        <w:tc>
          <w:tcPr>
            <w:tcW w:w="2772" w:type="dxa"/>
          </w:tcPr>
          <w:p>
            <w:r>
              <w:t>Initial design expectation H0 (§2.3.5); Stage-1 constructs (Chapter 4)</w:t>
            </w:r>
          </w:p>
        </w:tc>
      </w:tr>
      <w:tr>
        <w:trPr>
          <w:cantSplit/>
        </w:trPr>
        <w:tc>
          <w:tcPr>
            <w:tcW w:w="1737" w:type="dxa"/>
          </w:tcPr>
          <w:p>
            <w:r>
              <w:t>Two — Gamification and Octalysis</w:t>
            </w:r>
          </w:p>
        </w:tc>
        <w:tc>
          <w:tcPr>
            <w:tcW w:w="2905" w:type="dxa"/>
          </w:tcPr>
          <w:p>
            <w:r>
              <w:t>Deterding et al. (2011); Chou (2015); An, Cheung &amp; Willoughby (2024); An, Cheung &amp; Lo (2025)</w:t>
            </w:r>
          </w:p>
        </w:tc>
        <w:tc>
          <w:tcPr>
            <w:tcW w:w="3196" w:type="dxa"/>
          </w:tcPr>
          <w:p>
            <w:r>
              <w:t>Selected studies support gains in knowledge and adoption intention; Octalysis supplies design guidance</w:t>
            </w:r>
          </w:p>
        </w:tc>
        <w:tc>
          <w:tcPr>
            <w:tcW w:w="2827" w:type="dxa"/>
          </w:tcPr>
          <w:p>
            <w:r>
              <w:t>How these findings transfer to sustained use in a clinically framed FRA service (§2.3.4)</w:t>
            </w:r>
          </w:p>
        </w:tc>
        <w:tc>
          <w:tcPr>
            <w:tcW w:w="2772" w:type="dxa"/>
          </w:tcPr>
          <w:p>
            <w:r>
              <w:t>Initial design expectation H0; intended Stage-2 design features (Chapter 5)</w:t>
            </w:r>
          </w:p>
        </w:tc>
      </w:tr>
      <w:tr>
        <w:trPr>
          <w:cantSplit/>
        </w:trPr>
        <w:tc>
          <w:tcPr>
            <w:tcW w:w="1737" w:type="dxa"/>
          </w:tcPr>
          <w:p>
            <w:r>
              <w:t>Three — Self-efficacy</w:t>
            </w:r>
          </w:p>
        </w:tc>
        <w:tc>
          <w:tcPr>
            <w:tcW w:w="2905" w:type="dxa"/>
          </w:tcPr>
          <w:p>
            <w:r>
              <w:t>Bandura (1977, 1997); Hawthorn (2007); Broady, Chan &amp; Caputi (2010); Tsai et al. (2020)</w:t>
            </w:r>
          </w:p>
        </w:tc>
        <w:tc>
          <w:tcPr>
            <w:tcW w:w="3196" w:type="dxa"/>
          </w:tcPr>
          <w:p>
            <w:r>
              <w:t>Perceived capability and anxiety can affect engagement; score change need not equal mastery</w:t>
            </w:r>
          </w:p>
        </w:tc>
        <w:tc>
          <w:tcPr>
            <w:tcW w:w="2827" w:type="dxa"/>
          </w:tcPr>
          <w:p>
            <w:r>
              <w:t>Whether perceived capability explains non-return alongside favourable recorded score change (§2.4.4)</w:t>
            </w:r>
          </w:p>
        </w:tc>
        <w:tc>
          <w:tcPr>
            <w:tcW w:w="2772" w:type="dxa"/>
          </w:tcPr>
          <w:p>
            <w:r>
              <w:t>First diagnostic layer for reading the engagement data (Chapters 5–6)</w:t>
            </w:r>
          </w:p>
        </w:tc>
      </w:tr>
      <w:tr>
        <w:trPr>
          <w:cantSplit/>
        </w:trPr>
        <w:tc>
          <w:tcPr>
            <w:tcW w:w="1737" w:type="dxa"/>
          </w:tcPr>
          <w:p>
            <w:r>
              <w:t>Four — Behavioural science</w:t>
            </w:r>
          </w:p>
        </w:tc>
        <w:tc>
          <w:tcPr>
            <w:tcW w:w="2905" w:type="dxa"/>
          </w:tcPr>
          <w:p>
            <w:r>
              <w:t>Kahneman &amp; Tversky (1979); Thaler (1985); Steele &amp; Aronson (1995)</w:t>
            </w:r>
          </w:p>
        </w:tc>
        <w:tc>
          <w:tcPr>
            <w:tcW w:w="3196" w:type="dxa"/>
          </w:tcPr>
          <w:p>
            <w:r>
              <w:t>Distinct candidate operators concerning reference points, valuation, account assignment and stereotype salience</w:t>
            </w:r>
          </w:p>
        </w:tc>
        <w:tc>
          <w:tcPr>
            <w:tcW w:w="2827" w:type="dxa"/>
          </w:tcPr>
          <w:p>
            <w:r>
              <w:t>Whether these operators add explanation beyond competence, satisfaction and information avoidance</w:t>
            </w:r>
          </w:p>
        </w:tc>
        <w:tc>
          <w:tcPr>
            <w:tcW w:w="2772" w:type="dxa"/>
          </w:tcPr>
          <w:p>
            <w:r>
              <w:t>The candidate account of failure-associated non-return (Table 2.1); developed further in Chapter 5</w:t>
            </w:r>
          </w:p>
        </w:tc>
      </w:tr>
      <w:tr>
        <w:trPr>
          <w:cantSplit/>
        </w:trPr>
        <w:tc>
          <w:tcPr>
            <w:tcW w:w="1737" w:type="dxa"/>
          </w:tcPr>
          <w:p>
            <w:r>
              <w:t>Five — Design responses</w:t>
            </w:r>
          </w:p>
        </w:tc>
        <w:tc>
          <w:tcPr>
            <w:tcW w:w="2905" w:type="dxa"/>
          </w:tcPr>
          <w:p>
            <w:r>
              <w:t>Kapur (2008); learning traditions (§2.6.2A); SDT and goal-setting (§2.6.2B); non-terminal feedback (§2.6.2C)</w:t>
            </w:r>
          </w:p>
        </w:tc>
        <w:tc>
          <w:tcPr>
            <w:tcW w:w="3196" w:type="dxa"/>
          </w:tcPr>
          <w:p>
            <w:r>
              <w:t>Structured support, calibrated practice and feedback motivate testable responses to difficulty</w:t>
            </w:r>
          </w:p>
        </w:tc>
        <w:tc>
          <w:tcPr>
            <w:tcW w:w="2827" w:type="dxa"/>
          </w:tcPr>
          <w:p>
            <w:r>
              <w:t>Whether these responses support sustained appropriate use and credible learning under changing task conditions</w:t>
            </w:r>
          </w:p>
        </w:tc>
        <w:tc>
          <w:tcPr>
            <w:tcW w:w="2772" w:type="dxa"/>
          </w:tcPr>
          <w:p>
            <w:r>
              <w:t>Stage-3 contextual comparison (Chapter 6); adaptive-learning framework and comparable progress checks (Chapter 7); Stage-3B component-study record and future-study specification (§8.8)</w:t>
            </w:r>
          </w:p>
        </w:tc>
      </w:tr>
      <w:tr>
        <w:trPr>
          <w:cantSplit/>
        </w:trPr>
        <w:tc>
          <w:tcPr>
            <w:tcW w:w="1737" w:type="dxa"/>
          </w:tcPr>
          <w:p>
            <w:r>
              <w:t>Supporting evidence and adjacent frameworks</w:t>
            </w:r>
          </w:p>
        </w:tc>
        <w:tc>
          <w:tcPr>
            <w:tcW w:w="2905" w:type="dxa"/>
          </w:tcPr>
          <w:p>
            <w:r>
              <w:t>Koivisto &amp; Malik (2021); Greenhalgh et al. (2017); Bhattacherjee (2001); Howell &amp; Shepperd (2012); Shannon (1948)</w:t>
            </w:r>
          </w:p>
        </w:tc>
        <w:tc>
          <w:tcPr>
            <w:tcW w:w="3196" w:type="dxa"/>
          </w:tcPr>
          <w:p>
            <w:r>
              <w:t>Older-adult intervention evidence; multilevel abandonment, continuance and information-avoidance accounts; a metaphor for future measurement</w:t>
            </w:r>
          </w:p>
        </w:tc>
        <w:tc>
          <w:tcPr>
            <w:tcW w:w="2827" w:type="dxa"/>
          </w:tcPr>
          <w:p>
            <w:r>
              <w:t>How event-level appraisals and service conditions jointly shape this assessment encounter</w:t>
            </w:r>
          </w:p>
        </w:tc>
        <w:tc>
          <w:tcPr>
            <w:tcW w:w="2772" w:type="dxa"/>
          </w:tcPr>
          <w:p>
            <w:r>
              <w:t>Competing and complementary explanations; prospective measurement (Chapters 7–8)</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FigureCaption"/>
        <w:keepNext/>
        <w:keepLines/>
        <w:jc w:val="center"/>
      </w:pPr>
      <w:r>
        <w:t>Table 2.3. From literature to research design: each empirical activity read against the literature stage it tests. Chapter pointers only; findings are reported in the chapters named.</w:t>
      </w:r>
    </w:p>
    <w:tbl>
      <w:tblPr>
        <w:tblStyle w:val="TableGrid"/>
        <w:tblW w:w="8505" w:type="dxa"/>
        <w:tblLayout w:type="fixed"/>
        <w:tblLook w:firstColumn="1" w:firstRow="1" w:lastColumn="0" w:lastRow="0" w:noHBand="0" w:noVBand="1" w:val="04A0"/>
      </w:tblPr>
      <w:tblGrid>
        <w:gridCol w:w="1881"/>
        <w:gridCol w:w="2467"/>
        <w:gridCol w:w="2199"/>
        <w:gridCol w:w="1958"/>
      </w:tblGrid>
      <w:tr>
        <w:trPr>
          <w:tblHeader/>
          <w:cantSplit/>
        </w:trPr>
        <w:tc>
          <w:tcPr>
            <w:tcW w:w="1881" w:type="dxa"/>
          </w:tcPr>
          <w:p>
            <w:pPr>
              <w:keepNext w:val="0"/>
              <w:keepLines/>
            </w:pPr>
            <w:r>
              <w:rPr>
                <w:rFonts w:ascii="Times New Roman" w:hAnsi="Times New Roman"/>
                <w:b/>
                <w:sz w:val="18"/>
              </w:rPr>
              <w:t>Research activity</w:t>
            </w:r>
          </w:p>
        </w:tc>
        <w:tc>
          <w:tcPr>
            <w:tcW w:w="2467" w:type="dxa"/>
          </w:tcPr>
          <w:p>
            <w:pPr>
              <w:keepNext w:val="0"/>
              <w:keepLines/>
            </w:pPr>
            <w:r>
              <w:rPr>
                <w:rFonts w:ascii="Times New Roman" w:hAnsi="Times New Roman"/>
                <w:b/>
                <w:sz w:val="18"/>
              </w:rPr>
              <w:t>Question carried from the literature</w:t>
            </w:r>
          </w:p>
        </w:tc>
        <w:tc>
          <w:tcPr>
            <w:tcW w:w="2199" w:type="dxa"/>
          </w:tcPr>
          <w:p>
            <w:pPr>
              <w:keepNext w:val="0"/>
              <w:keepLines/>
            </w:pPr>
            <w:r>
              <w:rPr>
                <w:rFonts w:ascii="Times New Roman" w:hAnsi="Times New Roman"/>
                <w:b/>
                <w:sz w:val="18"/>
              </w:rPr>
              <w:t>What is instrumented</w:t>
            </w:r>
          </w:p>
        </w:tc>
        <w:tc>
          <w:tcPr>
            <w:tcW w:w="1958" w:type="dxa"/>
          </w:tcPr>
          <w:p>
            <w:pPr>
              <w:keepNext w:val="0"/>
              <w:keepLines/>
            </w:pPr>
            <w:r>
              <w:rPr>
                <w:rFonts w:ascii="Times New Roman" w:hAnsi="Times New Roman"/>
                <w:b/>
                <w:sz w:val="18"/>
              </w:rPr>
              <w:t>Literature stage it informs</w:t>
            </w:r>
          </w:p>
        </w:tc>
      </w:tr>
      <w:tr>
        <w:trPr>
          <w:cantSplit/>
        </w:trPr>
        <w:tc>
          <w:tcPr>
            <w:tcW w:w="1881" w:type="dxa"/>
          </w:tcPr>
          <w:p>
            <w:r>
              <w:t>Stage 1 — retrospective survey (Chapter 4)</w:t>
            </w:r>
          </w:p>
        </w:tc>
        <w:tc>
          <w:tcPr>
            <w:tcW w:w="2467" w:type="dxa"/>
          </w:tcPr>
          <w:p>
            <w:r>
              <w:t>How do prior FRA users describe first experiences and subsequent return?</w:t>
            </w:r>
          </w:p>
        </w:tc>
        <w:tc>
          <w:tcPr>
            <w:tcW w:w="2199" w:type="dxa"/>
          </w:tcPr>
          <w:p>
            <w:r>
              <w:t>Prior use, adverse-experience recall and reported return behaviour</w:t>
            </w:r>
          </w:p>
        </w:tc>
        <w:tc>
          <w:tcPr>
            <w:tcW w:w="1958" w:type="dxa"/>
          </w:tcPr>
          <w:p>
            <w:r>
              <w:t>Stages one–two; context for the initial expectation H0</w:t>
            </w:r>
          </w:p>
        </w:tc>
      </w:tr>
      <w:tr>
        <w:trPr>
          <w:cantSplit/>
        </w:trPr>
        <w:tc>
          <w:tcPr>
            <w:tcW w:w="1881" w:type="dxa"/>
          </w:tcPr>
          <w:p>
            <w:r>
              <w:t>Stage 2 — gamified FRA deployment (Chapter 5)</w:t>
            </w:r>
          </w:p>
        </w:tc>
        <w:tc>
          <w:tcPr>
            <w:tcW w:w="2467" w:type="dxa"/>
          </w:tcPr>
          <w:p>
            <w:r>
              <w:t>Does the implemented acceptance-informed, game-based FRA sustain participation at the assessment site?</w:t>
            </w:r>
          </w:p>
        </w:tc>
        <w:tc>
          <w:tcPr>
            <w:tcW w:w="2199" w:type="dxa"/>
          </w:tcPr>
          <w:p>
            <w:r>
              <w:t>Hand-recorded play record (completed game cycles and pre/post recorded FRA index; the software's electronic session telemetry was not kept, §8.9), satisfaction and self-report</w:t>
            </w:r>
          </w:p>
        </w:tc>
        <w:tc>
          <w:tcPr>
            <w:tcW w:w="1958" w:type="dxa"/>
          </w:tcPr>
          <w:p>
            <w:r>
              <w:t>Stages one–two; stage three offers a competing explanation</w:t>
            </w:r>
          </w:p>
        </w:tc>
      </w:tr>
      <w:tr>
        <w:trPr>
          <w:cantSplit/>
        </w:trPr>
        <w:tc>
          <w:tcPr>
            <w:tcW w:w="1881" w:type="dxa"/>
          </w:tcPr>
          <w:p>
            <w:r>
              <w:t>Stage 3 — participant-facing decoupling (Chapter 6)</w:t>
            </w:r>
          </w:p>
        </w:tc>
        <w:tc>
          <w:tcPr>
            <w:tcW w:w="2467" w:type="dxa"/>
          </w:tcPr>
          <w:p>
            <w:r>
              <w:t>How does engagement differ in the separate remote gameplay context, and which explanations merit controlled testing?</w:t>
            </w:r>
          </w:p>
        </w:tc>
        <w:tc>
          <w:tcPr>
            <w:tcW w:w="2199" w:type="dxa"/>
          </w:tcPr>
          <w:p>
            <w:r>
              <w:t>Post-failure return, endorsement and stated intention in a separate cohort</w:t>
            </w:r>
          </w:p>
        </w:tc>
        <w:tc>
          <w:tcPr>
            <w:tcW w:w="1958" w:type="dxa"/>
          </w:tcPr>
          <w:p>
            <w:r>
              <w:t>Stages four–five; contextual evidence motivating appraisal and design hypotheses</w:t>
            </w:r>
          </w:p>
        </w:tc>
      </w:tr>
      <w:tr>
        <w:trPr>
          <w:cantSplit/>
        </w:trPr>
        <w:tc>
          <w:tcPr>
            <w:tcW w:w="1881" w:type="dxa"/>
          </w:tcPr>
          <w:p>
            <w:r>
              <w:t>Adaptive-learning framework and Stage-3B component-study record (Chapter 7; §8.8)</w:t>
            </w:r>
          </w:p>
        </w:tc>
        <w:tc>
          <w:tcPr>
            <w:tcW w:w="2467" w:type="dxa"/>
          </w:tcPr>
          <w:p>
            <w:r>
              <w:t>Can calibrated practice and credible feedback support learning and return when difficulty or design changes?</w:t>
            </w:r>
          </w:p>
        </w:tc>
        <w:tc>
          <w:tcPr>
            <w:tcW w:w="2199" w:type="dxa"/>
          </w:tcPr>
          <w:p>
            <w:r>
              <w:t>Proposed framework, comparable reference checks and a future-study specification; the Stage-3B component study is recorded descriptively at a stated cut-off, without confirmatory analysis</w:t>
            </w:r>
          </w:p>
        </w:tc>
        <w:tc>
          <w:tcPr>
            <w:tcW w:w="1958" w:type="dxa"/>
          </w:tcPr>
          <w:p>
            <w:r>
              <w:t>Stage five's design propositions; their effects are not established by the completed stages</w:t>
            </w:r>
          </w:p>
        </w:tc>
      </w:tr>
    </w:tbl>
    <w:p>
      <w:pPr>
        <w:jc w:val="both"/>
      </w:pPr>
      <w:r>
        <w:t>Figure 2.1 renders the synthesis of this chapter graphically as the author's five-part literature-to-design framework. Parts 1 and 2 state the initial design expectation drawn from technology-acceptance and gamification theory - the origin of H0, formalised retrospectively (§2.3.5). Parts 3 and 4 assemble the competing and complementary explanations that field difficulty brought under examination: self-efficacy on one side, and the behavioural-appraisal candidates - loss aversion, identity-related endowment, mental accounting, stereotype threat - on the other, considered alongside continuance and information avoidance. Part 5 states the design response they inform. The lower band connects the five parts to the three empirical stages and the proposed response, and carries the two caveats this architecture keeps in view throughout: Stage 3 changed cohort, input and context together, so framing effects were not isolated; and credible improvement claims require comparable observations, disclosed task changes and separate reporting of incompatible phases. The figure states structure and argumentative connection only - arrows are not causal claims, and stage outcomes are reported in Chapters 4 to 6.</w:t>
      </w:r>
    </w:p>
    <w:p>
      <w:pPr>
        <w:keepNext/>
        <w:jc w:val="center"/>
      </w:pPr>
      <w:r>
        <w:drawing>
          <wp:inline>
            <wp:extent cx="5688000" cy="4153737"/>
            <wp:docPr id="40" name="Picture 40" descr="Figure 2.1. The five-part literature-to-design synthesis: conceptual rationale for gamification, continuous improvement and innovation enhancement."/>
            <wp:cNvGraphicFramePr>
              <a:graphicFrameLocks noChangeAspect="1"/>
            </wp:cNvGraphicFramePr>
            <a:graphic>
              <a:graphicData uri="http://schemas.openxmlformats.org/drawingml/2006/picture">
                <pic:pic>
                  <pic:nvPicPr>
                    <pic:cNvPr id="0" name="fig_2_1_literature_synthesis.png"/>
                    <pic:cNvPicPr/>
                  </pic:nvPicPr>
                  <pic:blipFill>
                    <a:blip r:embed="rId49"/>
                    <a:stretch>
                      <a:fillRect/>
                    </a:stretch>
                  </pic:blipFill>
                  <pic:spPr>
                    <a:xfrm>
                      <a:off x="0" y="0"/>
                      <a:ext cx="5688000" cy="4153737"/>
                    </a:xfrm>
                    <a:prstGeom prst="rect"/>
                  </pic:spPr>
                </pic:pic>
              </a:graphicData>
            </a:graphic>
          </wp:inline>
        </w:drawing>
      </w:r>
    </w:p>
    <w:p>
      <w:pPr>
        <w:pStyle w:val="FigureCaption"/>
      </w:pPr>
      <w:r>
        <w:t>Figure 2.1. The five-part literature-to-design synthesis: conceptual rationale for gamification, continuous improvement and innovation enhancement. Five conceptual parts organise the rationale for the three empirical stages and the proposed design response; arrows indicate argumentative connections, not causal proof. Source: author's synthesis of the cited literature (Chapters 2-8).</w:t>
      </w:r>
    </w:p>
    <w:p>
      <w:pPr>
        <w:pStyle w:val="Heading1"/>
        <w:pageBreakBefore/>
      </w:pPr>
      <w:r>
        <w:rPr>
          <w:lang w:val="en-US" w:eastAsia="en-US" w:bidi="ar-SA"/>
          <w:color w:val="000000"/>
          <w:szCs w:val="28"/>
        </w:rPr>
        <w:t>Chapter 3 Research Methodology</w:t>
      </w:r>
      <w:bookmarkEnd w:id="46"/>
    </w:p>
    <w:p>
      <w:pPr>
        <w:pStyle w:val="Heading2"/>
      </w:pPr>
      <w:bookmarkStart w:id="47" w:name="_Toc232024547"/>
      <w:r>
        <w:rPr>
          <w:lang w:val="en-US" w:eastAsia="en-US" w:bidi="ar-SA"/>
          <w:color w:val="000000"/>
          <w:szCs w:val="22"/>
        </w:rPr>
        <w:t>3.1 Action Research as the Methodological Frame</w:t>
      </w:r>
      <w:bookmarkEnd w:id="47"/>
    </w:p>
    <w:p>
      <w:pPr>
        <w:pStyle w:val="Normal"/>
        <w:jc w:val="both"/>
      </w:pPr>
      <w:r>
        <w:rPr>
          <w:i w:val="0"/>
          <w:szCs w:val="26"/>
          <w:lang w:val="en-US" w:eastAsia="en-US" w:bidi="ar-SA"/>
          <w:rFonts w:ascii="Times New Roman" w:hAnsi="Times New Roman" w:eastAsia="Times New Roman" w:cs="Times New Roman"/>
          <w:sz w:val="24"/>
        </w:rPr>
        <w:t>The programme adopts action research (Lewin, 1946; Stringer, 2014; Reason &amp; Bradbury, 2008), using cycles of action, observation, reflection and design revision to investigate an engineering problem. The initial design expectation, labelled H0 in §2.3.5, was that a gamified FRA informed by technology-acceptance and gamification principles would support sustained engagement. Its formal wording was reconstructed during analysis and writing; it is a working proposition rather than a preregistered statistical null. The field stages examined that expectation and generated further propositions concerning the provisional FIAS construct (introduced at §4.6), participant-facing clinical framing and adaptive learning. Action research provides a structure for documenting these revisions, but does not confer causal confirmation on explanations generated from them. The methodological connection to the thesis title is substantive: continuous improvement operates through the researcher's iterative inquiry and the user's proposed learning process, while innovation enhancement concerns the revision and evaluation of the intervention when the initial design encounters difficulty. The documented changes were from FIDS toward the provisional FIAS construct after Stages 1 and 2; toward a frame-sensitive account after Stage 3; and from decoupling alone toward an adaptive-learning design framework. These are revisions of working explanations and engineering requirements. The programme is therefore offered as exploratory engineering research whose contribution combines a situated empirical problem, bounded explanatory propositions and a design framework for prospective evaluation. An unsuccessful implementation can inform an improved design decision, but that learning must be distinguished from evidence that either users' capabilities or the revised intervention's effectiveness have improved.</w:t>
      </w:r>
    </w:p>
    <w:p>
      <w:pPr>
        <w:pStyle w:val="Heading2"/>
      </w:pPr>
      <w:bookmarkStart w:id="48" w:name="_Toc232024548"/>
      <w:r>
        <w:rPr>
          <w:lang w:val="en-US" w:eastAsia="en-US" w:bidi="ar-SA"/>
          <w:color w:val="000000"/>
          <w:szCs w:val="22"/>
        </w:rPr>
        <w:t>3.2 Three-Stage Design</w:t>
      </w:r>
      <w:bookmarkEnd w:id="48"/>
    </w:p>
    <w:p>
      <w:pPr>
        <w:pStyle w:val="Normal"/>
        <w:jc w:val="both"/>
      </w:pPr>
      <w:r>
        <w:rPr>
          <w:szCs w:val="26"/>
          <w:lang w:val="en-US" w:eastAsia="en-US" w:bidi="ar-SA"/>
          <w:rFonts w:ascii="Times New Roman" w:hAnsi="Times New Roman" w:eastAsia="Times New Roman" w:cs="Times New Roman"/>
          <w:sz w:val="24"/>
        </w:rPr>
        <w:t>Stage 1 was a descriptive, retrospective survey at the Poly Group facility in Guangzhou: a six-item Yes/No instrument administered face-to-face by nursing staff. Its methodological role in the architecture is to establish the field signal — a setting with substantial practical support for access, yet a reported pattern of adverse first experiences and non-return — that motivates prospective examination of the original design expectation (Chapter 4). The facility housed 280 residents at the time of the survey; 200 eligible residents were interviewed about their FRA experience, and all Stage-1 percentages are computed on the interviewed sample of 200 or, for the items conditional on prior use, on the labelled subgroups of the 200 (§4.2).</w:t>
      </w:r>
    </w:p>
    <w:p>
      <w:pPr>
        <w:pStyle w:val="Normal"/>
        <w:jc w:val="both"/>
      </w:pPr>
      <w:r>
        <w:rPr>
          <w:szCs w:val="26"/>
          <w:lang w:val="en-US" w:eastAsia="en-US" w:bidi="ar-SA"/>
          <w:rFonts w:ascii="Times New Roman" w:hAnsi="Times New Roman" w:eastAsia="Times New Roman" w:cs="Times New Roman"/>
          <w:sz w:val="24"/>
        </w:rPr>
        <w:t>Stage 2 was a prospective eight-week action-research deployment with thirty residents at the same facility. The intervention was a dual-purpose AI-assisted skiing game on the InBody pressure panel, engineered to satisfy the acceptance and gamification design criteria of Chapter 2, allowing the original design expectation to be examined during deployment (§5.2), without establishing that every participant perceived the intended benefits or ease of use.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qualitative requirements mapping informed by Quality Function Deployment (QFD; Akao, 1990; Chan &amp; Wu, 2002) translates empirical findings into proposed design requirements: needs interpreted from survey, behavioural and self-report findings are related to candidate game features (§5.5A). The mapping records the researcher's design rationale rather than measured feature effectiveness or quantitatively validated priorities. It structures the translation from evidence to design; it complements, and does not replace, the statistical analysis of the collected data.</w:t>
      </w:r>
    </w:p>
    <w:p>
      <w:pPr>
        <w:pStyle w:val="Normal"/>
        <w:jc w:val="both"/>
      </w:pPr>
      <w:r>
        <w:rPr>
          <w:i w:val="0"/>
          <w:szCs w:val="26"/>
          <w:lang w:val="en-US" w:eastAsia="en-US" w:bidi="ar-SA"/>
          <w:rFonts w:ascii="Times New Roman" w:hAnsi="Times New Roman" w:eastAsia="Times New Roman" w:cs="Times New Roman"/>
          <w:sz w:val="24"/>
        </w:rPr>
        <w:t>Stage 3 (designated Stage 3A in programme documents, to distinguish it from the later Stage-3B component study; §6.1, §8.8) was a between-cycle, between-cohort quasi-experimental field study with 120 adults aged 25–80 recruited through the author's Hong Kong-based networks (family and personal contacts, work contacts, a charity community network, university support channels and working peers in medical centres). The game was re-implemented as a separate, distributable HTML build, sent by e-mail, and played without required supervision, mostly on participants' own computers with arrow keys or a foot-pad sensor where one was available, and for some older participants on a pre-installed iPad with an external keyboard (§6.4). The skiing mechanic and session structure were retained in that build, which added an in-game five-attempt counter, while participant-facing clinical framing was changed through multiple coordinated components: recruitment language, the absence of any pre-session clinical scan, removal of clinical labels and participant-facing clinical outputs, and a coordination-game interface. Because cohort, setting, platform, input device and supervision also differed, Stage 3 estimates the combined association of the decoupled condition and its context with behaviour; it evaluates a participant-facing redesign package in a separate cohort, and it does not isolate a single causal variable. Its methodological role rests on two rival readings of the Stage-2 outcome: a dispositional reading (gamification demonstrations do not transfer to this older population) and a frame-sensitive reading (the attachment to the clinical technology carried the difficulty). The two readings generate opposite directional expectations for a decoupled deployment, which Stage 3 can examine but not decisively separate, given the between-cohort design (§6.1). The three age bands (25–44, 45–64, 65–80) permit exploratory within-cohort comparisons, including H0-age, the equal-proportions null examined after age-stratified tabulation. Age-stratified dropout and return patterns are reported in Chapter 6. Because every age band received the decoupled condition, this gradient identifies an age association within that implementation; it cannot estimate either a clinical-framing effect or an age-by-framing interaction. Identity-related appraisal, motor demands, familiarity, interest and fatigue remain possible explanations for the gradient.</w:t>
      </w:r>
    </w:p>
    <w:p>
      <w:pPr>
        <w:pStyle w:val="Normal"/>
        <w:jc w:val="both"/>
      </w:pPr>
      <w:r>
        <w:rPr>
          <w:szCs w:val="26"/>
          <w:lang w:val="en-US" w:eastAsia="en-US" w:bidi="ar-SA"/>
          <w:rFonts w:ascii="Times New Roman" w:hAnsi="Times New Roman" w:eastAsia="Times New Roman" w:cs="Times New Roman"/>
          <w:sz w:val="24"/>
        </w:rPr>
        <w:t>A fourth evidence activity supplements the three stages: a series of four expert consultations (one of which, in its September 2026 follow-up, included a contribution from the expert's doctoral researcher), conducted from March to September 2026 as a distinct data-collection exercise to examine emerging interpretations and design requirements against senior practice and research standpoints. The consultations were semi-structured interviews with: a senior physiotherapist and former chair of a Hong Kong professional physiotherapy body, pseudonymised as Expert P at his election (March 2026, telephone, approximately 25 minutes, Cantonese mixed with English; consent signed 4 August 2026; with a dated follow-up on 5 August 2026 in which he played the decoupled build); Dr Gary Kui-Kai Lau, Assistant Dean (Education Innovations) and Clinical Associate Professor, Division of Neurology, LKS Faculty of Medicine, The University of Hong Kong (June 2026, in person, approximately one hour, Cantonese mixed with English; consent completed 10 August 2026); Dr Sarah C.W. Yuan, Specialist, Center on the Family, University of Hawai'i at Manoa, a medical sociologist and demographer of aging (25 July 2026, telephone, English, approximately 35 minutes); and Dr Philip Choy, certified naturopathic physician (ANMCB) and President of the Hong Kong Academy of Naturopath, with over twenty-five years of clinical practice concentrated in chronic disease among older adults (4 August 2026, telephone, approximately 30 minutes, Cantonese and English). Each expert gave written consent on a nine-statement form with an explicit identification election: three authorised named attribution (in Dr Choy's case by written assent to a form completed on his behalf, H.7) and one elected pseudonymity; for two consultations (Expert P, Dr Lau) the signed form post-dates the interview, and both dates are stated here and in the dual-dated records at H.6 and H.8; these consent arrangements are among those on which an itemised institutional determination is not part of the record at 30 September 2026 (§3.4). The researcher's notes are the primary records; each consultation summary is returned to its participant for member checking; Appendix H records the outcome where a response is on file and otherwise states the status factually. Analysis is thematic: expert statements are mapped onto the programme's constructs and reported as convergence, divergence or silence (Appendix H; discussed in Chapter 8). Positioning: expert input provides interpretive consultation and design appraisal of the Chapter 7 framework. It contributes practice-based perspectives and rival explanations, but is neither independent replication of the participant findings nor evidence for the hypothesis tests.</w:t>
      </w:r>
    </w:p>
    <w:p>
      <w:pPr>
        <w:pStyle w:val="Normal"/>
        <w:jc w:val="both"/>
      </w:pPr>
      <w:r>
        <w:rPr>
          <w:szCs w:val="26"/>
          <w:lang w:val="en-US" w:eastAsia="en-US" w:bidi="ar-SA"/>
          <w:rFonts w:ascii="Times New Roman" w:hAnsi="Times New Roman" w:eastAsia="Times New Roman" w:cs="Times New Roman"/>
          <w:sz w:val="24"/>
        </w:rPr>
        <w:t>A component study designated Stage 3B was specified after the Stage-3 results were in hand and is documented in this thesis as an achieved record rather than as evidence. It was pre-specified (repository-dated 8–9 August 2026) as a silent 2×2 design crossing adaptive against static difficulty with zero-failure against game-over failure modes, with assignment by random draw at first enrolment and one confirmatory contrast (adaptive versus static on questionnaire item D2, willingness to play regularly, top-two-box, pooled across failure modes). Builds were distributed from 10 August 2026 and a frozen study edition was issued on 15 September 2026. The thesis cut-off for the Stage-3B record is 30 September 2026, set by the author's dated decision of 2 October 2026 (Appendix G, item G.12) inside the frozen edition's clean-run window, which runs to 15 October 2026; returns received after 30 September 2026 are archived as received and are not entered in this thesis. The record holds one verified return (15 August 2026), five returns received on 15 September 2026 that were excluded as researcher-solicited plays on the 13-August build, the clean-run returns from the frozen edition listed in Appendix I (Table I.4), and a researcher self-test batch of the Pro v4.1 build (19–20 September 2026). After the initial round, the learning measurement was found not to be articulated to the adaptive-learning construct: immediate task performance on a ceiling-limited, non-equivalent course form is not durable learning, and the adaptive arm is a support package (difficulty adjustment with coaching) rather than difficulty adjustment alone. Stage 3B is therefore no longer used to determine whether an adaptive-learning process occurs in the AI-enabled zero-failure mechanism; no confirmatory analysis is reported. The thesis concludes on the findings of Stages 1–3A; the Stage-3B design parameters, builds and returns on record are compiled in §8.8 and Appendix I, and adaptive learning is carried as a design direction for future study (Chapter 7, §8.8).</w:t>
      </w:r>
    </w:p>
    <w:p>
      <w:pPr>
        <w:pStyle w:val="FigureCaption"/>
        <w:keepNext/>
        <w:keepLines/>
        <w:jc w:val="center"/>
      </w:pPr>
      <w:r>
        <w:rPr>
          <w:sz w:val="24"/>
          <w:szCs w:val="22"/>
          <w:lang w:val="en-US" w:eastAsia="en-US" w:bidi="ar-SA"/>
          <w:rFonts w:ascii="Times New Roman" w:hAnsi="Times New Roman" w:eastAsia="Times New Roman" w:cs="Times New Roman"/>
          <w:i/>
        </w:rPr>
        <w:t>Table 3.1. The hypothesis architecture of the programme: where each claim originates, is stated, is tested, and stands.</w:t>
      </w:r>
    </w:p>
    <w:tbl>
      <w:tblPr>
        <w:tblStyle w:val="TableGrid"/>
        <w:tblW w:type="dxa" w:w="8505"/>
        <w:tblLayout w:type="fixed"/>
        <w:tblLook w:firstColumn="1" w:firstRow="1" w:lastColumn="0" w:lastRow="0" w:noHBand="0" w:noVBand="1" w:val="04A0"/>
      </w:tblPr>
      <w:tblGrid>
        <w:gridCol w:w="2460"/>
        <w:gridCol w:w="1681"/>
        <w:gridCol w:w="978"/>
        <w:gridCol w:w="1387"/>
        <w:gridCol w:w="1999"/>
      </w:tblGrid>
      <w:tr>
        <w:trPr>
          <w:tblHeader/>
          <w:cantSplit/>
        </w:trPr>
        <w:tc>
          <w:tcPr>
            <w:tcW w:type="dxa" w:w="2460"/>
          </w:tcPr>
          <w:p>
            <w:pPr>
              <w:pStyle w:val="Normal"/>
              <w:keepNext w:val="0"/>
              <w:keepLines/>
            </w:pPr>
            <w:r>
              <w:rPr>
                <w:b/>
                <w:sz w:val="18"/>
                <w:szCs w:val="28"/>
                <w:lang w:val="en-US" w:eastAsia="en-US" w:bidi="ar-SA"/>
                <w:rFonts w:ascii="Times New Roman" w:hAnsi="Times New Roman" w:eastAsia="Times New Roman" w:cs="Times New Roman"/>
              </w:rPr>
              <w:t>Claim</w:t>
            </w:r>
          </w:p>
        </w:tc>
        <w:tc>
          <w:tcPr>
            <w:tcW w:type="dxa" w:w="1681"/>
          </w:tcPr>
          <w:p>
            <w:pPr>
              <w:pStyle w:val="Normal"/>
              <w:keepNext w:val="0"/>
              <w:keepLines/>
            </w:pPr>
            <w:r>
              <w:rPr>
                <w:b/>
                <w:sz w:val="18"/>
                <w:szCs w:val="28"/>
                <w:lang w:val="en-US" w:eastAsia="en-US" w:bidi="ar-SA"/>
                <w:rFonts w:ascii="Times New Roman" w:hAnsi="Times New Roman" w:eastAsia="Times New Roman" w:cs="Times New Roman"/>
              </w:rPr>
              <w:t>Origin</w:t>
            </w:r>
          </w:p>
        </w:tc>
        <w:tc>
          <w:tcPr>
            <w:tcW w:type="dxa" w:w="978"/>
          </w:tcPr>
          <w:p>
            <w:pPr>
              <w:pStyle w:val="Normal"/>
              <w:keepNext w:val="0"/>
              <w:keepLines/>
            </w:pPr>
            <w:r>
              <w:rPr>
                <w:b/>
                <w:sz w:val="18"/>
                <w:szCs w:val="28"/>
                <w:lang w:val="en-US" w:eastAsia="en-US" w:bidi="ar-SA"/>
                <w:rFonts w:ascii="Times New Roman" w:hAnsi="Times New Roman" w:eastAsia="Times New Roman" w:cs="Times New Roman"/>
              </w:rPr>
              <w:t>Stated</w:t>
            </w:r>
          </w:p>
        </w:tc>
        <w:tc>
          <w:tcPr>
            <w:tcW w:type="dxa" w:w="1387"/>
          </w:tcPr>
          <w:p>
            <w:pPr>
              <w:pStyle w:val="Normal"/>
              <w:keepNext w:val="0"/>
              <w:keepLines/>
            </w:pPr>
            <w:r>
              <w:rPr>
                <w:b/>
                <w:sz w:val="18"/>
                <w:szCs w:val="28"/>
                <w:lang w:val="en-US" w:eastAsia="en-US" w:bidi="ar-SA"/>
                <w:rFonts w:ascii="Times New Roman" w:hAnsi="Times New Roman" w:eastAsia="Times New Roman" w:cs="Times New Roman"/>
              </w:rPr>
              <w:t>Tested / examined</w:t>
            </w:r>
          </w:p>
        </w:tc>
        <w:tc>
          <w:tcPr>
            <w:tcW w:type="dxa" w:w="1999"/>
          </w:tcPr>
          <w:p>
            <w:pPr>
              <w:pStyle w:val="Normal"/>
              <w:keepNext w:val="0"/>
              <w:keepLines/>
            </w:pPr>
            <w:r>
              <w:rPr>
                <w:b/>
                <w:sz w:val="18"/>
                <w:szCs w:val="28"/>
                <w:lang w:val="en-US" w:eastAsia="en-US" w:bidi="ar-SA"/>
                <w:rFonts w:ascii="Times New Roman" w:hAnsi="Times New Roman" w:eastAsia="Times New Roman" w:cs="Times New Roman"/>
              </w:rPr>
              <w:t>Status in this thesis</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 — original expectation that a gamified FRA designed around acceptance and gamification principles would support continued engagement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Literature-informed design expectation; wording formalised during analysis and writing</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§2.3.5; §5.1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1 motivates the problem (Ch 4); Stage 2 examines engagement in deployment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Original expectation not supported in this deployment; no prespecified statistical null or theory-wide rejection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H1, H2 and H4 — working propositions on early disengagement, re-engagement and the recorded-score–engagement discrepancy</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Stage-1 observations; formal wording fixed during thesis preparation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2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Engagement, return and score-change co-occurrences described in a small single-site sample; mechanisms remain untested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H5 and the Stage-3 predictions — decoupling is associated with lower non-return and post-failure return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Stage-2 findings (mental-accounting row of Table 2.1)</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Observed direction consistent with a frame-sensitive account; causal attribution not isolated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Adaptive-learning proposition — calibrated challenge and truthful progress feedback as a proposed support for continued participation and improvement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Design hypothesis developed from the field observations, difference between continued play and stated intention and relevant theory</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§6.8; Chapter 7</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Not tested in this thesis. A component study (Stage 3B) was pre-specified (repository-dated) to examine its adaptation and failure-presentation components; its achieved record is documented to the 30 September 2026 cut-off (§8.8) and is not used as a test of the proposition, because the learning measurement was not articulated to the adaptive-learning construct</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Proposed engineering contribution; component effects, credible progress and clinical reattachment require distinct evaluation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H0-age — equal initial-dropout proportions across age groups within the decoupled implementation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Three-band Stage-3 design; exploratory analysis after age-stratified tabulation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§3.2;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 age-stratified engagement</w:t>
            </w:r>
          </w:p>
        </w:tc>
        <w:tc>
          <w:tcPr>
            <w:tcW w:type="dxa" w:w="1999"/>
          </w:tcPr>
          <w:p>
            <w:pPr>
              <w:pStyle w:val="Normal"/>
              <w:spacing w:line="252" w:lineRule="auto"/>
            </w:pPr>
            <w:r>
              <w:rPr>
                <w:szCs w:val="26"/>
                <w:lang w:val="en-US" w:eastAsia="en-US" w:bidi="ar-SA"/>
                <w:rFonts w:ascii="Times New Roman" w:hAnsi="Times New Roman" w:eastAsia="Times New Roman" w:cs="Times New Roman"/>
                <w:sz w:val="19"/>
                <w:b w:val="0"/>
              </w:rPr>
              <w:t>Exploratory evidence against equal initial-dropout proportions across age bands; age-stratified results reported in §6.5; no age-by-framing effect estimated</w:t>
            </w:r>
          </w:p>
        </w:tc>
      </w:tr>
    </w:tbl>
    <w:p>
      <w:pPr>
        <w:pStyle w:val="Heading2"/>
      </w:pPr>
      <w:bookmarkStart w:id="49" w:name="_Toc232024549"/>
      <w:r>
        <w:rPr>
          <w:lang w:val="en-US" w:eastAsia="en-US" w:bidi="ar-SA"/>
          <w:color w:val="000000"/>
          <w:szCs w:val="22"/>
        </w:rPr>
        <w:t>3.3 Methodology Overview Infographic</w:t>
      </w:r>
      <w:bookmarkEnd w:id="49"/>
    </w:p>
    <w:p>
      <w:pPr>
        <w:pStyle w:val="Normal"/>
        <w:jc w:val="both"/>
      </w:pPr>
      <w:r>
        <w:rPr>
          <w:szCs w:val="26"/>
          <w:lang w:val="en-US" w:eastAsia="en-US" w:bidi="ar-SA"/>
          <w:rFonts w:ascii="Times New Roman" w:hAnsi="Times New Roman" w:eastAsia="Times New Roman" w:cs="Times New Roman"/>
          <w:sz w:val="24"/>
        </w:rPr>
        <w:t>Figure 3.1 summarises the empirical stages and the revisions they motivated. It is an action-research logic model rather than a single causal experiment. In the architecture of Table 3.1, Stage 1 establishes the retrospective field signal; Stage 2 examines the original design expectation in deployment and generates candidate explanations; Stage 3 provides a non-equivalent-cohort decoupling comparison; and Chapter 7 formalises the proposed adaptive-learning response for prospective evaluation. Each transition changes what the next iteration needs to investigate, without treating a design revision as proof of improved outcomes.</w:t>
      </w:r>
    </w:p>
    <w:p>
      <w:pPr>
        <w:pStyle w:val="Normal"/>
        <w:keepNext/>
        <w:spacing w:before="160" w:after="40"/>
        <w:jc w:val="center"/>
      </w:pPr>
      <w:r>
        <w:drawing>
          <wp:inline>
            <wp:extent cx="5358384" cy="3123988"/>
            <wp:docPr id="34" name="Picture 34" descr="Figure 3.1. Three-stage action-research logic model: Stage 1 supplies the retrospective field signal, Stage 2 examines the original design expectation in deployment, and Stage 3 provides a non-equivalent-cohort decoupling comparison."/>
            <wp:cNvGraphicFramePr>
              <a:graphicFrameLocks noChangeAspect="1"/>
            </wp:cNvGraphicFramePr>
            <a:graphic>
              <a:graphicData uri="http://schemas.openxmlformats.org/drawingml/2006/picture">
                <pic:pic>
                  <pic:nvPicPr>
                    <pic:cNvPr id="0" name="figure_P0435.png"/>
                    <pic:cNvPicPr/>
                  </pic:nvPicPr>
                  <pic:blipFill>
                    <a:blip r:embed="rId43"/>
                    <a:stretch>
                      <a:fillRect/>
                    </a:stretch>
                  </pic:blipFill>
                  <pic:spPr>
                    <a:xfrm>
                      <a:off x="0" y="0"/>
                      <a:ext cx="5358384" cy="3123988"/>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3.1. Three-stage action-research logic model: Stage 1 supplies the retrospective field signal, Stage 2 examines the original design expectation in deployment, and Stage 3 provides a non-equivalent-cohort decoupling comparison. The stages inform the adaptive-learning framework of Chapter 7 and the prospective studies of §8.8; they do not constitute a single causal test.</w:t>
      </w:r>
    </w:p>
    <w:p>
      <w:pPr>
        <w:pStyle w:val="FigureCaption"/>
        <w:keepNext/>
        <w:keepLines/>
        <w:jc w:val="center"/>
      </w:pPr>
      <w:r>
        <w:t>Table 3.1A. Programme timeline: programme activities in programme order, 2023 – October 2026, with the chapter that reports each; the Stage-3B row is stated at the 30 September 2026 cut-off of that record. The research programme closes in October 2026.</w:t>
      </w:r>
    </w:p>
    <w:tbl>
      <w:tblPr>
        <w:tblStyle w:val="TableGrid"/>
        <w:tblW w:type="dxa" w:w="8505"/>
        <w:tblLayout w:type="fixed"/>
        <w:tblLook w:firstColumn="1" w:firstRow="1" w:lastColumn="0" w:lastRow="0" w:noHBand="0" w:noVBand="1" w:val="04A0"/>
      </w:tblPr>
      <w:tblGrid>
        <w:gridCol w:w="3927"/>
        <w:gridCol w:w="2584"/>
        <w:gridCol w:w="1994"/>
      </w:tblGrid>
      <w:tr>
        <w:trPr>
          <w:tblHeader/>
          <w:cantSplit/>
        </w:trPr>
        <w:tc>
          <w:tcPr>
            <w:tcW w:type="dxa" w:w="3927"/>
          </w:tcPr>
          <w:p>
            <w:pPr>
              <w:keepNext w:val="0"/>
              <w:keepLines/>
            </w:pPr>
            <w:r>
              <w:rPr>
                <w:rFonts w:ascii="Times New Roman" w:hAnsi="Times New Roman"/>
                <w:b/>
                <w:sz w:val="18"/>
              </w:rPr>
              <w:t>Activity</w:t>
            </w:r>
          </w:p>
        </w:tc>
        <w:tc>
          <w:tcPr>
            <w:tcW w:type="dxa" w:w="2584"/>
          </w:tcPr>
          <w:p>
            <w:pPr>
              <w:keepNext w:val="0"/>
              <w:keepLines/>
            </w:pPr>
            <w:r>
              <w:rPr>
                <w:rFonts w:ascii="Times New Roman" w:hAnsi="Times New Roman"/>
                <w:b/>
                <w:sz w:val="18"/>
              </w:rPr>
              <w:t>Period</w:t>
            </w:r>
          </w:p>
        </w:tc>
        <w:tc>
          <w:tcPr>
            <w:tcW w:type="dxa" w:w="1994"/>
          </w:tcPr>
          <w:p>
            <w:pPr>
              <w:keepNext w:val="0"/>
              <w:keepLines/>
            </w:pPr>
            <w:r>
              <w:rPr>
                <w:rFonts w:ascii="Times New Roman" w:hAnsi="Times New Roman"/>
                <w:b/>
                <w:sz w:val="18"/>
              </w:rPr>
              <w:t>Reported in</w:t>
            </w:r>
          </w:p>
        </w:tc>
      </w:tr>
      <w:tr>
        <w:trPr>
          <w:cantSplit/>
        </w:trPr>
        <w:tc>
          <w:tcPr>
            <w:tcW w:type="dxa" w:w="3927"/>
          </w:tcPr>
          <w:p>
            <w:r>
              <w:t>Site observation and the FIDS conjecture</w:t>
            </w:r>
          </w:p>
        </w:tc>
        <w:tc>
          <w:tcPr>
            <w:tcW w:type="dxa" w:w="2584"/>
          </w:tcPr>
          <w:p>
            <w:r>
              <w:t>2023</w:t>
            </w:r>
          </w:p>
        </w:tc>
        <w:tc>
          <w:tcPr>
            <w:tcW w:type="dxa" w:w="1994"/>
          </w:tcPr>
          <w:p>
            <w:r>
              <w:t>Chapter 1</w:t>
            </w:r>
          </w:p>
        </w:tc>
      </w:tr>
      <w:tr>
        <w:trPr>
          <w:cantSplit/>
        </w:trPr>
        <w:tc>
          <w:tcPr>
            <w:tcW w:type="dxa" w:w="3927"/>
          </w:tcPr>
          <w:p>
            <w:r>
              <w:t>Stage 1 — retrospective survey (N=200 of 280)</w:t>
            </w:r>
          </w:p>
        </w:tc>
        <w:tc>
          <w:tcPr>
            <w:tcW w:type="dxa" w:w="2584"/>
          </w:tcPr>
          <w:p>
            <w:r>
              <w:t>July–August 2024</w:t>
            </w:r>
          </w:p>
        </w:tc>
        <w:tc>
          <w:tcPr>
            <w:tcW w:type="dxa" w:w="1994"/>
          </w:tcPr>
          <w:p>
            <w:r>
              <w:t>Chapter 4</w:t>
            </w:r>
          </w:p>
        </w:tc>
      </w:tr>
      <w:tr>
        <w:trPr>
          <w:cantSplit/>
        </w:trPr>
        <w:tc>
          <w:tcPr>
            <w:tcW w:type="dxa" w:w="3927"/>
          </w:tcPr>
          <w:p>
            <w:r>
              <w:t>Game design and platform-coupling demonstration</w:t>
            </w:r>
          </w:p>
        </w:tc>
        <w:tc>
          <w:tcPr>
            <w:tcW w:type="dxa" w:w="2584"/>
          </w:tcPr>
          <w:p>
            <w:r>
              <w:t>2023–2024</w:t>
            </w:r>
          </w:p>
        </w:tc>
        <w:tc>
          <w:tcPr>
            <w:tcW w:type="dxa" w:w="1994"/>
          </w:tcPr>
          <w:p>
            <w:r>
              <w:t>Chapter 5 (§5.3.9), Appendix G, item G.10</w:t>
            </w:r>
          </w:p>
        </w:tc>
      </w:tr>
      <w:tr>
        <w:trPr>
          <w:cantSplit/>
        </w:trPr>
        <w:tc>
          <w:tcPr>
            <w:tcW w:type="dxa" w:w="3927"/>
          </w:tcPr>
          <w:p>
            <w:r>
              <w:t>Stage 2 — eight-week facility deployment (N=30)</w:t>
            </w:r>
          </w:p>
        </w:tc>
        <w:tc>
          <w:tcPr>
            <w:tcW w:type="dxa" w:w="2584"/>
          </w:tcPr>
          <w:p>
            <w:r>
              <w:rPr/>
              <w:t>June–August 2025 (eight weeks)</w:t>
            </w:r>
          </w:p>
        </w:tc>
        <w:tc>
          <w:tcPr>
            <w:tcW w:type="dxa" w:w="1994"/>
          </w:tcPr>
          <w:p>
            <w:r>
              <w:t>Chapter 5</w:t>
            </w:r>
          </w:p>
        </w:tc>
      </w:tr>
      <w:tr>
        <w:trPr>
          <w:cantSplit/>
        </w:trPr>
        <w:tc>
          <w:tcPr>
            <w:tcW w:type="dxa" w:w="3927"/>
          </w:tcPr>
          <w:p>
            <w:r>
              <w:t>Stage 3 — remote decoupled deployment (register N=120)</w:t>
            </w:r>
          </w:p>
        </w:tc>
        <w:tc>
          <w:tcPr>
            <w:tcW w:type="dxa" w:w="2584"/>
          </w:tcPr>
          <w:p>
            <w:r>
              <w:t>April–July 2026 (recruitment from 3 April; main play from late July; two builds in circulation, build per participant not recorded (§6.4); returns compiled in July)</w:t>
            </w:r>
          </w:p>
        </w:tc>
        <w:tc>
          <w:tcPr>
            <w:tcW w:type="dxa" w:w="1994"/>
          </w:tcPr>
          <w:p>
            <w:r>
              <w:t>Chapter 6</w:t>
            </w:r>
          </w:p>
        </w:tc>
      </w:tr>
      <w:tr>
        <w:trPr>
          <w:cantSplit/>
        </w:trPr>
        <w:tc>
          <w:tcPr>
            <w:tcW w:type="dxa" w:w="3927"/>
          </w:tcPr>
          <w:p>
            <w:r>
              <w:t>Expert consultation panel (four consultations + follow-ups)</w:t>
            </w:r>
          </w:p>
        </w:tc>
        <w:tc>
          <w:tcPr>
            <w:tcW w:type="dxa" w:w="2584"/>
          </w:tcPr>
          <w:p>
            <w:r>
              <w:t>March–September 2026</w:t>
            </w:r>
          </w:p>
        </w:tc>
        <w:tc>
          <w:tcPr>
            <w:tcW w:type="dxa" w:w="1994"/>
          </w:tcPr>
          <w:p>
            <w:r>
              <w:t>§6.12, Appendix H</w:t>
            </w:r>
          </w:p>
        </w:tc>
      </w:tr>
      <w:tr>
        <w:trPr>
          <w:cantSplit/>
        </w:trPr>
        <w:tc>
          <w:tcPr>
            <w:tcW w:type="dxa" w:w="3927"/>
          </w:tcPr>
          <w:p>
            <w:r>
              <w:t>Ethics approval HSEARS20260805008</w:t>
            </w:r>
          </w:p>
        </w:tc>
        <w:tc>
          <w:tcPr>
            <w:tcW w:type="dxa" w:w="2584"/>
          </w:tcPr>
          <w:p>
            <w:r>
              <w:t>6 August 2026 (approval period 16 Jun 2024 – 30 Oct 2026)</w:t>
            </w:r>
          </w:p>
        </w:tc>
        <w:tc>
          <w:tcPr>
            <w:tcW w:type="dxa" w:w="1994"/>
          </w:tcPr>
          <w:p>
            <w:r>
              <w:t>§3.4</w:t>
            </w:r>
          </w:p>
        </w:tc>
      </w:tr>
      <w:tr>
        <w:trPr>
          <w:cantSplit/>
        </w:trPr>
        <w:tc>
          <w:tcPr>
            <w:tcW w:type="dxa" w:w="3927"/>
          </w:tcPr>
          <w:p>
            <w:r>
              <w:t>Stage 3B — pre-specified (repository-dated) 2×2 component study; documented as an achieved record to the 30 September 2026 cut-off; no results form part of the thesis evidence and the study is not used as the adaptive-learning test</w:t>
            </w:r>
          </w:p>
        </w:tc>
        <w:tc>
          <w:tcPr>
            <w:tcW w:type="dxa" w:w="2584"/>
          </w:tcPr>
          <w:p>
            <w:r>
              <w:rPr/>
              <w:t>August–September 2026, record closed 30 September 2026 (9-August build distributed 10–12 August; 13-August revision not distributed to the August cohort, a copy re-sent 15 September; frozen study edition 15 September; clean-run window to 15 October 2026; record closed 30 September 2026)</w:t>
            </w:r>
          </w:p>
        </w:tc>
        <w:tc>
          <w:tcPr>
            <w:tcW w:type="dxa" w:w="1994"/>
          </w:tcPr>
          <w:p>
            <w:r>
              <w:t>§8.8; Appendix I</w:t>
            </w:r>
          </w:p>
        </w:tc>
      </w:tr>
      <w:tr>
        <w:trPr>
          <w:cantSplit/>
        </w:trPr>
        <w:tc>
          <w:tcPr>
            <w:tcW w:type="dxa" w:w="3927"/>
          </w:tcPr>
          <w:p>
            <w:r>
              <w:t>Programme close and thesis completion</w:t>
            </w:r>
          </w:p>
        </w:tc>
        <w:tc>
          <w:tcPr>
            <w:tcW w:type="dxa" w:w="2584"/>
          </w:tcPr>
          <w:p>
            <w:r>
              <w:t>October 2026</w:t>
            </w:r>
          </w:p>
        </w:tc>
        <w:tc>
          <w:tcPr>
            <w:tcW w:type="dxa" w:w="1994"/>
          </w:tcPr>
          <w:p>
            <w:r>
              <w:t>Chapter 9</w:t>
            </w:r>
          </w:p>
        </w:tc>
      </w:tr>
    </w:tbl>
    <w:p>
      <w:pPr>
        <w:pStyle w:val="Heading2"/>
      </w:pPr>
      <w:bookmarkStart w:id="50" w:name="_Toc232024550"/>
      <w:r>
        <w:rPr>
          <w:lang w:val="en-US" w:eastAsia="en-US" w:bidi="ar-SA"/>
          <w:color w:val="000000"/>
          <w:szCs w:val="22"/>
        </w:rPr>
        <w:t>3.4 Ethics, Consent, Data Governance</w:t>
      </w:r>
      <w:bookmarkEnd w:id="50"/>
    </w:p>
    <w:p>
      <w:pPr>
        <w:pStyle w:val="Normal"/>
        <w:jc w:val="both"/>
      </w:pPr>
      <w:r>
        <w:rPr>
          <w:i w:val="0"/>
          <w:szCs w:val="26"/>
          <w:lang w:val="en-US" w:eastAsia="en-US" w:bidi="ar-SA"/>
          <w:rFonts w:ascii="Times New Roman" w:hAnsi="Times New Roman" w:eastAsia="Times New Roman" w:cs="Times New Roman"/>
          <w:sz w:val="24"/>
        </w:rPr>
        <w:t>Each stage is reported here against the ethics policy of The Hong Kong Polytechnic University and the Declaration of Helsinki; the institutional record that applies to the procedures as conducted is stated below rather than summarised as a compliance claim. The Guangzhou stages (Stages 1 and 2) were conducted with reference to the Personal Information Protection Law (PIPL; Standing Committee of the National People's Congress, 2021): all data were pseudonymised at collection, and no participant identifiers were transmitted to third-party AI services. The PIPL is Mainland legislation and is not the governing statute for the Hong Kong Stage-3 and Stage-3B deployments, in which no participant names or e-mail addresses were recorded as data. Stage 3 did not collect participant-level clinical balance telemetry as part of the decoupling protocol. No adverse events were reported during any stage. The programme's application for human subjects ethics review was approved (application reference HSEARS20260805008; Principal Investigator: Prof. Chi Fai Cheung, Department of Industrial and Systems Engineering; approved 6 August 2026 by the Departmental Research Committee of the Department of Industrial and Systems Engineering on behalf of the PolyU Institutional Review Board, for the approval period 16 June 2024 to 30 October 2026; the approval memo is archived in the ethics record). The approval period spans the dates of the Stage-3B component study conducted from August 2026 and documented to the 30 September 2026 cut-off (§8.8; Appendix I); whether the Stage-3B collection falls within the approved scope requires a determination against the approved protocol or an amendment, and until that determination is on file it is recorded as an open item of the ethics record (Appendix I.7). By the author's account of the application as submitted (held by the author; the repository holds only pre-submission drafts of 5 August 2026, which are not quoted here as the submitted application), it described the procedures of all three stages and the expert consultations as conducted, in a two-part structure that asked the Committee to review and characterise the procedures already conducted. The approval memo and the approval correspondence are archived in the programme's ethics record; the application as submitted is held by the author. The approval memo itself is a one-page project-level approval for the stated period; it does not itemise determinations on the individual consent arrangements described in the application, and an explicit itemised institutional determination on those arrangements is not part of the record at 30 September 2026; on 3 October 2026 the Principal Investigator advised the author that no further request to the Committee was needed (author's report of the same date); no itemised determination is therefore sought, no written determination is on file, and the record stands as stated here. Chapter 8 (§8.7) addresses vulnerability, disclosure, autonomy and the ethical boundary between participant-facing reframing and deception. The expert consultation reported at §6.8A was conducted with a professional in her professional capacity; she is named with her consent, and the written confirmation is held with the consultation record (Appendix H).</w:t>
      </w:r>
      <w:r>
        <w:rPr/>
      </w:r>
      <w:r>
        <w:t xml:space="preserve"> The chronology is stated plainly: the application was submitted on 6 August 2026, after the field stages had been conducted, and the approval was granted retrospectively for a project period (16 June 2024 to 30 October 2026) that spans the Stage 1–3 procedures described in the application and in this section; whether the approval covers those procedures and their consent arrangements as conducted, and whether it extends to the Stage-3B collection, are determinations for the Committee that are not part of the record at 30 September 2026 (Appendix I.7).</w:t>
      </w:r>
    </w:p>
    <w:p>
      <w:pPr>
        <w:jc w:val="both"/>
      </w:pPr>
      <w:r>
        <w:t>Consent in Stage 1 operated as described in the application: a voluntary, anonymous survey with verbal agreement at face-to-face administration by nursing staff; no written instrument was used and no identifiers were collected. Consent in Stage 2 is likewise stated exactly as it operated. The deployment was arranged with, and known to, the facility's operators, nursing team and general manager (gatekeeper consent, recorded at research start), and residents were invited by the facility to try the gamified system as a facility activity, voluntarily and free of charge. Participants were not told during the deployment that play formed part of a research project: the programme's subject matter is assessment fear, and announcing a fall-risk study would have re-imposed the clinical assessment frame whose behavioural effect was under study, so incomplete disclosure was integral to the design rather than incidental to it. Written consent was obtained retrospectively from the sustained participants at the close of the eight-week cycle, at the small recognition presentation for those who completed it; participants who had dropped out did not sign and were not interviewed. These arrangements - the incomplete disclosure and its rationale, the gatekeeper consent, and the retrospective timing of the written instruments - were stated in these terms in the approved ethics application, and their limitations are examined in §8.7.</w:t>
      </w:r>
    </w:p>
    <w:p>
      <w:pPr>
        <w:jc w:val="both"/>
      </w:pPr>
      <w:r>
        <w:t xml:space="preserve">The provenance of the low-engagement participants' self-report data is stated precisely, because those participants did not sign research consent and were not interviewed by the researcher. All thirty participants were residents of the facility who knew the FRA as part of the house's provision; they joined the gamified sessions at the centre manager's invitation, facilitated by therapists they knew well. The invitation had been extended by the facility to the 200 residents who had taken part in the Stage-1 screening survey; thirty joined. Throughout the eight weeks the therapists spoke with players in the course of ordinary facility practice and reported their observations - including perceived symptom change - to the researcher, who visited or telephoned the facility on a near-daily basis and recorded those reports in field notes. The therapists kept no written per-participant records; the individual attribution of the symptom entries in the Stage-2 dataset was therefore performed by the researcher when compiling the field notes (register-style and form-style illustrations of this data structure, produced in 2026 while organising the archive, are not records and are listed as such in Appendix G, item G.16). Separately, whereas the satisfaction entries derive from the after-game paper questionnaire completed by players (column provenance of the Stage-2 ID register, below). </w:t>
      </w:r>
      <w:r>
        <w:rPr/>
        <w:t>The reconciliation with Appendix C's after-game questionnaire is documented by the deployment logbook's own column provenance (Stage-2 ID register, received 11 September 2026): the satisfaction ratings were collected by the after-game paper questionnaire completed by players, while the presenting symptoms and the symptom-improvement entries are therapist observations relayed to and compiled by the researcher. The satisfaction variable is therefore participant-reported and the symptom variables therapist-observed; the two earlier accounts were each accurate for its own variable.</w:t>
      </w:r>
      <w:r>
        <w:t xml:space="preserve"> The symptom variables are accordingly therapist-mediated, researcher-compiled observational data, gathered under the facility's routine care relationship and the gatekeeper arrangement described above - not responses to a self-administered research instrument; the satisfaction variable is a participant-completed paper-questionnaire response whose completed sheets are not held in the thesis archive and whose administered form and response anchors are therefore not on file (Appendix C) - and §5.5 carries the corresponding measurement cautions.</w:t>
      </w:r>
    </w:p>
    <w:p>
      <w:pPr>
        <w:jc w:val="both"/>
      </w:pPr>
      <w:r>
        <w:t>Consent in the Stage-3 remote deployment operated by informed, implied consent, and the thesis states the procedure exactly as it was. The distribution e-mails and the participant invitation, as recorded in the author's account (the invitation on file is a 4 August 2026 reconstruction), explained the purpose of the game and of the accompanying questionnaire and the use that would be made of replies; participation was voluntary and unpaid, and recipients could decline by simply not taking part; returning the game results and the questionnaire responses constituted consent to their use in the research. No written consent instrument was administered in Stage 3, and this is acknowledged as a limitation of the remote design. No participant names or e-mail addresses were recorded as data. The returned results and questionnaire responses were compiled into the aggregate summary in July 2026 and were not retained as separate participant records, so the returns that constituted consent are evidenced by the aggregate record and the distributor invitations on file (Appendix G, item G.5), not by individual returned files; this is a further limitation of the consent record. Acceptance of implied consent on this documentation is a matter for the Committee; no determination was on file at 30 September 2026.</w:t>
      </w:r>
    </w:p>
    <w:p>
      <w:pPr>
        <w:jc w:val="both"/>
      </w:pPr>
      <w:r>
        <w:t>Consent in the Stage-3B component study was recorded in-build: the protocol specifies a consent screen stating the research purpose, voluntariness, anonymity and data use and requiring an explicit tap or click before play, with the consent event written into each participant's export; the returns on record, and their admission or exclusion, are documented to the 30 September 2026 cut-off in §8.8 and Appendix I. The Chief Supervisor's sign-off of the Stage-3B protocol is not recorded as closed; its status, and what remains an author record, are stated in Appendix I.7. The separate Stage-3B Pro v4.1 researcher self-test batch (Appendix I.5) was played, by the author's account of 30 September 2026, by volunteers and their families or friends on a build whose participant release was disabled; its exports are archived as a development record, not as participant data (item G.13), and that use is recorded within the open ethics-scope item stated above (Appendix I.7).</w:t>
      </w:r>
    </w:p>
    <w:p>
      <w:pPr>
        <w:pStyle w:val="Heading2"/>
      </w:pPr>
      <w:bookmarkStart w:id="51" w:name="_Toc232024551"/>
      <w:r>
        <w:rPr>
          <w:lang w:val="en-US" w:eastAsia="en-US" w:bidi="ar-SA"/>
          <w:color w:val="000000"/>
          <w:szCs w:val="22"/>
        </w:rPr>
        <w:t>3.5 Methodological Limits and Mitigations</w:t>
      </w:r>
      <w:bookmarkEnd w:id="51"/>
    </w:p>
    <w:p>
      <w:pPr>
        <w:pStyle w:val="Normal"/>
        <w:jc w:val="both"/>
      </w:pPr>
      <w:r>
        <w:rPr>
          <w:szCs w:val="26"/>
          <w:lang w:val="en-US" w:eastAsia="en-US" w:bidi="ar-SA"/>
          <w:rFonts w:ascii="Times New Roman" w:hAnsi="Times New Roman" w:eastAsia="Times New Roman" w:cs="Times New Roman"/>
          <w:sz w:val="24"/>
        </w:rP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pPr>
        <w:pStyle w:val="Normal"/>
        <w:jc w:val="both"/>
      </w:pPr>
      <w:r>
        <w:rPr>
          <w:szCs w:val="26"/>
          <w:lang w:val="en-US" w:eastAsia="en-US" w:bidi="ar-SA"/>
          <w:rFonts w:ascii="Times New Roman" w:hAnsi="Times New Roman" w:eastAsia="Times New Roman" w:cs="Times New Roman"/>
          <w:sz w:val="24"/>
        </w:rPr>
        <w:t>Mitigation is therefore based on transparency, comparison with the closest available age band, explicit alternative explanations, confidence intervals and an explicitly specified next study (§8.8) rather than on claiming that theoretical convergence substitutes for causal control. The three stages provide convergent evidence: Stage 1 identifies a retrospective problem signature; Stage 2 documents observed early disengagement and the score-improvement/non-return pattern (per-participant first-experience adversity was not recorded, so the hypothesised first-failure–dropout association, H1, is carried as a design-stage expectation rather than a tested claim; §5.5); Stage 3's post-failure return results are reported in Chapter 6 and read against the Stage-2 pattern there in a separate cohort. Mental accounting, identity-level endowment and stereotype threat remain inferred candidate mechanisms. A within-cohort randomised coupled-versus-decoupled study with harmonised measures and observation windows would test the causal effect of that specified intervention contrast; direct appraisal measures would also be needed to evaluate the proposed psychological pathways.</w:t>
      </w:r>
    </w:p>
    <w:p>
      <w:pPr>
        <w:pStyle w:val="Normal"/>
        <w:jc w:val="both"/>
      </w:pPr>
      <w:r>
        <w:rPr>
          <w:i w:val="0"/>
          <w:szCs w:val="26"/>
          <w:lang w:val="en-US" w:eastAsia="en-US" w:bidi="ar-SA"/>
          <w:rFonts w:ascii="Times New Roman" w:hAnsi="Times New Roman" w:eastAsia="Times New Roman" w:cs="Times New Roman"/>
          <w:sz w:val="24"/>
        </w:rPr>
        <w:t>The hypothesis architecture of Table 3.1 separates original design expectations, exploratory findings and prospective tests. H0 expresses the expectation that governed the Stage-2 design, but the absence of a prespecified numerical benchmark or a contemporaneous counterfactual prevents it from functioning as a conventional statistical null for improved acceptance. The directional propositions developed through the action-research cycles. Adaptive learning was proposed after considering the Stage-3 difference between continued play and stated intention alongside the earlier field observations and relevant theory. It is a candidate engineering response, whose comparative effectiveness and mechanisms require the prospective evaluation proposed in §8.8; the Stage-3B component study recorded there is not used as that evaluation.</w:t>
      </w:r>
    </w:p>
    <w:p>
      <w:pPr>
        <w:pStyle w:val="Normal"/>
        <w:jc w:val="both"/>
      </w:pPr>
      <w:r>
        <w:rPr>
          <w:szCs w:val="26"/>
          <w:lang w:val="en-US" w:eastAsia="en-US" w:bidi="ar-SA"/>
          <w:rFonts w:ascii="Times New Roman" w:hAnsi="Times New Roman" w:eastAsia="Times New Roman" w:cs="Times New Roman"/>
          <w:sz w:val="24"/>
        </w:rPr>
        <w:t>The chronological provenance of each hypothesis is recorded explicitly, so that prospective tests and action-research discoveries cannot be conflated. H0 is a retrospectively formalised design expectation: the expectation it expresses governed the Stage-2 design ex ante — the build criteria of §5.2 document this — but its formal wording was written during analysis and writing and was not deposited in advance. H1, H2 and H4 originate in the Stage-1 survey and site observations and were held as working hypotheses before the Stage-2 deployment; their wording as printed in §5.1 was likewise fixed at writing. H5 and the Stage-3 predictions of §6.2 were formulated after the Stage-2 analysis and before Stage-3 recruitment, and are the closest the programme comes to stated-in-advance predictions. H0-age was licensed by the Stage-3 cohort design — three age bands recruited as built-in comparison groups — and was examined once the age-stratified data were tabulated. The adaptive-learning proposition was formed after the Stage-3 difference between continued play and stated intention was observed and is presented as a design hypothesis. The Stage-3B component study documented in §8.8 was pre-specified (repository-dated) to examine its adaptation and failure-presentation components; after the initial round its learning measurement was found not to be articulated to the adaptive-learning construct, and it is no longer used to determine that proposition — its achieved record is reported descriptively to the 30 September 2026 cut-off. The complete framework and the causal framing account require their own evaluations. No hypothesis in the completed Stages 1–3 was publicly preregistered, and the Stage-3B component study is described as pre-specified by repository-dated records, not as preregistered (§8.8); the distinction between the original expectations and their later formalisation therefore remains explicit. Prospective tests should fix their hypotheses, outcomes and analysis decisions before the relevant data are examined.</w:t>
      </w:r>
    </w:p>
    <w:p>
      <w:pPr>
        <w:pStyle w:val="Heading2"/>
      </w:pPr>
      <w:bookmarkStart w:id="52" w:name="_Toc232024552"/>
      <w:r>
        <w:rPr>
          <w:lang w:val="en-US" w:eastAsia="en-US" w:bidi="ar-SA"/>
          <w:color w:val="000000"/>
          <w:szCs w:val="22"/>
        </w:rPr>
        <w:t>3.6 An Instrumentation Roadmap for the Adaptive-Learning Proposition</w:t>
      </w:r>
      <w:bookmarkEnd w:id="52"/>
    </w:p>
    <w:p>
      <w:pPr>
        <w:pStyle w:val="Normal"/>
        <w:jc w:val="both"/>
      </w:pPr>
      <w:r>
        <w:rPr>
          <w:szCs w:val="26"/>
          <w:lang w:val="en-US" w:eastAsia="en-US" w:bidi="ar-SA"/>
          <w:rFonts w:ascii="Times New Roman" w:hAnsi="Times New Roman" w:eastAsia="Times New Roman" w:cs="Times New Roman"/>
          <w:sz w:val="24"/>
        </w:rPr>
        <w:t>This section converts the programme's adaptive-learning proposition into a confirmable claim for future study. The adaptive-learning proposition of §6.8 and Chapter 7 rests on the hypothesis that learning-trajectory appraisal can reduce the dominance of an endowment-protective interpretation of failure. The present stages motivate this hypothesis through behavioural patterns; they do not measure the proposed mechanism or test the complete adaptive-learning framework, and the Stage-3B component study (§8.8) is not used as that test because its learning measurement was not articulated to the construct. The instrumentation roadmap therefore converts each inferred operator into a measured variable and specifies evidence that would challenge the account. It must also distinguish performance change from changes in task demand, assistance or software configuration. A more favourable score following an easier task cannot, by itself, substantiate continuous improvement. The prospective framework requires comparable reference observations, separate records of challenge and support, and explicit evaluation of each substantive design revision; Chapter 7 specifies how these records can support truthful progress feedback when difficulty or the intervention itself changes.</w:t>
      </w:r>
    </w:p>
    <w:p>
      <w:pPr>
        <w:pStyle w:val="Normal"/>
        <w:jc w:val="both"/>
      </w:pPr>
      <w:r>
        <w:rPr>
          <w:szCs w:val="26"/>
          <w:lang w:val="en-US" w:eastAsia="en-US" w:bidi="ar-SA"/>
          <w:rFonts w:ascii="Times New Roman" w:hAnsi="Times New Roman" w:eastAsia="Times New Roman" w:cs="Times New Roman"/>
          <w:sz w:val="24"/>
        </w:rP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pPr>
        <w:pStyle w:val="Normal"/>
        <w:jc w:val="both"/>
      </w:pPr>
      <w:r>
        <w:rPr>
          <w:szCs w:val="26"/>
          <w:lang w:val="en-US" w:eastAsia="en-US" w:bidi="ar-SA"/>
          <w:rFonts w:ascii="Times New Roman" w:hAnsi="Times New Roman" w:eastAsia="Times New Roman" w:cs="Times New Roman"/>
          <w:sz w:val="24"/>
        </w:rPr>
        <w:t>A fourth move instruments the immediate behavioural and affective channel. The existing apparatus yields game outcomes recorded by hand and a separately measured FRA index,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pPr>
        <w:pStyle w:val="Normal"/>
        <w:spacing w:after="200" w:line="276" w:lineRule="auto"/>
        <w:jc w:val="both"/>
        <w:rPr>
          <w:rFonts w:asciiTheme="majorHAnsi" w:eastAsiaTheme="majorEastAsia" w:hAnsiTheme="majorHAnsi" w:cstheme="majorBidi"/>
          <w:b/>
          <w:bCs/>
          <w:color w:val="000000"/>
          <w:sz w:val="32"/>
          <w:szCs w:val="28"/>
        </w:rPr>
      </w:pPr>
      <w:r>
        <w:rPr>
          <w:i/>
          <w:rFonts w:asciiTheme="majorHAnsi" w:eastAsiaTheme="majorEastAsia" w:hAnsiTheme="majorHAnsi" w:cstheme="majorBidi" w:ascii="Times New Roman" w:hAnsi="Times New Roman" w:eastAsia="Times New Roman" w:cs="Times New Roman"/>
          <w:color w:val="000000"/>
          <w:sz w:val="24"/>
          <w:szCs w:val="28"/>
        </w:rPr>
        <w:t>The thesis keeps three registers, and keeping them distinct is what lets each speak with full confidence: observed results are reported as observations; mental accounting, endowment and stereotype threat are the candidate explanations that make the observations intelligible; and the adaptive-learning framework and environment-grounded adaptation are the engineering responses they inspire. Nothing in the first register is diluted by the openness of the second and third — the strength of the observations is exactly why the explanations and designs are worth pursuing.</w:t>
      </w:r>
    </w:p>
    <w:p>
      <w:pPr>
        <w:pStyle w:val="Heading1"/>
        <w:pageBreakBefore/>
      </w:pPr>
      <w:r>
        <w:rPr>
          <w:lang w:val="en-US" w:eastAsia="en-US" w:bidi="ar-SA"/>
          <w:color w:val="000000"/>
          <w:szCs w:val="28"/>
        </w:rPr>
        <w:t>Chapter 4 Stage 1 — From FIDS to FIAS</w:t>
      </w:r>
    </w:p>
    <w:p>
      <w:pPr>
        <w:pStyle w:val="Normal"/>
        <w:jc w:val="both"/>
      </w:pPr>
      <w:r>
        <w:rPr>
          <w:szCs w:val="26"/>
          <w:lang w:val="en-US" w:eastAsia="en-US" w:bidi="ar-SA"/>
          <w:rFonts w:ascii="Times New Roman" w:hAnsi="Times New Roman" w:eastAsia="Times New Roman" w:cs="Times New Roman"/>
          <w:sz w:val="24"/>
        </w:rPr>
        <w:t>Based on Paper 1: Tam, S. K. T., &amp; Cheung, C. F. (2026). Investigating low utilisation of Fall Risk Assessment among elderly users: A critical review through TAM and Octalysis frameworks with gamification approach. Paper SS-293, accepted and presented at the 10th International Conference on Management Engineering, Software Engineering and Service Sciences (ICMSS 2026), Wuhan, China, 20–22 March 2026; proceedings via Conference Publishing Services (CPS), submitted to IEEE Xplore (Ei Compendex/Scopus indexing pending).</w:t>
      </w:r>
    </w:p>
    <w:p>
      <w:pPr>
        <w:pStyle w:val="Heading2"/>
      </w:pPr>
      <w:bookmarkStart w:id="53" w:name="_Toc232024554"/>
      <w:r>
        <w:rPr>
          <w:lang w:val="en-US" w:eastAsia="en-US" w:bidi="ar-SA"/>
          <w:color w:val="000000"/>
          <w:szCs w:val="22"/>
        </w:rPr>
        <w:t>4.1 Purpose</w:t>
      </w:r>
      <w:bookmarkEnd w:id="53"/>
    </w:p>
    <w:p>
      <w:pPr>
        <w:pStyle w:val="Normal"/>
        <w:jc w:val="both"/>
      </w:pPr>
      <w:r>
        <w:rPr>
          <w:szCs w:val="26"/>
          <w:lang w:val="en-US" w:eastAsia="en-US" w:bidi="ar-SA"/>
          <w:rFonts w:ascii="Times New Roman" w:hAnsi="Times New Roman" w:eastAsia="Times New Roman" w:cs="Times New Roman"/>
          <w:sz w:val="24"/>
        </w:rP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deployed a professionally installed FRA station with free access and staff support, yet utilisation remained low. Stage 1 therefore supplies a retrospective problem signal that challenges the sufficiency of those practical provisions and motivates examination of the original design expectation (§2.3.5). It does not establish that all acceptance-related beliefs were favourable or that the acceptance models had been falsified. Stage 1 was not designed to validate FIAS or to identify a causal psychological mechanism.</w:t>
      </w:r>
    </w:p>
    <w:p>
      <w:pPr>
        <w:pStyle w:val="Heading2"/>
      </w:pPr>
      <w:bookmarkStart w:id="54" w:name="_Toc232024555"/>
      <w:r>
        <w:rPr>
          <w:lang w:val="en-US" w:eastAsia="en-US" w:bidi="ar-SA"/>
          <w:color w:val="000000"/>
          <w:szCs w:val="26"/>
        </w:rPr>
        <w:t>4.1A What is Fall Risk Assessment (FRA)? Basic System Design and Features</w:t>
      </w:r>
      <w:bookmarkEnd w:id="54"/>
    </w:p>
    <w:p>
      <w:pPr>
        <w:pStyle w:val="Normal"/>
        <w:jc w:val="both"/>
      </w:pPr>
      <w:r>
        <w:rPr>
          <w:szCs w:val="22"/>
          <w:lang w:val="en-US" w:eastAsia="en-US" w:bidi="ar-SA"/>
          <w:rFonts w:ascii="Times New Roman" w:hAnsi="Times New Roman" w:eastAsia="Times New Roman" w:cs="Times New Roman"/>
          <w:sz w:val="24"/>
        </w:rP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pPr>
        <w:pStyle w:val="Normal"/>
        <w:jc w:val="both"/>
      </w:pPr>
      <w:r>
        <w:rPr>
          <w:szCs w:val="22"/>
          <w:lang w:val="en-US" w:eastAsia="en-US" w:bidi="ar-SA"/>
          <w:rFonts w:ascii="Times New Roman" w:hAnsi="Times New Roman" w:eastAsia="Times New Roman" w:cs="Times New Roman"/>
          <w:sz w:val="24"/>
        </w:rPr>
        <w:t>The platform lineage is European. According to the author's industry documentation, the InBody FRA line derives from the HUR SmartBalance modular balance solution (HUR Oy, Finland) — balance platform, support rail and touchscreen computer — for which, on the author's account as an industrial practitioner (not documented in the archive), InBody holds the Asian market rights; the Asia-market units used in this programme are modified versions whose software adds a game mode. The vendor brochure supporting this account is held in the study archive (Appendix G, item G.9). Device naming throughout the thesis refers to the InBody-branded instruments as deployed, with the HUR platform as their design origin.</w:t>
      </w:r>
    </w:p>
    <w:p>
      <w:pPr>
        <w:pStyle w:val="Normal"/>
        <w:jc w:val="both"/>
      </w:pPr>
      <w:r>
        <w:rPr>
          <w:szCs w:val="22"/>
          <w:lang w:val="en-US" w:eastAsia="en-US" w:bidi="ar-SA"/>
          <w:rFonts w:ascii="Times New Roman" w:hAnsi="Times New Roman" w:eastAsia="Times New Roman" w:cs="Times New Roman"/>
          <w:sz w:val="24"/>
        </w:rP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pPr>
        <w:pStyle w:val="Normal"/>
        <w:jc w:val="both"/>
      </w:pPr>
      <w:r>
        <w:rPr>
          <w:szCs w:val="22"/>
          <w:lang w:val="en-US" w:eastAsia="en-US" w:bidi="ar-SA"/>
          <w:rFonts w:ascii="Times New Roman" w:hAnsi="Times New Roman" w:eastAsia="Times New Roman" w:cs="Times New Roman"/>
          <w:sz w:val="24"/>
        </w:rPr>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weight-shifting movement as a gameplay input, through a separate controller mat, while the clinical pathway runs in parallel on the footplate (§5.2A). Game performance is not a clinical measure and is not treated as one in this thesis.</w:t>
      </w:r>
    </w:p>
    <w:p>
      <w:pPr>
        <w:pStyle w:val="Normal"/>
        <w:keepNext/>
        <w:spacing w:before="160" w:after="40"/>
        <w:jc w:val="center"/>
      </w:pPr>
      <w:r>
        <w:drawing>
          <wp:inline>
            <wp:extent cx="5669280" cy="2631586"/>
            <wp:docPr id="19" name="Picture 19" descr="Figure 4.1A. Fall Risk Assessment (FRA) system architecture as deployed at the Poly Group facility (InBody FRA510S)."/>
            <wp:cNvGraphicFramePr>
              <a:graphicFrameLocks noChangeAspect="1"/>
            </wp:cNvGraphicFramePr>
            <a:graphic>
              <a:graphicData uri="http://schemas.openxmlformats.org/drawingml/2006/picture">
                <pic:pic>
                  <pic:nvPicPr>
                    <pic:cNvPr id="0" name="fig_4_1a.png"/>
                    <pic:cNvPicPr/>
                  </pic:nvPicPr>
                  <pic:blipFill>
                    <a:blip r:embed="rId28"/>
                    <a:stretch>
                      <a:fillRect/>
                    </a:stretch>
                  </pic:blipFill>
                  <pic:spPr>
                    <a:xfrm>
                      <a:off x="0" y="0"/>
                      <a:ext cx="5669280" cy="2631586"/>
                    </a:xfrm>
                    <a:prstGeom prst="rect"/>
                  </pic:spPr>
                </pic:pic>
              </a:graphicData>
            </a:graphic>
          </wp:inline>
        </w:drawing>
      </w:r>
    </w:p>
    <w:p>
      <w:pPr>
        <w:pStyle w:val="FigureCaption"/>
        <w:keepLines/>
        <w:jc w:val="center"/>
      </w:pPr>
      <w:bookmarkStart w:id="55" w:name="_Toc232024680"/>
      <w:r>
        <w:rPr>
          <w:sz w:val="24"/>
          <w:szCs w:val="22"/>
          <w:lang w:val="en-US" w:eastAsia="en-US" w:bidi="ar-SA"/>
          <w:rFonts w:ascii="Times New Roman" w:hAnsi="Times New Roman" w:eastAsia="Times New Roman" w:cs="Times New Roman"/>
          <w:i/>
          <w:b/>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pPr>
        <w:pStyle w:val="Normal"/>
        <w:keepNext/>
      </w:pPr>
      <w:r>
        <w:drawing>
          <wp:inline>
            <wp:extent cx="3108960" cy="4145280"/>
            <wp:docPr id="31" name="Picture 31" descr="Figure 4.1B. The FRA balance station as deployed in the rehabilitation room of the Guangzhou facility (photograph by the author)."/>
            <wp:cNvGraphicFramePr>
              <a:graphicFrameLocks noChangeAspect="1"/>
            </wp:cNvGraphicFramePr>
            <a:graphic>
              <a:graphicData uri="http://schemas.openxmlformats.org/drawingml/2006/picture">
                <pic:pic>
                  <pic:nvPicPr>
                    <pic:cNvPr id="0" name="fig_4_1B.jpg"/>
                    <pic:cNvPicPr/>
                  </pic:nvPicPr>
                  <pic:blipFill>
                    <a:blip r:embed="rId40"/>
                    <a:stretch>
                      <a:fillRect/>
                    </a:stretch>
                  </pic:blipFill>
                  <pic:spPr>
                    <a:xfrm>
                      <a:off x="0" y="0"/>
                      <a:ext cx="3108960" cy="414528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4.1B. The FRA balance station as deployed in the rehabilitation room of the Guangzhou facility (photograph by the author). The four-load-cell sensing surface — the dark glass panel marked with foot-placement guides — is set into an anti-slip base plate and flanked by support rails; the operator's monitor and keyboard stand on a mobile cart behind the platform. The configuration is the modular arrangement described in §4.1A (platform, support rails, operator computer); facility signage designates the occupational-therapy training area and the balance-test zone. The platform-to-game coupling used in Stage 2 is demonstrated on a balance platform in Figure 5.1A (development-office demonstration of the prototype, 27 August 2024; §5.3.9).</w:t>
      </w:r>
    </w:p>
    <w:p>
      <w:pPr>
        <w:pStyle w:val="Normal"/>
        <w:jc w:val="both"/>
      </w:pPr>
      <w:r>
        <w:rPr>
          <w:szCs w:val="22"/>
          <w:lang w:val="en-US" w:eastAsia="en-US" w:bidi="ar-SA"/>
          <w:rFonts w:ascii="Times New Roman" w:hAnsi="Times New Roman" w:eastAsia="Times New Roman" w:cs="Times New Roman"/>
          <w:sz w:val="24"/>
        </w:rP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every Stage-1 result is computed either on the interviewed sample of 200 or, for the conditional items, on an explicitly labelled subgroup of it (§4.2). No separate TAM-based questionnaire block was administered; the six-item form reproduced in Appendix A is the complete Stage-1 instrument, and only results with a traceable item, wording, denominator and data source remain in Table 4.1.</w:t>
      </w:r>
    </w:p>
    <w:p>
      <w:pPr>
        <w:jc w:val="both"/>
      </w:pPr>
      <w:r>
        <w:t>A scoping statement belongs here. The commercial FRA proposition - in the InBody line as in its HUR antecedent - is not assessment alone but an assess-then-train model: measurement identifies fall risk, and a training programme on the same platform is intended to reduce it. This thesis studies the assessment gate only, and does so deliberately: a central observation of the programme is that utilisation falls away at that gate, and when older adults refuse or abandon assessment, the training phase never begins. The assessment gate is thus the binding constraint on the entire model's preventive value, and its acceptance is the highest-leverage object of study. The training phase, and the extension of this thesis's framework to it, are addressed as an explicit limitation, together with the requirements of any future training extension, in §8.7.</w:t>
      </w:r>
    </w:p>
    <w:p>
      <w:pPr>
        <w:jc w:val="both"/>
      </w:pPr>
      <w:r>
        <w:t>Three features of the station's operating practice at the facility, recorded here on the author's account from site observation and informal conversations with residents, nursing staff and the management office and not independently documented in the repository, complete the picture the Stage-1 survey was fielded into, and each bears on how a resident could rationally regard the FRA before ever stepping onto it. First, the assessment was not self-service: a therapist's support was required to run the protocol, so every assessment was also a supervised, observed performance. Second, the protocol itself was demanding - a full multi-domain assessment rather than a casual check - and, on the author's account, its rigour deterred participation. Third, and most consequentially, the verdict had teeth: an unfavourable risk profile led in practice to prescribed balance training on the same platform, and to recommendations against walking alone and freely. An adverse result was therefore not merely unwelcome information; it initiated obligations and restricted the very independence it measured. By the facility's account, word of these consequences circulated among residents ahead of any personal experience. This operating context - authority present, effort demanded, autonomy at stake - is the background against which the Stage-1 pattern of acknowledged benefit without participation, reported in the next section, should be read.</w:t>
      </w:r>
    </w:p>
    <w:p>
      <w:pPr>
        <w:pStyle w:val="Heading2"/>
      </w:pPr>
      <w:bookmarkStart w:id="56" w:name="_Toc232024556"/>
      <w:r>
        <w:rPr>
          <w:lang w:val="en-US" w:eastAsia="en-US" w:bidi="ar-SA"/>
          <w:color w:val="000000"/>
          <w:szCs w:val="26"/>
        </w:rPr>
        <w:t>4.2 The Guangzhou Survey (N = 200 of 280 Residents)</w:t>
      </w:r>
      <w:bookmarkEnd w:id="56"/>
    </w:p>
    <w:p>
      <w:pPr>
        <w:pStyle w:val="Normal"/>
        <w:jc w:val="both"/>
      </w:pPr>
      <w:r>
        <w:rPr>
          <w:szCs w:val="22"/>
          <w:lang w:val="en-US" w:eastAsia="en-US" w:bidi="ar-SA"/>
          <w:rFonts w:ascii="Times New Roman" w:hAnsi="Times New Roman" w:eastAsia="Times New Roman" w:cs="Times New Roman"/>
          <w:sz w:val="24"/>
        </w:rPr>
        <w:t>Six Yes/No items were administered face-to-face by nursing staff in July and August 2024 to residents who met the stated eligibility criteria; none of the five criteria (Appendix A) was an age criterion. Working documents described the interviewed sample as aged 65–88, but no per-respondent Stage-1 response file is archived against which that range can be verified (Appendix G, item G.1), and the verified Stage-2 record contradicts its lower bound: all thirty Stage-2 participants were drawn from this interviewed sample (§3.4, §5.4), and five of them are recorded in the Stage-2 archive (Appendix G, item G.2) as aged 62–64 — Stage 2 post-dates the survey, so their ages at interview could not have been higher. The 65–88 range is therefore withdrawn as a reporting error inherited from working documents, and no age range is claimed for the interviewed sample.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base sample for all Stage-1 results. The whole-sample items — awareness (Item 1) and prior use (Item 2) — take the full interviewed sample of 200 as their denominator; of the two, only the Item 2 result (ever used / never used) is carried in Table 4.1, and no Item 1 aggregate is reported in this thesis. The follow-on items are conditional, and their percentages are therefore not computed on 200: the adverse-first-experience figure is computed among prior users only, and the non-return figure among the prior users who reported an adverse or unacceptable first experience, as the row labels of Table 4.1 state. The two conditional figures carry tildes because they are rounded approximations; the item-level integer counts behind them are not reproduced in the running text (the cleaned response file, Appendix G item G.1, is not archived). The remaining 80 residents were unavailable at the time the interviews were conducted; none were excluded by refusal. The relationship between unavailability and FRA experience was not established, so the direction and magnitude of selection bias cannot be determined from these data; this is acknowledged among the Stage-1 limitations in §4.8.</w:t>
      </w:r>
    </w:p>
    <w:p>
      <w:pPr>
        <w:pStyle w:val="FigureCaption"/>
        <w:keepNext/>
        <w:keepLines/>
        <w:jc w:val="center"/>
      </w:pPr>
      <w:bookmarkStart w:id="57" w:name="_Toc232024694"/>
      <w:r>
        <w:rPr>
          <w:sz w:val="24"/>
          <w:szCs w:val="22"/>
          <w:lang w:val="en-US" w:eastAsia="en-US" w:bidi="ar-SA"/>
          <w:rFonts w:ascii="Times New Roman" w:hAnsi="Times New Roman" w:eastAsia="Times New Roman" w:cs="Times New Roman"/>
          <w:i/>
          <w:b/>
        </w:rPr>
        <w:t>Table 4.1. Stage-1 survey results (N = 200 residents surveyed, of a resident population of 280). Aggregate percentages are reported without a bound source record: the per-respondent response file (Appendix G, item G.1) is not archived, so the figures cannot be checked against individual responses and the conditional figures cannot be reproduced as item-level counts.</w:t>
      </w:r>
      <w:bookmarkEnd w:id="57"/>
    </w:p>
    <w:tbl>
      <w:tblPr>
        <w:tblStyle w:val="TableGrid"/>
        <w:tblW w:w="8505" w:type="dxa"/>
        <w:jc w:val="center"/>
        <w:tblLayout w:type="fixed"/>
        <w:tblLook w:val="04A0" w:firstRow="1" w:lastRow="0" w:firstColumn="1" w:lastColumn="0" w:noHBand="0" w:noVBand="1"/>
      </w:tblPr>
      <w:tblGrid>
        <w:gridCol w:w="6674"/>
        <w:gridCol w:w="1831"/>
      </w:tblGrid>
      <w:tr>
        <w:trPr>
          <w:jc w:val="center"/>
          <w:tblHeader/>
          <w:cantSplit/>
        </w:trPr>
        <w:tc>
          <w:tcPr>
            <w:tcW w:w="6674" w:type="dxa"/>
          </w:tcPr>
          <w:p>
            <w:pPr>
              <w:pStyle w:val="Normal"/>
              <w:keepNext w:val="0"/>
              <w:keepLines/>
            </w:pPr>
            <w:r>
              <w:rPr>
                <w:b/>
                <w:sz w:val="18"/>
                <w:szCs w:val="22"/>
                <w:lang w:val="en-US" w:eastAsia="en-US" w:bidi="ar-SA"/>
                <w:rFonts w:ascii="Times New Roman" w:hAnsi="Times New Roman" w:eastAsia="Times New Roman" w:cs="Times New Roman"/>
              </w:rPr>
              <w:t>Survey item</w:t>
            </w:r>
          </w:p>
        </w:tc>
        <w:tc>
          <w:tcPr>
            <w:tcW w:w="1831" w:type="dxa"/>
          </w:tcPr>
          <w:p>
            <w:pPr>
              <w:pStyle w:val="Normal"/>
              <w:keepNext w:val="0"/>
              <w:keepLines/>
            </w:pPr>
            <w:r>
              <w:rPr>
                <w:b/>
                <w:sz w:val="18"/>
                <w:szCs w:val="22"/>
                <w:lang w:val="en-US" w:eastAsia="en-US" w:bidi="ar-SA"/>
                <w:rFonts w:ascii="Times New Roman" w:hAnsi="Times New Roman" w:eastAsia="Times New Roman" w:cs="Times New Roman"/>
              </w:rPr>
              <w:t>Result</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Ever used FRA</w:t>
            </w:r>
          </w:p>
        </w:tc>
        <w:tc>
          <w:tcPr>
            <w:tcW w:w="1831" w:type="dxa"/>
          </w:tcPr>
          <w:p>
            <w:pPr>
              <w:pStyle w:val="Normal"/>
            </w:pPr>
            <w:r>
              <w:rPr>
                <w:sz w:val="24"/>
                <w:szCs w:val="22"/>
                <w:lang w:val="en-US" w:eastAsia="en-US" w:bidi="ar-SA"/>
                <w:rFonts w:ascii="Times New Roman" w:hAnsi="Times New Roman" w:eastAsia="Times New Roman" w:cs="Times New Roman"/>
              </w:rPr>
              <w:t>39%</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Never used FRA</w:t>
            </w:r>
          </w:p>
        </w:tc>
        <w:tc>
          <w:tcPr>
            <w:tcW w:w="1831" w:type="dxa"/>
          </w:tcPr>
          <w:p>
            <w:pPr>
              <w:pStyle w:val="Normal"/>
            </w:pPr>
            <w:r>
              <w:rPr>
                <w:sz w:val="24"/>
                <w:szCs w:val="22"/>
                <w:lang w:val="en-US" w:eastAsia="en-US" w:bidi="ar-SA"/>
                <w:rFonts w:ascii="Times New Roman" w:hAnsi="Times New Roman" w:eastAsia="Times New Roman" w:cs="Times New Roman"/>
              </w:rPr>
              <w:t>61%</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Adverse/unacceptable first experience among prior users (item 3 asks whether the first result was understood and accepted; mapping to task failure is interpretive, §4.8)</w:t>
            </w:r>
          </w:p>
        </w:tc>
        <w:tc>
          <w:tcPr>
            <w:tcW w:w="1831" w:type="dxa"/>
          </w:tcPr>
          <w:p>
            <w:pPr>
              <w:pStyle w:val="Normal"/>
            </w:pPr>
            <w:r>
              <w:rPr>
                <w:sz w:val="24"/>
                <w:szCs w:val="22"/>
                <w:lang w:val="en-US" w:eastAsia="en-US" w:bidi="ar-SA"/>
                <w:rFonts w:ascii="Times New Roman" w:hAnsi="Times New Roman" w:eastAsia="Times New Roman" w:cs="Times New Roman"/>
              </w:rPr>
              <w:t>~74%</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Self-reported non-return after the adverse first experience</w:t>
            </w:r>
          </w:p>
        </w:tc>
        <w:tc>
          <w:tcPr>
            <w:tcW w:w="1831" w:type="dxa"/>
          </w:tcPr>
          <w:p>
            <w:pPr>
              <w:pStyle w:val="Normal"/>
            </w:pPr>
            <w:r>
              <w:rPr>
                <w:sz w:val="24"/>
                <w:szCs w:val="22"/>
                <w:lang w:val="en-US" w:eastAsia="en-US" w:bidi="ar-SA"/>
                <w:rFonts w:ascii="Times New Roman" w:hAnsi="Times New Roman" w:eastAsia="Times New Roman" w:cs="Times New Roman"/>
              </w:rPr>
              <w:t>~82%</w:t>
            </w:r>
          </w:p>
        </w:tc>
      </w:tr>
    </w:tbl>
    <w:p>
      <w:pPr>
        <w:pStyle w:val="Normal"/>
        <w:jc w:val="both"/>
      </w:pPr>
      <w:r>
        <w:rPr>
          <w:szCs w:val="22"/>
          <w:lang w:val="en-US" w:eastAsia="en-US" w:bidi="ar-SA"/>
          <w:rFonts w:ascii="Times New Roman" w:hAnsi="Times New Roman" w:eastAsia="Times New Roman" w:cs="Times New Roman"/>
          <w:sz w:val="24"/>
        </w:rPr>
        <w:t>The survey records low prior use (39% of the 200 interviewed) despite free, supported provision, and a high level of self-reported non-return among prior users after an adverse or unacceptable first experience. It does not establish that every respondent experienced task failure, that the decision occurred immediately, or that non-return was irreversible. Working tables from the survey period also suggested favourable physical-access and perceived-benefit estimates; because those figures cannot be traced to items in the archived six-item instrument (Appendix A), they are not reported as survey results. The Stage-1 result is therefore a descriptive problem signature that justifies prospective study of the first adverse experience.</w:t>
      </w:r>
    </w:p>
    <w:p>
      <w:pPr>
        <w:pStyle w:val="Heading2"/>
      </w:pPr>
      <w:bookmarkStart w:id="58" w:name="_Toc232024557"/>
      <w:r>
        <w:rPr>
          <w:lang w:val="en-US" w:eastAsia="en-US" w:bidi="ar-SA"/>
          <w:color w:val="000000"/>
          <w:szCs w:val="26"/>
        </w:rPr>
        <w:t>4.3 TAM, STAM and the Limitation for Retired Users</w:t>
      </w:r>
      <w:bookmarkEnd w:id="58"/>
    </w:p>
    <w:p>
      <w:pPr>
        <w:pStyle w:val="Normal"/>
        <w:jc w:val="both"/>
      </w:pPr>
      <w:r>
        <w:rPr>
          <w:szCs w:val="22"/>
          <w:lang w:val="en-US" w:eastAsia="en-US" w:bidi="ar-SA"/>
          <w:rFonts w:ascii="Times New Roman" w:hAnsi="Times New Roman" w:eastAsia="Times New Roman" w:cs="Times New Roman"/>
          <w:sz w:val="24"/>
        </w:rPr>
        <w:t>TAM was developed primarily in instrumental technology-use settings, with Perceived Usefulness commonly operationalised through performance gains. In preventive health settings involving retired older adults, relevant benefits may include safety, independence, confidence and quality of life (§2.2.1). The present study asks how an adverse first experience relates to subsequent use and whether event-specific appraisal can add explanatory value to acceptance and continuance accounts (§2.2.3). Awareness, physical access and prior trial are not equivalent to measured acceptance, perceived usefulness or ease of use. The Stage-1 pattern therefore motivates prospective investigation of experience and non-return; it does not demonstrate a retrospective failure of TAM or STAM, nor show that positive beliefs cannot predict use.</w:t>
      </w:r>
    </w:p>
    <w:p>
      <w:pPr>
        <w:pStyle w:val="FigureCaption"/>
        <w:keepNext/>
        <w:keepLines/>
        <w:jc w:val="center"/>
      </w:pPr>
      <w:bookmarkStart w:id="59" w:name="_Toc232024695"/>
      <w:r>
        <w:rPr>
          <w:sz w:val="24"/>
          <w:szCs w:val="22"/>
          <w:lang w:val="en-US" w:eastAsia="en-US" w:bidi="ar-SA"/>
          <w:rFonts w:ascii="Times New Roman" w:hAnsi="Times New Roman" w:eastAsia="Times New Roman" w:cs="Times New Roman"/>
          <w:i/>
          <w:b/>
        </w:rPr>
        <w:t>Table 4.2. TAM limitations for older-adult FRA users.</w:t>
      </w:r>
      <w:bookmarkEnd w:id="59"/>
    </w:p>
    <w:tbl>
      <w:tblPr>
        <w:tblStyle w:val="TableGrid"/>
        <w:tblW w:w="8505" w:type="dxa"/>
        <w:jc w:val="center"/>
        <w:tblLayout w:type="fixed"/>
        <w:tblLook w:val="04A0" w:firstRow="1" w:lastRow="0" w:firstColumn="1" w:lastColumn="0" w:noHBand="0" w:noVBand="1"/>
      </w:tblPr>
      <w:tblGrid>
        <w:gridCol w:w="2587"/>
        <w:gridCol w:w="3142"/>
        <w:gridCol w:w="2776"/>
      </w:tblGrid>
      <w:tr>
        <w:trPr>
          <w:jc w:val="center"/>
          <w:tblHeader/>
          <w:cantSplit/>
        </w:trPr>
        <w:tc>
          <w:tcPr>
            <w:tcW w:w="2587" w:type="dxa"/>
          </w:tcPr>
          <w:p>
            <w:pPr>
              <w:pStyle w:val="Normal"/>
              <w:keepNext w:val="0"/>
              <w:keepLines/>
            </w:pPr>
            <w:r>
              <w:rPr>
                <w:b/>
                <w:sz w:val="18"/>
                <w:szCs w:val="22"/>
                <w:lang w:val="en-US" w:eastAsia="en-US" w:bidi="ar-SA"/>
                <w:rFonts w:ascii="Times New Roman" w:hAnsi="Times New Roman" w:eastAsia="Times New Roman" w:cs="Times New Roman"/>
              </w:rPr>
              <w:t>Acceptance-model consideration</w:t>
            </w:r>
          </w:p>
        </w:tc>
        <w:tc>
          <w:tcPr>
            <w:tcW w:w="3142" w:type="dxa"/>
          </w:tcPr>
          <w:p>
            <w:pPr>
              <w:pStyle w:val="Normal"/>
              <w:keepNext w:val="0"/>
              <w:keepLines/>
            </w:pPr>
            <w:r>
              <w:rPr>
                <w:b/>
                <w:sz w:val="18"/>
                <w:szCs w:val="22"/>
                <w:lang w:val="en-US" w:eastAsia="en-US" w:bidi="ar-SA"/>
                <w:rFonts w:ascii="Times New Roman" w:hAnsi="Times New Roman" w:eastAsia="Times New Roman" w:cs="Times New Roman"/>
              </w:rPr>
              <w:t>Contextual question in older-adult FRA use</w:t>
            </w:r>
          </w:p>
        </w:tc>
        <w:tc>
          <w:tcPr>
            <w:tcW w:w="2776" w:type="dxa"/>
          </w:tcPr>
          <w:p>
            <w:pPr>
              <w:pStyle w:val="Normal"/>
              <w:keepNext w:val="0"/>
              <w:keepLines/>
            </w:pPr>
            <w:r>
              <w:rPr>
                <w:b/>
                <w:sz w:val="18"/>
                <w:szCs w:val="22"/>
                <w:lang w:val="en-US" w:eastAsia="en-US" w:bidi="ar-SA"/>
                <w:rFonts w:ascii="Times New Roman" w:hAnsi="Times New Roman" w:eastAsia="Times New Roman" w:cs="Times New Roman"/>
              </w:rPr>
              <w:t>Implication for this study</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Usefulness often operationalised through performance gains</w:t>
            </w:r>
          </w:p>
        </w:tc>
        <w:tc>
          <w:tcPr>
            <w:tcW w:w="3142" w:type="dxa"/>
          </w:tcPr>
          <w:p>
            <w:pPr>
              <w:pStyle w:val="Normal"/>
            </w:pPr>
            <w:r>
              <w:rPr>
                <w:sz w:val="24"/>
                <w:szCs w:val="22"/>
                <w:lang w:val="en-US" w:eastAsia="en-US" w:bidi="ar-SA"/>
                <w:rFonts w:ascii="Times New Roman" w:hAnsi="Times New Roman" w:eastAsia="Times New Roman" w:cs="Times New Roman"/>
              </w:rPr>
              <w:t>Relevant benefits may include independence, confidence and preventive value</w:t>
            </w:r>
          </w:p>
        </w:tc>
        <w:tc>
          <w:tcPr>
            <w:tcW w:w="2776" w:type="dxa"/>
          </w:tcPr>
          <w:p>
            <w:pPr>
              <w:pStyle w:val="Normal"/>
            </w:pPr>
            <w:r>
              <w:rPr>
                <w:sz w:val="24"/>
                <w:szCs w:val="22"/>
                <w:lang w:val="en-US" w:eastAsia="en-US" w:bidi="ar-SA"/>
                <w:rFonts w:ascii="Times New Roman" w:hAnsi="Times New Roman" w:eastAsia="Times New Roman" w:cs="Times New Roman"/>
              </w:rPr>
              <w:t>Contextualise the assessment of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Beliefs and facilitating conditions can predict use</w:t>
            </w:r>
          </w:p>
        </w:tc>
        <w:tc>
          <w:tcPr>
            <w:tcW w:w="3142" w:type="dxa"/>
          </w:tcPr>
          <w:p>
            <w:pPr>
              <w:pStyle w:val="Normal"/>
            </w:pPr>
            <w:r>
              <w:rPr>
                <w:szCs w:val="22"/>
                <w:lang w:val="en-US" w:eastAsia="en-US" w:bidi="ar-SA"/>
                <w:rFonts w:ascii="Times New Roman" w:hAnsi="Times New Roman" w:eastAsia="Times New Roman" w:cs="Times New Roman"/>
                <w:sz w:val="24"/>
              </w:rPr>
              <w:t>Physical access and awareness do not establish favourable measured acceptance beliefs</w:t>
            </w:r>
          </w:p>
        </w:tc>
        <w:tc>
          <w:tcPr>
            <w:tcW w:w="2776" w:type="dxa"/>
          </w:tcPr>
          <w:p>
            <w:pPr>
              <w:pStyle w:val="Normal"/>
            </w:pPr>
            <w:r>
              <w:rPr>
                <w:szCs w:val="22"/>
                <w:lang w:val="en-US" w:eastAsia="en-US" w:bidi="ar-SA"/>
                <w:rFonts w:ascii="Times New Roman" w:hAnsi="Times New Roman" w:eastAsia="Times New Roman" w:cs="Times New Roman"/>
                <w:sz w:val="24"/>
              </w:rPr>
              <w:t>Examine beliefs and experience without equating provision with acceptance</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Acceptance and continuance accounts link beliefs, experience and subsequent use</w:t>
            </w:r>
          </w:p>
        </w:tc>
        <w:tc>
          <w:tcPr>
            <w:tcW w:w="3142" w:type="dxa"/>
          </w:tcPr>
          <w:p>
            <w:pPr>
              <w:pStyle w:val="Normal"/>
            </w:pPr>
            <w:r>
              <w:rPr>
                <w:szCs w:val="22"/>
                <w:lang w:val="en-US" w:eastAsia="en-US" w:bidi="ar-SA"/>
                <w:rFonts w:ascii="Times New Roman" w:hAnsi="Times New Roman" w:eastAsia="Times New Roman" w:cs="Times New Roman"/>
                <w:sz w:val="24"/>
              </w:rPr>
              <w:t>The meaning of an adverse first experience may influence continued participation</w:t>
            </w:r>
          </w:p>
        </w:tc>
        <w:tc>
          <w:tcPr>
            <w:tcW w:w="2776" w:type="dxa"/>
          </w:tcPr>
          <w:p>
            <w:pPr>
              <w:pStyle w:val="Normal"/>
            </w:pPr>
            <w:r>
              <w:rPr>
                <w:szCs w:val="22"/>
                <w:lang w:val="en-US" w:eastAsia="en-US" w:bidi="ar-SA"/>
                <w:rFonts w:ascii="Times New Roman" w:hAnsi="Times New Roman" w:eastAsia="Times New Roman" w:cs="Times New Roman"/>
                <w:sz w:val="24"/>
              </w:rPr>
              <w:t>Evaluate event-specific appraisal alongside satisfaction and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The baseline models do not provide the specific event-level FIAS account proposed here</w:t>
            </w:r>
          </w:p>
        </w:tc>
        <w:tc>
          <w:tcPr>
            <w:tcW w:w="3142" w:type="dxa"/>
          </w:tcPr>
          <w:p>
            <w:pPr>
              <w:pStyle w:val="Normal"/>
            </w:pPr>
            <w:r>
              <w:rPr>
                <w:szCs w:val="22"/>
                <w:lang w:val="en-US" w:eastAsia="en-US" w:bidi="ar-SA"/>
                <w:rFonts w:ascii="Times New Roman" w:hAnsi="Times New Roman" w:eastAsia="Times New Roman" w:cs="Times New Roman"/>
                <w:sz w:val="24"/>
              </w:rPr>
              <w:t>Early disengagement and later non-return were observed in Stage 2</w:t>
            </w:r>
          </w:p>
        </w:tc>
        <w:tc>
          <w:tcPr>
            <w:tcW w:w="2776" w:type="dxa"/>
          </w:tcPr>
          <w:p>
            <w:pPr>
              <w:pStyle w:val="Normal"/>
            </w:pPr>
            <w:r>
              <w:rPr>
                <w:szCs w:val="22"/>
                <w:lang w:val="en-US" w:eastAsia="en-US" w:bidi="ar-SA"/>
                <w:rFonts w:ascii="Times New Roman" w:hAnsi="Times New Roman" w:eastAsia="Times New Roman" w:cs="Times New Roman"/>
                <w:sz w:val="24"/>
              </w:rPr>
              <w:t>Test whether prospectively measured appraisal adds predictive value</w:t>
            </w:r>
          </w:p>
        </w:tc>
      </w:tr>
    </w:tbl>
    <w:p>
      <w:pPr>
        <w:pStyle w:val="Normal"/>
        <w:spacing w:after="40"/>
      </w:pPr>
    </w:p>
    <w:p>
      <w:pPr>
        <w:pStyle w:val="Heading2"/>
      </w:pPr>
      <w:bookmarkStart w:id="60" w:name="_Toc232024558"/>
      <w:r>
        <w:rPr>
          <w:lang w:val="en-US" w:eastAsia="en-US" w:bidi="ar-SA"/>
          <w:color w:val="000000"/>
          <w:szCs w:val="26"/>
        </w:rPr>
        <w:t>4.4 Octalysis and the In-Game Loss Assumption</w:t>
      </w:r>
      <w:bookmarkEnd w:id="60"/>
    </w:p>
    <w:p>
      <w:pPr>
        <w:pStyle w:val="Normal"/>
        <w:jc w:val="both"/>
      </w:pPr>
      <w:r>
        <w:rPr>
          <w:szCs w:val="22"/>
          <w:lang w:val="en-US" w:eastAsia="en-US" w:bidi="ar-SA"/>
          <w:rFonts w:ascii="Times New Roman" w:hAnsi="Times New Roman" w:eastAsia="Times New Roman" w:cs="Times New Roman"/>
          <w:sz w:val="24"/>
        </w:rP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the drives guide engagement design, but their application still requires attention to users' interpretations and context (§2.3.2). The contextual proposition here is that clinical consequences may alter what a loss means; it is not that gamification guidance assumes that loss-based motivation is invariably beneficial. Stage 1's contribution to that argument is contextual — Table 4.3 shows how each relevant drive reads differently once the player is an older adult and the frame is clinical — and it prepares the context-sensitive reading of D8 that the later empirical work motivated (§2.6.2C).</w:t>
      </w:r>
    </w:p>
    <w:p>
      <w:pPr>
        <w:pStyle w:val="FigureCaption"/>
        <w:keepNext/>
        <w:keepLines/>
        <w:jc w:val="center"/>
      </w:pPr>
      <w:bookmarkStart w:id="61" w:name="_Toc232024696"/>
      <w:r>
        <w:rPr>
          <w:sz w:val="24"/>
          <w:szCs w:val="22"/>
          <w:lang w:val="en-US" w:eastAsia="en-US" w:bidi="ar-SA"/>
          <w:rFonts w:ascii="Times New Roman" w:hAnsi="Times New Roman" w:eastAsia="Times New Roman" w:cs="Times New Roman"/>
          <w:i/>
          <w:b/>
        </w:rPr>
        <w:t>Table 4.3. Octalysis drives contextualised against STAM characteristics.</w:t>
      </w:r>
      <w:bookmarkEnd w:id="61"/>
    </w:p>
    <w:tbl>
      <w:tblPr>
        <w:tblStyle w:val="TableGrid"/>
        <w:tblW w:w="8505" w:type="dxa"/>
        <w:jc w:val="center"/>
        <w:tblLayout w:type="fixed"/>
        <w:tblLook w:val="04A0" w:firstRow="1" w:lastRow="0" w:firstColumn="1" w:lastColumn="0" w:noHBand="0" w:noVBand="1"/>
      </w:tblPr>
      <w:tblGrid>
        <w:gridCol w:w="2079"/>
        <w:gridCol w:w="2628"/>
        <w:gridCol w:w="3798"/>
      </w:tblGrid>
      <w:tr>
        <w:trPr>
          <w:jc w:val="center"/>
          <w:tblHeader/>
          <w:cantSplit/>
        </w:trPr>
        <w:tc>
          <w:tcPr>
            <w:tcW w:w="2079" w:type="dxa"/>
          </w:tcPr>
          <w:p>
            <w:pPr>
              <w:pStyle w:val="Normal"/>
              <w:keepNext w:val="0"/>
              <w:keepLines/>
            </w:pPr>
            <w:r>
              <w:rPr>
                <w:b/>
                <w:sz w:val="18"/>
                <w:szCs w:val="22"/>
                <w:lang w:val="en-US" w:eastAsia="en-US" w:bidi="ar-SA"/>
                <w:rFonts w:ascii="Times New Roman" w:hAnsi="Times New Roman" w:eastAsia="Times New Roman" w:cs="Times New Roman"/>
              </w:rPr>
              <w:t>Octalysis drive</w:t>
            </w:r>
          </w:p>
        </w:tc>
        <w:tc>
          <w:tcPr>
            <w:tcW w:w="2628" w:type="dxa"/>
          </w:tcPr>
          <w:p>
            <w:pPr>
              <w:pStyle w:val="Normal"/>
              <w:keepNext w:val="0"/>
              <w:keepLines/>
            </w:pPr>
            <w:r>
              <w:rPr>
                <w:b/>
                <w:sz w:val="18"/>
                <w:szCs w:val="22"/>
                <w:lang w:val="en-US" w:eastAsia="en-US" w:bidi="ar-SA"/>
                <w:rFonts w:ascii="Times New Roman" w:hAnsi="Times New Roman" w:eastAsia="Times New Roman" w:cs="Times New Roman"/>
              </w:rPr>
              <w:t>Intended motivational role</w:t>
            </w:r>
          </w:p>
        </w:tc>
        <w:tc>
          <w:tcPr>
            <w:tcW w:w="3798" w:type="dxa"/>
          </w:tcPr>
          <w:p>
            <w:pPr>
              <w:pStyle w:val="Normal"/>
              <w:keepNext w:val="0"/>
              <w:keepLines/>
            </w:pPr>
            <w:r>
              <w:rPr>
                <w:szCs w:val="22"/>
                <w:lang w:val="en-US" w:eastAsia="en-US" w:bidi="ar-SA"/>
                <w:rFonts w:ascii="Times New Roman" w:hAnsi="Times New Roman" w:eastAsia="Times New Roman" w:cs="Times New Roman"/>
                <w:b/>
                <w:sz w:val="18"/>
              </w:rPr>
              <w:t>Context-sensitive possibility in older clinical users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D2 Accomplishment</w:t>
            </w:r>
          </w:p>
        </w:tc>
        <w:tc>
          <w:tcPr>
            <w:tcW w:w="2628" w:type="dxa"/>
          </w:tcPr>
          <w:p>
            <w:pPr>
              <w:pStyle w:val="Normal"/>
            </w:pPr>
            <w:r>
              <w:rPr>
                <w:sz w:val="24"/>
                <w:szCs w:val="22"/>
                <w:lang w:val="en-US" w:eastAsia="en-US" w:bidi="ar-SA"/>
                <w:rFonts w:ascii="Times New Roman" w:hAnsi="Times New Roman" w:eastAsia="Times New Roman" w:cs="Times New Roman"/>
              </w:rPr>
              <w:t>Achievement challenges motivate</w:t>
            </w:r>
          </w:p>
        </w:tc>
        <w:tc>
          <w:tcPr>
            <w:tcW w:w="3798" w:type="dxa"/>
          </w:tcPr>
          <w:p>
            <w:pPr>
              <w:pStyle w:val="Normal"/>
            </w:pPr>
            <w:r>
              <w:rPr>
                <w:sz w:val="24"/>
                <w:szCs w:val="22"/>
                <w:lang w:val="en-US" w:eastAsia="en-US" w:bidi="ar-SA"/>
                <w:rFonts w:ascii="Times New Roman" w:hAnsi="Times New Roman" w:eastAsia="Times New Roman" w:cs="Times New Roman"/>
              </w:rPr>
              <w:t>May be undermined by failure</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D5 Social Influence</w:t>
            </w:r>
          </w:p>
        </w:tc>
        <w:tc>
          <w:tcPr>
            <w:tcW w:w="2628" w:type="dxa"/>
          </w:tcPr>
          <w:p>
            <w:pPr>
              <w:pStyle w:val="Normal"/>
            </w:pPr>
            <w:r>
              <w:rPr>
                <w:sz w:val="24"/>
                <w:szCs w:val="22"/>
                <w:lang w:val="en-US" w:eastAsia="en-US" w:bidi="ar-SA"/>
                <w:rFonts w:ascii="Times New Roman" w:hAnsi="Times New Roman" w:eastAsia="Times New Roman" w:cs="Times New Roman"/>
              </w:rPr>
              <w:t>Comparison drives engagement</w:t>
            </w:r>
          </w:p>
        </w:tc>
        <w:tc>
          <w:tcPr>
            <w:tcW w:w="3798" w:type="dxa"/>
          </w:tcPr>
          <w:p>
            <w:pPr>
              <w:pStyle w:val="Normal"/>
            </w:pPr>
            <w:r>
              <w:rPr>
                <w:szCs w:val="22"/>
                <w:lang w:val="en-US" w:eastAsia="en-US" w:bidi="ar-SA"/>
                <w:rFonts w:ascii="Times New Roman" w:hAnsi="Times New Roman" w:eastAsia="Times New Roman" w:cs="Times New Roman"/>
                <w:sz w:val="24"/>
              </w:rPr>
              <w:t>May motivate some users or increase decline-related self-awareness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D8 Loss and Avoidance</w:t>
            </w:r>
          </w:p>
        </w:tc>
        <w:tc>
          <w:tcPr>
            <w:tcW w:w="2628" w:type="dxa"/>
          </w:tcPr>
          <w:p>
            <w:pPr>
              <w:pStyle w:val="Normal"/>
            </w:pPr>
            <w:r>
              <w:rPr>
                <w:sz w:val="24"/>
                <w:szCs w:val="22"/>
                <w:lang w:val="en-US" w:eastAsia="en-US" w:bidi="ar-SA"/>
                <w:rFonts w:ascii="Times New Roman" w:hAnsi="Times New Roman" w:eastAsia="Times New Roman" w:cs="Times New Roman"/>
              </w:rPr>
              <w:t>Avoiding a perceived loss can motivate continued activity</w:t>
            </w:r>
          </w:p>
        </w:tc>
        <w:tc>
          <w:tcPr>
            <w:tcW w:w="3798" w:type="dxa"/>
          </w:tcPr>
          <w:p>
            <w:pPr>
              <w:pStyle w:val="Normal"/>
            </w:pPr>
            <w:r>
              <w:rPr>
                <w:szCs w:val="22"/>
                <w:lang w:val="en-US" w:eastAsia="en-US" w:bidi="ar-SA"/>
                <w:rFonts w:ascii="Times New Roman" w:hAnsi="Times New Roman" w:eastAsia="Times New Roman" w:cs="Times New Roman"/>
                <w:sz w:val="24"/>
              </w:rPr>
              <w:t>Adverse performance may be interpreted as personally meaningful rather than only in-game loss</w:t>
            </w:r>
          </w:p>
        </w:tc>
      </w:tr>
    </w:tbl>
    <w:p>
      <w:pPr>
        <w:pStyle w:val="Normal"/>
        <w:spacing w:after="40"/>
      </w:pPr>
    </w:p>
    <w:p>
      <w:pPr>
        <w:pStyle w:val="Heading2"/>
      </w:pPr>
      <w:bookmarkStart w:id="62" w:name="_Toc232024559"/>
      <w:r>
        <w:rPr>
          <w:lang w:val="en-US" w:eastAsia="en-US" w:bidi="ar-SA"/>
          <w:color w:val="000000"/>
          <w:szCs w:val="26"/>
        </w:rPr>
        <w:t>4.5 Behavioural Science Lenses</w:t>
      </w:r>
      <w:bookmarkEnd w:id="62"/>
    </w:p>
    <w:p>
      <w:pPr>
        <w:pStyle w:val="Normal"/>
        <w:jc w:val="both"/>
      </w:pPr>
      <w:r>
        <w:rPr>
          <w:szCs w:val="22"/>
          <w:lang w:val="en-US" w:eastAsia="en-US" w:bidi="ar-SA"/>
          <w:rFonts w:ascii="Times New Roman" w:hAnsi="Times New Roman" w:eastAsia="Times New Roman" w:cs="Times New Roman"/>
          <w:sz w:val="24"/>
        </w:rP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pPr>
        <w:pStyle w:val="Heading2"/>
      </w:pPr>
      <w:bookmarkStart w:id="63" w:name="_Toc232024560"/>
      <w:r>
        <w:rPr>
          <w:lang w:val="en-US" w:eastAsia="en-US" w:bidi="ar-SA"/>
          <w:color w:val="000000"/>
          <w:szCs w:val="26"/>
        </w:rPr>
        <w:t>4.6 Terminological Correction: FIDS to FIAS</w:t>
      </w:r>
      <w:bookmarkEnd w:id="63"/>
    </w:p>
    <w:p>
      <w:pPr>
        <w:pStyle w:val="Normal"/>
        <w:jc w:val="both"/>
      </w:pPr>
      <w:r>
        <w:rPr>
          <w:szCs w:val="22"/>
          <w:lang w:val="en-US" w:eastAsia="en-US" w:bidi="ar-SA"/>
          <w:rFonts w:ascii="Times New Roman" w:hAnsi="Times New Roman" w:eastAsia="Times New Roman" w:cs="Times New Roman"/>
          <w:sz w:val="24"/>
        </w:rP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pPr>
        <w:pStyle w:val="Normal"/>
        <w:jc w:val="both"/>
      </w:pPr>
      <w:r>
        <w:rPr>
          <w:szCs w:val="22"/>
          <w:lang w:val="en-US" w:eastAsia="en-US" w:bidi="ar-SA"/>
          <w:rFonts w:ascii="Times New Roman" w:hAnsi="Times New Roman" w:eastAsia="Times New Roman" w:cs="Times New Roman"/>
          <w:sz w:val="24"/>
        </w:rPr>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pPr>
        <w:pStyle w:val="Heading2"/>
      </w:pPr>
      <w:bookmarkStart w:id="64" w:name="_Toc232024561"/>
      <w:r>
        <w:rPr>
          <w:lang w:val="en-US" w:eastAsia="en-US" w:bidi="ar-SA"/>
          <w:color w:val="000000"/>
          <w:szCs w:val="26"/>
        </w:rPr>
        <w:t>4.7 Cross-Cultural Reference Point</w:t>
      </w:r>
      <w:bookmarkEnd w:id="64"/>
    </w:p>
    <w:p>
      <w:pPr>
        <w:pStyle w:val="Normal"/>
        <w:jc w:val="both"/>
      </w:pPr>
      <w:r>
        <w:rPr>
          <w:szCs w:val="22"/>
          <w:lang w:val="en-US" w:eastAsia="en-US" w:bidi="ar-SA"/>
          <w:rFonts w:ascii="Times New Roman" w:hAnsi="Times New Roman" w:eastAsia="Times New Roman" w:cs="Times New Roman"/>
          <w:sz w:val="24"/>
        </w:rPr>
        <w:t>The Korean studies of the FRA platform provide context for its measurement use (Park et al., 2019; Kim et al., 2018). They do not establish a sustained-engagement advantage or identify a design feature responsible for one. No vendor-derived engagement figure is carried as evidence here. Comparative fieldwork could examine support, framing and use patterns under documented conditions; the current thesis does not infer those patterns from measurement studies.</w:t>
      </w:r>
    </w:p>
    <w:p>
      <w:pPr>
        <w:pStyle w:val="Heading2"/>
      </w:pPr>
      <w:bookmarkStart w:id="65" w:name="_Toc232024562"/>
      <w:r>
        <w:rPr>
          <w:lang w:val="en-US" w:eastAsia="en-US" w:bidi="ar-SA"/>
          <w:color w:val="000000"/>
          <w:szCs w:val="26"/>
        </w:rPr>
        <w:t>4.8 Output and Stage-1 Limitations</w:t>
      </w:r>
      <w:bookmarkEnd w:id="65"/>
    </w:p>
    <w:p>
      <w:pPr>
        <w:pStyle w:val="Normal"/>
        <w:jc w:val="both"/>
      </w:pPr>
      <w:r>
        <w:rPr>
          <w:szCs w:val="22"/>
          <w:lang w:val="en-US" w:eastAsia="en-US" w:bidi="ar-SA"/>
          <w:rFonts w:ascii="Times New Roman" w:hAnsi="Times New Roman" w:eastAsia="Times New Roman" w:cs="Times New Roman"/>
          <w:sz w:val="24"/>
        </w:rPr>
        <w:t>Stage 1 produces three outputs: a documented utilisation and self-reported non-return problem; a reason to investigate the adverse first experience and its interpretation; and the provisional FIAS construct and working hypotheses developed in Chapter 5. The setting offered substantial practical support for use, but the survey did not establish that all acceptance-model constructs were favourable. Stage 1 consequently motivates prospective examination of the original design expectation rather than a formal rejection of H0 (§2.3.5). It does not validate FIAS, establish permanent non-return, or identify mental accounting, endowment or stereotype threat as causal mechanisms. Stage 2 characterises engagement during deployment, and Stage 3 examines a participant-facing decoupling package in a separate cohort. The Stage-1 limitations are those of a retrospective staff-administered survey: recall error, interviewer and social-desirability effects, item wording that captures acceptance of a result rather than task failure directly, and the exclusion of 80 of the facility's 280 residents who were unavailable when interviews were conducted. A further, provenance limitation applies: no per-respondent Stage-1 response file is archived (Appendix G, item G.1), so the conditional figures of Table 4.1 cannot be reproduced as item-level counts and are reported as rounded approximations.</w:t>
      </w:r>
    </w:p>
    <w:p>
      <w:pPr>
        <w:pStyle w:val="Normal"/>
        <w:spacing w:after="200" w:line="276" w:lineRule="auto"/>
        <w:rPr>
          <w:rFonts w:asciiTheme="majorHAnsi" w:eastAsiaTheme="majorEastAsia" w:hAnsiTheme="majorHAnsi" w:cstheme="majorBidi"/>
          <w:b/>
          <w:bCs/>
          <w:color w:val="000000"/>
          <w:sz w:val="32"/>
          <w:szCs w:val="28"/>
        </w:rPr>
      </w:pPr>
      <w:bookmarkStart w:id="66" w:name="_Toc232024563"/>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5 Stage 2 — Action Research with Gamified FRA</w:t>
      </w:r>
      <w:bookmarkEnd w:id="66"/>
    </w:p>
    <w:p>
      <w:pPr>
        <w:pStyle w:val="Heading2"/>
      </w:pPr>
      <w:bookmarkStart w:id="67" w:name="_Toc232024564"/>
      <w:r>
        <w:rPr>
          <w:lang w:val="en-US" w:eastAsia="en-US" w:bidi="ar-SA"/>
          <w:color w:val="000000"/>
          <w:szCs w:val="26"/>
        </w:rPr>
        <w:t>5.1 Research Questions and Hypotheses</w:t>
      </w:r>
      <w:bookmarkEnd w:id="67"/>
    </w:p>
    <w:p>
      <w:pPr>
        <w:pStyle w:val="Normal"/>
        <w:jc w:val="both"/>
      </w:pPr>
      <w:r>
        <w:rPr>
          <w:szCs w:val="22"/>
          <w:lang w:val="en-US" w:eastAsia="en-US" w:bidi="ar-SA"/>
          <w:rFonts w:ascii="Times New Roman" w:hAnsi="Times New Roman" w:eastAsia="Times New Roman" w:cs="Times New Roman"/>
          <w:sz w:val="24"/>
        </w:rPr>
        <w:t>Stage 2 addressed three stage-specific questions, distinct from the thesis-level research questions in §1.11. S2-Q1: Can a dual-purpose gamified balance activity sustain engagement while generating interpretable performance and FRA-related records? S2-Q2: How is first-failure experience associated with observed dropout during an eight-week deployment? S2-Q3: Which candidate explanations and design principles are suggested by cases in which score change and return behaviour diverge? The hypotheses are directional and should be interpreted within the limits of a small, single-site action-research cohort.</w:t>
      </w:r>
    </w:p>
    <w:p>
      <w:pPr>
        <w:pStyle w:val="Normal"/>
        <w:jc w:val="both"/>
      </w:pPr>
      <w:r>
        <w:rPr>
          <w:szCs w:val="22"/>
          <w:lang w:val="en-US" w:eastAsia="en-US" w:bidi="ar-SA"/>
          <w:rFonts w:ascii="Times New Roman" w:hAnsi="Times New Roman" w:eastAsia="Times New Roman" w:cs="Times New Roman"/>
          <w:sz w:val="24"/>
        </w:rPr>
        <w:t>H0 (original design expectation, formalised retrospectively; §2.3.5): a gamified FRA designed around TAM/STAM acceptance considerations and Octalysis motivational drives would support continued engagement, including after an adverse first experience. Stage 2 examines this expectation prospectively in deployment, but H0 has no prespecified numerical null value or counterfactual for estimating improvement. H1, H2 and H4 are working propositions that organise the exploratory analysis, subject to the chronology in §3.5. No hypothesis carries the label H3; the labels H1, H2, H4 and H5 are retained as they appear in Table 3.1, Table 2.1 and §3.5.</w:t>
      </w:r>
    </w:p>
    <w:p>
      <w:pPr>
        <w:pStyle w:val="Normal"/>
        <w:jc w:val="both"/>
      </w:pPr>
      <w:r>
        <w:rPr>
          <w:szCs w:val="22"/>
          <w:lang w:val="en-US" w:eastAsia="en-US" w:bidi="ar-SA"/>
          <w:rFonts w:ascii="Times New Roman" w:hAnsi="Times New Roman" w:eastAsia="Times New Roman" w:cs="Times New Roman"/>
          <w:sz w:val="24"/>
        </w:rPr>
        <w:t>H1: An adverse or difficult first experience is associated with early disengagement (three or fewer completed game cycles) during the eight-week study window.</w:t>
      </w:r>
    </w:p>
    <w:p>
      <w:pPr>
        <w:pStyle w:val="Normal"/>
        <w:jc w:val="both"/>
      </w:pPr>
      <w:r>
        <w:rPr>
          <w:szCs w:val="22"/>
          <w:lang w:val="en-US" w:eastAsia="en-US" w:bidi="ar-SA"/>
          <w:rFonts w:ascii="Times New Roman" w:hAnsi="Times New Roman" w:eastAsia="Times New Roman" w:cs="Times New Roman"/>
          <w:sz w:val="24"/>
        </w:rPr>
        <w:t>H2: Re-engagement after disengagement is uncommon during the Stage-2 observation window under the coupled FRA framing.</w:t>
      </w:r>
    </w:p>
    <w:p>
      <w:pPr>
        <w:pStyle w:val="Normal"/>
        <w:jc w:val="both"/>
      </w:pPr>
      <w:r>
        <w:rPr>
          <w:szCs w:val="22"/>
          <w:lang w:val="en-US" w:eastAsia="en-US" w:bidi="ar-SA"/>
          <w:rFonts w:ascii="Times New Roman" w:hAnsi="Times New Roman" w:eastAsia="Times New Roman" w:cs="Times New Roman"/>
          <w:sz w:val="24"/>
        </w:rPr>
        <w:t>H4: A subgroup exists in which positive change in the recorded FRA index and observed non-return co-occur (the recorded-score–engagement discrepancy).</w:t>
      </w:r>
    </w:p>
    <w:p>
      <w:pPr>
        <w:pStyle w:val="Normal"/>
        <w:jc w:val="both"/>
      </w:pPr>
      <w:r>
        <w:rPr>
          <w:szCs w:val="22"/>
          <w:lang w:val="en-US" w:eastAsia="en-US" w:bidi="ar-SA"/>
          <w:rFonts w:ascii="Times New Roman" w:hAnsi="Times New Roman" w:eastAsia="Times New Roman" w:cs="Times New Roman"/>
          <w:sz w:val="24"/>
        </w:rPr>
        <w:t>H5, proposed for Stage 3: a participant-facing decoupling package will be associated with lower observed non-return and higher post-failure return than the Stage-2 coupled condition. Because Stage 3 uses a separate cohort, H5 examines whether the observed direction is consistent with a frame-sensitive account; the comparison does not isolate a causal framing effect.</w:t>
      </w:r>
    </w:p>
    <w:p>
      <w:pPr>
        <w:pStyle w:val="Heading2"/>
      </w:pPr>
      <w:bookmarkStart w:id="68" w:name="_Toc232024565"/>
      <w:r>
        <w:rPr>
          <w:lang w:val="en-US" w:eastAsia="en-US" w:bidi="ar-SA"/>
          <w:color w:val="000000"/>
          <w:szCs w:val="26"/>
        </w:rPr>
        <w:t>5.2 Setting and Action-Research Approach</w:t>
      </w:r>
      <w:bookmarkEnd w:id="68"/>
    </w:p>
    <w:p>
      <w:pPr>
        <w:pStyle w:val="Normal"/>
        <w:jc w:val="both"/>
      </w:pPr>
      <w:r>
        <w:rPr>
          <w:szCs w:val="22"/>
          <w:lang w:val="en-US" w:eastAsia="en-US" w:bidi="ar-SA"/>
          <w:rFonts w:ascii="Times New Roman" w:hAnsi="Times New Roman" w:eastAsia="Times New Roman" w:cs="Times New Roman"/>
          <w:sz w:val="24"/>
        </w:rPr>
        <w:t>Stage 2 was conducted at a residential care facility in Southern China with several hundred beds, an InBody FRA system in place for over a decade, one-to-one staffing and free-of-charge access to the equipment. These provisions reduced financial and logistical barriers and made the site suitable for investigating engagement beyond simple availability. They do not establish that access was effortless for every resident, that perceived usefulness and ease of use met a sufficient threshold, or that all contextual explanations were absent. Stage 2 consequently examines whether the design expectation of §2.3.5 was realised under a supported deployment; it cannot attribute subsequent disengagement exclusively to a particular experience of the gamified FRA.</w:t>
      </w:r>
    </w:p>
    <w:p>
      <w:pPr>
        <w:pStyle w:val="Heading2"/>
      </w:pPr>
      <w:bookmarkStart w:id="69" w:name="_Toc232024566"/>
      <w:r>
        <w:rPr>
          <w:lang w:val="en-US" w:eastAsia="en-US" w:bidi="ar-SA"/>
          <w:color w:val="000000"/>
          <w:szCs w:val="26"/>
        </w:rPr>
        <w:t>5.2A Integrating the FRA into the Skiing Game: The Dual-Purpose Mechanic in Detail</w:t>
      </w:r>
      <w:bookmarkEnd w:id="69"/>
    </w:p>
    <w:p>
      <w:pPr>
        <w:pStyle w:val="Normal"/>
        <w:jc w:val="both"/>
      </w:pPr>
      <w:r>
        <w:rPr>
          <w:szCs w:val="22"/>
          <w:lang w:val="en-US" w:eastAsia="en-US" w:bidi="ar-SA"/>
          <w:rFonts w:ascii="Times New Roman" w:hAnsi="Times New Roman" w:eastAsia="Times New Roman" w:cs="Times New Roman"/>
          <w:sz w:val="24"/>
        </w:rPr>
        <w:t>The Stage-2 dual-purpose mechanic uses a balanced shift of body weight as a steering input for the skiing game, read through a foot pad, and at the same moment as the input measured by the FRA footplate beneath it (§4.1A). This links gameplay and assessment at the physical interaction, not at the data level, while allowing their outputs to be presented differently. Stage 3 retained the skiing-game concept but used a separately built, remotely distributed browser implementation with different input arrangements and no clinical balance-measurement pipeline. Figure 5.0 contrasts these configurations. The comparison therefore concerns a changed deployment package; it does not show that a fixed measurement architecture became more acceptable solely through participant-facing decoupling.</w:t>
      </w:r>
    </w:p>
    <w:p>
      <w:pPr>
        <w:pStyle w:val="Normal"/>
        <w:keepNext/>
        <w:spacing w:before="160" w:after="40"/>
        <w:jc w:val="center"/>
      </w:pPr>
      <w:r>
        <w:drawing>
          <wp:inline>
            <wp:extent cx="5358384" cy="3302502"/>
            <wp:docPr id="35" name="Picture 35" descr="Figure 5.0." title=""/>
            <wp:cNvGraphicFramePr>
              <a:graphicFrameLocks noChangeAspect="1"/>
            </wp:cNvGraphicFramePr>
            <a:graphic>
              <a:graphicData uri="http://schemas.openxmlformats.org/drawingml/2006/picture">
                <pic:pic>
                  <pic:nvPicPr>
                    <pic:cNvPr id="0" name="figure_P0502.png"/>
                    <pic:cNvPicPr/>
                  </pic:nvPicPr>
                  <pic:blipFill>
                    <a:blip r:embed="rId44"/>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5.0. Configurations compared across Stages 2 and 3. Stage 2 paired the skiing game with FRA measurement at the pressure-panel station (a controller mat lying on the footplate; no data link between the two systems); Stage 3 used a decoupled browser game in a separate cohort and context. Changes in input and delivery prevent interpretation as an isolated test of clinical framing.</w:t>
      </w:r>
    </w:p>
    <w:p>
      <w:pPr>
        <w:pStyle w:val="Normal"/>
        <w:jc w:val="both"/>
      </w:pPr>
      <w:r>
        <w:rPr>
          <w:szCs w:val="22"/>
          <w:lang w:val="en-US" w:eastAsia="en-US" w:bidi="ar-SA"/>
          <w:rFonts w:ascii="Times New Roman" w:hAnsi="Times New Roman" w:eastAsia="Times New Roman" w:cs="Times New Roman"/>
          <w:sz w:val="24"/>
        </w:rPr>
        <w:t>The deployed Stage-2 game is described here from its deposited record: its design specification of 29 August 2024, its two runnable versions (game.html, v1; game_v2.html, v2) and a screen recording of 15 January 2025 (Appendix G, items G.7 and G.17). It is a browser game built on Three.js with Cannon.js physics, with a Chinese interface. Play opens with an ability-assessment form of nine items — age, sex, single-leg standing time, sit-to-stand repetitions in 30 seconds, pace, reaction time, and gait-stability ratings on flat ground, a slope and grass. Submitting the form sets the run's difficulty once, by three deterministic formulas: obstacle difficulty = 50 − (single-leg standing time ÷ 2) + (sit-to-stand count ÷ 2); speed difficulty = 50 + 10 × pace − reaction time ÷ 20; balance difficulty = 100 − 10 × the mean gait-stability rating; each is clamped to 0–100 and mapped to the obstacle spawn interval, the skier's speed and the balance challenge, and the three are shown to the player as difficulty bars with a one-sentence rationale. The skier then descends a 3D slope, steered left and right, collecting coins (ten points each) and avoiding trees and rocks. A run ends at the first obstacle collision, after which an analysis-and-recommendation report is shown — game performance, personal analysis, game suggestions, rehabilitation advice and body parts to strengthen — and the game can be restarted. In v1 the report is generated in the page by rules; in v2 the run statistics and the form are sent to a server-side module built on LangChain over the OpenAI API, whose prompt is deposited (item G.7). The game kept no attempt counter and had no lives: the three-to-five-play protocol of §5.5 was administered by the therapist. The four-state machine (Assessment, Playing, Paused, Game Over) with three lives, progressive assistance after each hit and a five-trial report, recorded in Game_States_and_Parameters.xlsx (item G.14) and summarised in Table 5.0, belongs to the early Stage-3 build (item G.18; author's identification, 4 October 2026) and is reported here because the Stage-3 lineage carried the design forward from this point; the loss-free, non-terminal state repertoire that replaces the Game Over verdict is the secondary contribution introduced at §5.3.10 and discussed at §7.6A and §9.8A.</w:t>
      </w:r>
    </w:p>
    <w:p>
      <w:pPr>
        <w:pStyle w:val="Normal"/>
        <w:jc w:val="both"/>
      </w:pPr>
      <w:r>
        <w:rPr>
          <w:szCs w:val="22"/>
          <w:lang w:val="en-US" w:eastAsia="en-US" w:bidi="ar-SA"/>
          <w:rFonts w:ascii="Times New Roman" w:hAnsi="Times New Roman" w:eastAsia="Times New Roman" w:cs="Times New Roman"/>
          <w:sz w:val="24"/>
        </w:rPr>
        <w:t>The numerical parameters of the early Stage-3 build (item G.18), from which the Stage-3 builds descend, are summarised in Table 5.0; they are not the deployed Stage-2 game's parameters, which are the three pre-game formulas stated above. The slope is rendered as 30 m wide and 2000 m long with a 12° descent. The skier’s baseline lateral movement speed is 8 m/s and the baseline forward speed is 12 m/s (approximately 43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a central design feature of this build: the player starts with three lives; a 1.5-second invincibility cooldown follows each collision; the first hit drops speed to 70 % and is otherwise neutral; the second hit reduces the obstacle density to 40 % (×0.4)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1.43, and a middle-aged player with medium balance reaches a 1.30 multiplier by the 400 m mark. In both generations the game side of the integration is the same in kind: the weight shifts that the FRA510S footplate measures beneath the mat are read by the game as movement, success and reward.</w:t>
      </w:r>
    </w:p>
    <w:p>
      <w:pPr>
        <w:pStyle w:val="FigureCaption"/>
        <w:keepNext/>
        <w:keepLines/>
        <w:jc w:val="center"/>
      </w:pPr>
      <w:bookmarkStart w:id="70" w:name="_Toc232024697"/>
      <w:r>
        <w:rPr>
          <w:sz w:val="24"/>
          <w:szCs w:val="22"/>
          <w:lang w:val="en-US" w:eastAsia="en-US" w:bidi="ar-SA"/>
          <w:rFonts w:ascii="Times New Roman" w:hAnsi="Times New Roman" w:eastAsia="Times New Roman" w:cs="Times New Roman"/>
          <w:i/>
          <w:b/>
        </w:rPr>
        <w:t>Table 5.0. Parameters of the early Stage-3 build (index.html, Appendix G item G.18; extract from Game_States_and_Parameters.xlsx, item G.14). These are not the deployed Stage-2 game's parameters, which are the pre-game formulas stated in §5.2A.</w:t>
      </w:r>
      <w:bookmarkEnd w:id="70"/>
    </w:p>
    <w:tbl>
      <w:tblPr>
        <w:tblStyle w:val="TableGrid"/>
        <w:tblW w:w="8505" w:type="dxa"/>
        <w:jc w:val="center"/>
        <w:tblLayout w:type="fixed"/>
        <w:tblLook w:val="04A0" w:firstRow="1" w:lastRow="0" w:firstColumn="1" w:lastColumn="0" w:noHBand="0" w:noVBand="1"/>
      </w:tblPr>
      <w:tblGrid>
        <w:gridCol w:w="1053"/>
        <w:gridCol w:w="2401"/>
        <w:gridCol w:w="1967"/>
        <w:gridCol w:w="3084"/>
      </w:tblGrid>
      <w:tr>
        <w:trPr>
          <w:jc w:val="center"/>
          <w:tblHeader/>
          <w:cantSplit/>
        </w:trPr>
        <w:tc>
          <w:tcPr>
            <w:tcW w:w="1053" w:type="dxa"/>
          </w:tcPr>
          <w:p>
            <w:pPr>
              <w:pStyle w:val="Normal"/>
              <w:keepNext w:val="0"/>
              <w:keepLines/>
            </w:pPr>
            <w:r>
              <w:rPr>
                <w:b/>
                <w:sz w:val="18"/>
                <w:szCs w:val="22"/>
                <w:lang w:val="en-US" w:eastAsia="en-US" w:bidi="ar-SA"/>
                <w:rFonts w:ascii="Times New Roman" w:hAnsi="Times New Roman" w:eastAsia="Times New Roman" w:cs="Times New Roman"/>
              </w:rPr>
              <w:t>Category</w:t>
            </w:r>
          </w:p>
        </w:tc>
        <w:tc>
          <w:tcPr>
            <w:tcW w:w="2401" w:type="dxa"/>
          </w:tcPr>
          <w:p>
            <w:pPr>
              <w:pStyle w:val="Normal"/>
              <w:keepNext w:val="0"/>
              <w:keepLines/>
            </w:pPr>
            <w:r>
              <w:rPr>
                <w:b/>
                <w:sz w:val="18"/>
                <w:szCs w:val="22"/>
                <w:lang w:val="en-US" w:eastAsia="en-US" w:bidi="ar-SA"/>
                <w:rFonts w:ascii="Times New Roman" w:hAnsi="Times New Roman" w:eastAsia="Times New Roman" w:cs="Times New Roman"/>
              </w:rPr>
              <w:t>Parameter</w:t>
            </w:r>
          </w:p>
        </w:tc>
        <w:tc>
          <w:tcPr>
            <w:tcW w:w="1967" w:type="dxa"/>
          </w:tcPr>
          <w:p>
            <w:pPr>
              <w:pStyle w:val="Normal"/>
              <w:keepNext w:val="0"/>
              <w:keepLines/>
            </w:pPr>
            <w:r>
              <w:rPr>
                <w:b/>
                <w:sz w:val="18"/>
                <w:szCs w:val="22"/>
                <w:lang w:val="en-US" w:eastAsia="en-US" w:bidi="ar-SA"/>
                <w:rFonts w:ascii="Times New Roman" w:hAnsi="Times New Roman" w:eastAsia="Times New Roman" w:cs="Times New Roman"/>
              </w:rPr>
              <w:t>Value</w:t>
            </w:r>
          </w:p>
        </w:tc>
        <w:tc>
          <w:tcPr>
            <w:tcW w:w="3084" w:type="dxa"/>
          </w:tcPr>
          <w:p>
            <w:pPr>
              <w:pStyle w:val="Normal"/>
              <w:keepNext w:val="0"/>
              <w:keepLines/>
            </w:pPr>
            <w:r>
              <w:rPr>
                <w:b/>
                <w:sz w:val="18"/>
                <w:szCs w:val="22"/>
                <w:lang w:val="en-US" w:eastAsia="en-US" w:bidi="ar-SA"/>
                <w:rFonts w:ascii="Times New Roman" w:hAnsi="Times New Roman" w:eastAsia="Times New Roman" w:cs="Times New Roman"/>
              </w:rPr>
              <w:t>Role in the design (early Stage-3 build)</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Slope</w:t>
            </w:r>
          </w:p>
        </w:tc>
        <w:tc>
          <w:tcPr>
            <w:tcW w:w="2401" w:type="dxa"/>
          </w:tcPr>
          <w:p>
            <w:pPr>
              <w:pStyle w:val="Normal"/>
            </w:pPr>
            <w:r>
              <w:rPr>
                <w:sz w:val="20"/>
                <w:szCs w:val="22"/>
                <w:lang w:val="en-US" w:eastAsia="en-US" w:bidi="ar-SA"/>
                <w:rFonts w:ascii="Times New Roman" w:hAnsi="Times New Roman" w:eastAsia="Times New Roman" w:cs="Times New Roman"/>
              </w:rPr>
              <w:t>slopeWidth / Length / Angle</w:t>
            </w:r>
          </w:p>
        </w:tc>
        <w:tc>
          <w:tcPr>
            <w:tcW w:w="1967" w:type="dxa"/>
          </w:tcPr>
          <w:p>
            <w:pPr>
              <w:pStyle w:val="Normal"/>
            </w:pPr>
            <w:r>
              <w:rPr>
                <w:sz w:val="20"/>
                <w:szCs w:val="22"/>
                <w:lang w:val="en-US" w:eastAsia="en-US" w:bidi="ar-SA"/>
                <w:rFonts w:ascii="Times New Roman" w:hAnsi="Times New Roman" w:eastAsia="Times New Roman" w:cs="Times New Roman"/>
              </w:rPr>
              <w:t>30 m / 2000 m / 12°</w:t>
            </w:r>
          </w:p>
        </w:tc>
        <w:tc>
          <w:tcPr>
            <w:tcW w:w="3084" w:type="dxa"/>
          </w:tcPr>
          <w:p>
            <w:pPr>
              <w:pStyle w:val="Normal"/>
            </w:pPr>
            <w:r>
              <w:rPr>
                <w:sz w:val="20"/>
                <w:szCs w:val="22"/>
                <w:lang w:val="en-US" w:eastAsia="en-US" w:bidi="ar-SA"/>
                <w:rFonts w:ascii="Times New Roman" w:hAnsi="Times New Roman" w:eastAsia="Times New Roman" w:cs="Times New Roman"/>
              </w:rPr>
              <w:t>Field across which lateral weight shifts (foot-pad input) are read as steering.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Player</w:t>
            </w:r>
          </w:p>
        </w:tc>
        <w:tc>
          <w:tcPr>
            <w:tcW w:w="2401" w:type="dxa"/>
          </w:tcPr>
          <w:p>
            <w:pPr>
              <w:pStyle w:val="Normal"/>
            </w:pPr>
            <w:r>
              <w:rPr>
                <w:sz w:val="20"/>
                <w:szCs w:val="22"/>
                <w:lang w:val="en-US" w:eastAsia="en-US" w:bidi="ar-SA"/>
                <w:rFonts w:ascii="Times New Roman" w:hAnsi="Times New Roman" w:eastAsia="Times New Roman" w:cs="Times New Roman"/>
              </w:rPr>
              <w:t>baseMoveSpeed / baseForwardSpeed / max</w:t>
            </w:r>
          </w:p>
        </w:tc>
        <w:tc>
          <w:tcPr>
            <w:tcW w:w="1967" w:type="dxa"/>
          </w:tcPr>
          <w:p>
            <w:pPr>
              <w:pStyle w:val="Normal"/>
            </w:pPr>
            <w:r>
              <w:rPr>
                <w:sz w:val="20"/>
                <w:szCs w:val="22"/>
                <w:lang w:val="en-US" w:eastAsia="en-US" w:bidi="ar-SA"/>
                <w:rFonts w:ascii="Times New Roman" w:hAnsi="Times New Roman" w:eastAsia="Times New Roman" w:cs="Times New Roman"/>
              </w:rPr>
              <w:t>8 / 12 / 30 m/s</w:t>
            </w:r>
          </w:p>
        </w:tc>
        <w:tc>
          <w:tcPr>
            <w:tcW w:w="3084" w:type="dxa"/>
          </w:tcPr>
          <w:p>
            <w:pPr>
              <w:pStyle w:val="Normal"/>
            </w:pPr>
            <w:r>
              <w:rPr>
                <w:sz w:val="20"/>
                <w:szCs w:val="22"/>
                <w:lang w:val="en-US" w:eastAsia="en-US" w:bidi="ar-SA"/>
                <w:rFonts w:ascii="Times New Roman" w:hAnsi="Times New Roman" w:eastAsia="Times New Roman" w:cs="Times New Roman"/>
              </w:rPr>
              <w:t>Translation gain from foot-pad input to skier velocity.</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Balance</w:t>
            </w:r>
          </w:p>
        </w:tc>
        <w:tc>
          <w:tcPr>
            <w:tcW w:w="2401" w:type="dxa"/>
          </w:tcPr>
          <w:p>
            <w:pPr>
              <w:pStyle w:val="Normal"/>
            </w:pPr>
            <w:r>
              <w:rPr>
                <w:sz w:val="20"/>
                <w:szCs w:val="22"/>
                <w:lang w:val="en-US" w:eastAsia="en-US" w:bidi="ar-SA"/>
                <w:rFonts w:ascii="Times New Roman" w:hAnsi="Times New Roman" w:eastAsia="Times New Roman" w:cs="Times New Roman"/>
              </w:rPr>
              <w:t>decay / turn penalty / recovery / on-life-loss</w:t>
            </w:r>
          </w:p>
        </w:tc>
        <w:tc>
          <w:tcPr>
            <w:tcW w:w="1967" w:type="dxa"/>
          </w:tcPr>
          <w:p>
            <w:pPr>
              <w:pStyle w:val="Normal"/>
            </w:pPr>
            <w:r>
              <w:rPr>
                <w:sz w:val="20"/>
                <w:szCs w:val="22"/>
                <w:lang w:val="en-US" w:eastAsia="en-US" w:bidi="ar-SA"/>
                <w:rFonts w:ascii="Times New Roman" w:hAnsi="Times New Roman" w:eastAsia="Times New Roman" w:cs="Times New Roman"/>
              </w:rPr>
              <w:t>0.02 / 0.15 / 0.08 per frame; 100 %→40 %</w:t>
            </w:r>
          </w:p>
        </w:tc>
        <w:tc>
          <w:tcPr>
            <w:tcW w:w="3084" w:type="dxa"/>
          </w:tcPr>
          <w:p>
            <w:pPr>
              <w:pStyle w:val="Normal"/>
            </w:pPr>
            <w:r>
              <w:rPr>
                <w:sz w:val="20"/>
                <w:szCs w:val="22"/>
                <w:lang w:val="en-US" w:eastAsia="en-US" w:bidi="ar-SA"/>
                <w:rFonts w:ascii="Times New Roman" w:hAnsi="Times New Roman" w:eastAsia="Times New Roman" w:cs="Times New Roman"/>
              </w:rPr>
              <w:t>In-game balance meter: a game variable designed to echo the stability idea, not derived from the FRA measurement.</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Obstacles</w:t>
            </w:r>
          </w:p>
        </w:tc>
        <w:tc>
          <w:tcPr>
            <w:tcW w:w="2401" w:type="dxa"/>
          </w:tcPr>
          <w:p>
            <w:pPr>
              <w:pStyle w:val="Normal"/>
            </w:pPr>
            <w:r>
              <w:rPr>
                <w:sz w:val="20"/>
                <w:szCs w:val="22"/>
                <w:lang w:val="en-US" w:eastAsia="en-US" w:bidi="ar-SA"/>
                <w:rFonts w:ascii="Times New Roman" w:hAnsi="Times New Roman" w:eastAsia="Times New Roman" w:cs="Times New Roman"/>
              </w:rPr>
              <w:t>density / spawn / despawn / collision radius</w:t>
            </w:r>
          </w:p>
        </w:tc>
        <w:tc>
          <w:tcPr>
            <w:tcW w:w="1967" w:type="dxa"/>
          </w:tcPr>
          <w:p>
            <w:pPr>
              <w:pStyle w:val="Normal"/>
            </w:pPr>
            <w:r>
              <w:rPr>
                <w:sz w:val="20"/>
                <w:szCs w:val="22"/>
                <w:lang w:val="en-US" w:eastAsia="en-US" w:bidi="ar-SA"/>
                <w:rFonts w:ascii="Times New Roman" w:hAnsi="Times New Roman" w:eastAsia="Times New Roman" w:cs="Times New Roman"/>
              </w:rPr>
              <w:t>0.4/m; 120 m / 30 m; 0.4–1.0 m</w:t>
            </w:r>
          </w:p>
        </w:tc>
        <w:tc>
          <w:tcPr>
            <w:tcW w:w="3084" w:type="dxa"/>
          </w:tcPr>
          <w:p>
            <w:pPr>
              <w:pStyle w:val="Normal"/>
            </w:pPr>
            <w:r>
              <w:rPr>
                <w:sz w:val="20"/>
                <w:szCs w:val="22"/>
                <w:lang w:val="en-US" w:eastAsia="en-US" w:bidi="ar-SA"/>
                <w:rFonts w:ascii="Times New Roman" w:hAnsi="Times New Roman" w:eastAsia="Times New Roman" w:cs="Times New Roman"/>
              </w:rPr>
              <w:t>Forces weight-shift corrections of varying amplitude across the run.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Coins</w:t>
            </w:r>
          </w:p>
        </w:tc>
        <w:tc>
          <w:tcPr>
            <w:tcW w:w="2401" w:type="dxa"/>
          </w:tcPr>
          <w:p>
            <w:pPr>
              <w:pStyle w:val="Normal"/>
            </w:pPr>
            <w:r>
              <w:rPr>
                <w:sz w:val="20"/>
                <w:szCs w:val="22"/>
                <w:lang w:val="en-US" w:eastAsia="en-US" w:bidi="ar-SA"/>
                <w:rFonts w:ascii="Times New Roman" w:hAnsi="Times New Roman" w:eastAsia="Times New Roman" w:cs="Times New Roman"/>
              </w:rPr>
              <w:t>density / value / balance bonus</w:t>
            </w:r>
          </w:p>
        </w:tc>
        <w:tc>
          <w:tcPr>
            <w:tcW w:w="1967" w:type="dxa"/>
          </w:tcPr>
          <w:p>
            <w:pPr>
              <w:pStyle w:val="Normal"/>
            </w:pPr>
            <w:r>
              <w:rPr>
                <w:sz w:val="20"/>
                <w:szCs w:val="22"/>
                <w:lang w:val="en-US" w:eastAsia="en-US" w:bidi="ar-SA"/>
                <w:rFonts w:ascii="Times New Roman" w:hAnsi="Times New Roman" w:eastAsia="Times New Roman" w:cs="Times New Roman"/>
              </w:rPr>
              <w:t>0.3/m; 10 pts; 3 %</w:t>
            </w:r>
          </w:p>
        </w:tc>
        <w:tc>
          <w:tcPr>
            <w:tcW w:w="3084" w:type="dxa"/>
          </w:tcPr>
          <w:p>
            <w:pPr>
              <w:pStyle w:val="Normal"/>
            </w:pPr>
            <w:r>
              <w:rPr>
                <w:sz w:val="20"/>
                <w:szCs w:val="22"/>
                <w:lang w:val="en-US" w:eastAsia="en-US" w:bidi="ar-SA"/>
                <w:rFonts w:ascii="Times New Roman" w:hAnsi="Times New Roman" w:eastAsia="Times New Roman" w:cs="Times New Roman"/>
              </w:rPr>
              <w:t>Reward signal that supports learn-to-earn over score-floor framing.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Lives</w:t>
            </w:r>
          </w:p>
        </w:tc>
        <w:tc>
          <w:tcPr>
            <w:tcW w:w="2401" w:type="dxa"/>
          </w:tcPr>
          <w:p>
            <w:pPr>
              <w:pStyle w:val="Normal"/>
            </w:pPr>
            <w:r>
              <w:rPr>
                <w:sz w:val="20"/>
                <w:szCs w:val="22"/>
                <w:lang w:val="en-US" w:eastAsia="en-US" w:bidi="ar-SA"/>
                <w:rFonts w:ascii="Times New Roman" w:hAnsi="Times New Roman" w:eastAsia="Times New Roman" w:cs="Times New Roman"/>
              </w:rPr>
              <w:t>total / cooldown / 1st-hit speed / 2nd-hit obstacle</w:t>
            </w:r>
          </w:p>
        </w:tc>
        <w:tc>
          <w:tcPr>
            <w:tcW w:w="1967" w:type="dxa"/>
          </w:tcPr>
          <w:p>
            <w:pPr>
              <w:pStyle w:val="Normal"/>
            </w:pPr>
            <w:r>
              <w:rPr>
                <w:sz w:val="20"/>
                <w:szCs w:val="22"/>
                <w:lang w:val="en-US" w:eastAsia="en-US" w:bidi="ar-SA"/>
                <w:rFonts w:ascii="Times New Roman" w:hAnsi="Times New Roman" w:eastAsia="Times New Roman" w:cs="Times New Roman"/>
              </w:rPr>
              <w:t>3 / 1.5 s / × 0.7 / × 0.4 + 60 % cleared</w:t>
            </w:r>
          </w:p>
        </w:tc>
        <w:tc>
          <w:tcPr>
            <w:tcW w:w="3084" w:type="dxa"/>
          </w:tcPr>
          <w:p>
            <w:pPr>
              <w:pStyle w:val="Normal"/>
            </w:pPr>
            <w:r>
              <w:rPr>
                <w:sz w:val="20"/>
                <w:szCs w:val="22"/>
                <w:lang w:val="en-US" w:eastAsia="en-US" w:bidi="ar-SA"/>
                <w:rFonts w:ascii="Times New Roman" w:hAnsi="Times New Roman" w:eastAsia="Times New Roman" w:cs="Times New Roman"/>
              </w:rPr>
              <w:t>Soft-fail buffer that supports the loss-free repertoire of §5.3.10.</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Difficulty</w:t>
            </w:r>
          </w:p>
        </w:tc>
        <w:tc>
          <w:tcPr>
            <w:tcW w:w="2401" w:type="dxa"/>
          </w:tcPr>
          <w:p>
            <w:pPr>
              <w:pStyle w:val="Normal"/>
            </w:pPr>
            <w:r>
              <w:rPr>
                <w:sz w:val="20"/>
                <w:szCs w:val="22"/>
                <w:lang w:val="en-US" w:eastAsia="en-US" w:bidi="ar-SA"/>
                <w:rFonts w:ascii="Times New Roman" w:hAnsi="Times New Roman" w:eastAsia="Times New Roman" w:cs="Times New Roman"/>
              </w:rPr>
              <w:t>distance step / age × ability multiplier</w:t>
            </w:r>
          </w:p>
        </w:tc>
        <w:tc>
          <w:tcPr>
            <w:tcW w:w="1967" w:type="dxa"/>
          </w:tcPr>
          <w:p>
            <w:pPr>
              <w:pStyle w:val="Normal"/>
            </w:pPr>
            <w:r>
              <w:rPr>
                <w:sz w:val="20"/>
                <w:szCs w:val="22"/>
                <w:lang w:val="en-US" w:eastAsia="en-US" w:bidi="ar-SA"/>
                <w:rFonts w:ascii="Times New Roman" w:hAnsi="Times New Roman" w:eastAsia="Times New Roman" w:cs="Times New Roman"/>
              </w:rPr>
              <w:t>+0.15 / 200 m; 0.42–1.43</w:t>
            </w:r>
          </w:p>
        </w:tc>
        <w:tc>
          <w:tcPr>
            <w:tcW w:w="3084" w:type="dxa"/>
          </w:tcPr>
          <w:p>
            <w:pPr>
              <w:pStyle w:val="Normal"/>
            </w:pPr>
            <w:r>
              <w:rPr>
                <w:sz w:val="20"/>
                <w:szCs w:val="22"/>
                <w:lang w:val="en-US" w:eastAsia="en-US" w:bidi="ar-SA"/>
                <w:rFonts w:ascii="Times New Roman" w:hAnsi="Times New Roman" w:eastAsia="Times New Roman" w:cs="Times New Roman"/>
              </w:rPr>
              <w:t>Adaptive layer (L2) intended to hold challenge within the controller thresholds for FRA-aligned cohorts; flow was not measured.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Three properties of the integration matter for the rest of the chapter. First, the game read nothing from the InBody panel. The FRA510S exposes no application programming interface, and the attempt to integrate the developed and tested game with it failed on that point; the deployed arrangement was therefore physical rather than data-level. A foot pad — a thin force-sensing-resistor (FSR) pressure-sensor mat — a generic 64 × 64-point plantar-pressure mat about 3 mm thick, with a microcontroller serial output and a stated accuracy of ±10% (vendor listing supplied by the author, Appendix G, item G.15) — was placed on top of the FRA510S footplate; the player's weight shifts loaded both surfaces at once, the mat driving the skiing game as a left/right controller, in the manner of a keyboard — its pressure values were not measured or recorded — and the footplate driving the InBody FRA measurement, each system recording its own data set (author's account, 3 October 2026). The first version of the Stage-2 build had been tested by keyboard before the mat was adopted; keyboard control was used in testing only, and no participant played by keyboard. The 'after' FRA index reported in §5.5 is accordingly the InBody FRA software's own measurement, not a value computed by the game, and the game did not read or interpret it. The mat is a generic original-equipment product, not a validated instrument, and the effect of its presence on the footplate on the load-cell reading during play was not characterised. A therapist stood beside the player throughout; when a game finished the therapist recorded the game states by hand, immediately recorded the FRA indices from the FRA system, graded them and entered them in the FRA logbook (Appendix G, item G.2). The 'before' value is a standard-mode assessment taken at first attendance, before game play (§5.5); the comprehensive score and risk-factor profile are stored on the clinician-side terminal and are never displayed on the play screen. Second, the ability-assessment form is the only point at which the participant is asked, in language they can read, about their own capability; its nine items drive the three difficulty formulas and are how the game made itself appropriate for an older-adult cohort before the first run. Third, the deployed Stage-2 game ended every run at the first obstacle collision and showed a terminal analysis screen — a failure cue of the starkest kind, without lives or a second chance. The present observations do not identify that state as the cause of non-return or establish that it measures a behavioural-economic mechanism. The loss-free, non-terminal repertoire introduced at §5.3.10 is the design response that the Stage-3 result and the Chapter 7 adaptive-learning proposal motivate; it is a proposed successor configuration whose prospective architecture is described in Chapter 7.</w:t>
      </w:r>
    </w:p>
    <w:p>
      <w:pPr>
        <w:pStyle w:val="Normal"/>
        <w:jc w:val="both"/>
      </w:pPr>
      <w:r>
        <w:rPr>
          <w:szCs w:val="22"/>
          <w:lang w:val="en-US" w:eastAsia="en-US" w:bidi="ar-SA"/>
          <w:rFonts w:ascii="Times New Roman" w:hAnsi="Times New Roman" w:eastAsia="Times New Roman" w:cs="Times New Roman"/>
          <w:sz w:val="24"/>
        </w:rPr>
        <w:t>The participant-side data outputs of the game as specified are described in §5.3.6 (data structures and telemetry); the clinician-side outputs are the InBody Comprehensive Score and risk-factor profile already specified in §4.1A. Self-report is captured by the after-game paper questionnaire completed by every participant at the end of play (the source of the satisfaction variable) and by the nine-item post-deployment interview with the sustained participants (Appendix C); symptom entries are therapist observations compiled by the researcher (§3.4). Together, the therapist's hand record of game states, the FRA system's indices read at the end of play, the after-game questionnaire and the sustained-participant interviews provide the three-ledger view (behavioural, clinical, self-reported) on which the Stage-2 analysis in §5.5–§5.7 is built.</w:t>
      </w:r>
    </w:p>
    <w:p>
      <w:pPr>
        <w:pStyle w:val="Heading2"/>
      </w:pPr>
      <w:bookmarkStart w:id="71" w:name="_Toc232024567"/>
      <w:r>
        <w:rPr>
          <w:lang w:val="en-US" w:eastAsia="en-US" w:bidi="ar-SA"/>
          <w:color w:val="000000"/>
          <w:szCs w:val="22"/>
        </w:rPr>
        <w:t>5.3 The Gamified Intervention — Skiing Game on the InBody Pressure Panel</w:t>
      </w:r>
      <w:bookmarkEnd w:id="71"/>
    </w:p>
    <w:p>
      <w:pPr>
        <w:pStyle w:val="Normal"/>
        <w:jc w:val="both"/>
      </w:pPr>
      <w:r>
        <w:rPr>
          <w:szCs w:val="22"/>
          <w:lang w:val="en-US" w:eastAsia="en-US" w:bidi="ar-SA"/>
          <w:rFonts w:ascii="Times New Roman" w:hAnsi="Times New Roman" w:eastAsia="Times New Roman" w:cs="Times New Roman"/>
          <w:sz w:val="24"/>
        </w:rPr>
        <w:t>Stage 2's central technical artefact is a browser-based 3D skiing game — Three.js with Cannon.js physics, Chinese interface — played at the InBody pressure-panel station. The game was created with generative-AI coding tools under the author's instruction and design framework — ChatGPT at first, and Anthropic Claude Code from 2025 for the later Stage-2 build generations and for the Stage-3 builds (§5.3.9); its specification of 29 August 2024, its two runnable versions and a screen recording of 15 January 2025 are deposited (Appendix G, items G.7 and G.17). Its analysis-and-recommendation module is specified as LangChain orchestration over an OpenAI endpoint, called server-side after each run in v2; v2 was the version deployed (author's account, 7 October 2026); the prompt template is deposited (item G.7), while the model version and run-time settings of the deployed configuration are not on record (§8.9). The single most important property of the system is the dual-purpose mechanic: the same physical action — a balanced shift of body weight — both controls gameplay, through a foot pad placed on the footplate, and is measured at the same moment by the InBody FRA software from the footplate beneath it; the two systems exchanged no data (§5.2A).</w:t>
      </w:r>
    </w:p>
    <w:p>
      <w:pPr>
        <w:pStyle w:val="Heading3"/>
      </w:pPr>
      <w:bookmarkStart w:id="72" w:name="_Toc232024568"/>
      <w:r>
        <w:rPr>
          <w:color w:val="000000"/>
          <w:szCs w:val="26"/>
          <w:lang w:val="en-US" w:eastAsia="en-US" w:bidi="ar-SA"/>
        </w:rPr>
        <w:t>5.3.1 The InBody Pressure Panel</w:t>
      </w:r>
      <w:bookmarkEnd w:id="72"/>
    </w:p>
    <w:p>
      <w:pPr>
        <w:pStyle w:val="Normal"/>
        <w:jc w:val="both"/>
      </w:pPr>
      <w:r>
        <w:rPr>
          <w:szCs w:val="22"/>
          <w:lang w:val="en-US" w:eastAsia="en-US" w:bidi="ar-SA"/>
          <w:rFonts w:ascii="Times New Roman" w:hAnsi="Times New Roman" w:eastAsia="Times New Roman" w:cs="Times New Roman"/>
          <w:sz w:val="24"/>
        </w:rPr>
        <w:t>The InBody pressure panel is a force-plate balance device deployed in clinical and residential settings. It measures the location and movement of the user's centre of pressure; the panel's spatial and temporal resolution are vendor properties that this thesis does not independently characterise or verify (the calibration function is treated as a black-box vendor component, §8.9). The panel was calibrated by InBody engineers as part of installation; the calibration function is treated as a fixed component for this thesis. In Stage 2 the panel served as the clinical instrument only: it produced the COP traces from which the InBody software computed the FRA index of balance. The game was controlled through a separate FSR pressure-sensor mat (§5.2A) placed on top of the footplate, which acted as a left/right controller in the manner of a keyboard's arrow keys: lateral weight shifts moved the on-screen skier, and the mat's pressure values were not measured or recorded; the FRA510S exposes no application programming interface, so the game never read the panel's measurement (author's account, 3 October 2026). No equivalence or validation study was conducted to establish that the foot pad on the footplate left the FRA measurement unimpaired, or that the two surfaces registered the same movement. The dual purpose is recorded as a physical arrangement — one weight shift, two sensing surfaces, two data sets — and mutual non-interference is not claimed as a verified result; the limits of the deployed configuration are discussed in §8.6A.</w:t>
      </w:r>
    </w:p>
    <w:p>
      <w:pPr>
        <w:pStyle w:val="Heading3"/>
      </w:pPr>
      <w:bookmarkStart w:id="73" w:name="_Toc232024569"/>
      <w:r>
        <w:rPr>
          <w:color w:val="000000"/>
          <w:szCs w:val="26"/>
          <w:lang w:val="en-US" w:eastAsia="en-US" w:bidi="ar-SA"/>
        </w:rPr>
        <w:t>5.3.2 Game Concept and Gameplay Loop</w:t>
      </w:r>
      <w:bookmarkEnd w:id="73"/>
    </w:p>
    <w:p>
      <w:pPr>
        <w:pStyle w:val="Normal"/>
        <w:jc w:val="both"/>
      </w:pPr>
      <w:r>
        <w:rPr>
          <w:szCs w:val="22"/>
          <w:lang w:val="en-US" w:eastAsia="en-US" w:bidi="ar-SA"/>
          <w:rFonts w:ascii="Times New Roman" w:hAnsi="Times New Roman" w:eastAsia="Times New Roman" w:cs="Times New Roman"/>
          <w:sz w:val="24"/>
        </w:rPr>
        <w:t>The skiing game is a 3D game, viewed from behind the skier, in which the user controls a skier descending a snow-covered slope. Three game elements interact: the skier (the user's avatar), obstacles on the slope (trees, rocks), and coins (collectible rewards, ten points each). The skier moves left and right by lateral weight shifts read through the foot pad placed on the InBody footplate (by keyboard in testing only); the user's task is to avoid obstacles while collecting coins as the slope approaches. A run ends at the first obstacle collision, after which the analysis report is shown and the game can be restarted; the game kept no attempt counter and had no lives, so the three-to-five-play protocol of §5.5 was administered by the therapist. The three-lives system and the five-trial structure summarised in Table 5.0 belong to the early Stage-3 build (§5.2A).</w:t>
      </w:r>
    </w:p>
    <w:p>
      <w:pPr>
        <w:pStyle w:val="Normal"/>
        <w:jc w:val="both"/>
      </w:pPr>
      <w:r>
        <w:rPr>
          <w:szCs w:val="22"/>
          <w:lang w:val="en-US" w:eastAsia="en-US" w:bidi="ar-SA"/>
          <w:rFonts w:ascii="Times New Roman" w:hAnsi="Times New Roman" w:eastAsia="Times New Roman" w:cs="Times New Roman"/>
          <w:sz w:val="24"/>
        </w:rP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pPr>
        <w:pStyle w:val="Heading3"/>
      </w:pPr>
      <w:bookmarkStart w:id="74" w:name="_Toc232024570"/>
      <w:r>
        <w:rPr>
          <w:color w:val="000000"/>
          <w:szCs w:val="26"/>
          <w:lang w:val="en-US" w:eastAsia="en-US" w:bidi="ar-SA"/>
        </w:rPr>
        <w:t>5.3.3 On-Screen Display</w:t>
      </w:r>
      <w:bookmarkEnd w:id="74"/>
    </w:p>
    <w:p>
      <w:pPr>
        <w:pStyle w:val="Normal"/>
        <w:jc w:val="both"/>
      </w:pPr>
      <w:r>
        <w:rPr>
          <w:szCs w:val="22"/>
          <w:lang w:val="en-US" w:eastAsia="en-US" w:bidi="ar-SA"/>
          <w:rFonts w:ascii="Times New Roman" w:hAnsi="Times New Roman" w:eastAsia="Times New Roman" w:cs="Times New Roman"/>
          <w:sz w:val="24"/>
        </w:rP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pPr>
        <w:pStyle w:val="Normal"/>
        <w:keepNext/>
        <w:spacing w:before="160" w:after="40"/>
        <w:jc w:val="center"/>
      </w:pPr>
      <w:r>
        <w:rPr>
          <w:noProof/>
        </w:rPr>
        <w:lastRenderedPageBreak/>
        <w:drawing>
          <wp:inline distT="0" distB="0" distL="0" distR="0" wp14:anchorId="3ACA3E0A" wp14:editId="7BBADCB2">
            <wp:extent cx="5120640" cy="3313355"/>
            <wp:effectExtent l="0" t="0" r="0" b="0"/>
            <wp:docPr id="4" name="Picture 4" descr="Figure 5.1. Schematic illustration of the skiing-game display."/>
            <wp:cNvGraphicFramePr>
              <a:graphicFrameLocks noChangeAspect="1"/>
            </wp:cNvGraphicFramePr>
            <a:graphic>
              <a:graphicData uri="http://schemas.openxmlformats.org/drawingml/2006/picture">
                <pic:pic>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pPr>
        <w:pStyle w:val="FigureCaption"/>
        <w:keepLines/>
        <w:jc w:val="center"/>
      </w:pPr>
      <w:bookmarkStart w:id="75" w:name="_Toc232024682"/>
      <w:bookmarkEnd w:id="75"/>
      <w:r>
        <w:rPr>
          <w:sz w:val="24"/>
          <w:szCs w:val="22"/>
          <w:lang w:val="en-US" w:eastAsia="en-US" w:bidi="ar-SA"/>
          <w:rFonts w:ascii="Times New Roman" w:hAnsi="Times New Roman" w:eastAsia="Times New Roman" w:cs="Times New Roman"/>
          <w:i/>
          <w:b/>
        </w:rPr>
        <w:t>Figure 5.1. Schematic illustration of the skiing-game display. The skier is steered left and right by weight shift; trees and rocks represent obstacles, coins reward forward play, and level and score indicators illustrate the intended interface. The drawing is explanatory and is not a captured game screen or a participant outcome record.</w:t>
      </w:r>
    </w:p>
    <w:p>
      <w:pPr>
        <w:pStyle w:val="Normal"/>
        <w:keepNext/>
      </w:pPr>
      <w:r>
        <w:drawing>
          <wp:inline>
            <wp:extent cx="2651760" cy="4714240"/>
            <wp:docPr id="30" name="Picture 30" descr="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
            <wp:cNvGraphicFramePr>
              <a:graphicFrameLocks noChangeAspect="1"/>
            </wp:cNvGraphicFramePr>
            <a:graphic>
              <a:graphicData uri="http://schemas.openxmlformats.org/drawingml/2006/picture">
                <pic:pic>
                  <pic:nvPicPr>
                    <pic:cNvPr id="0" name="fig_5_1A_candidate_platform_demo.jpg"/>
                    <pic:cNvPicPr/>
                  </pic:nvPicPr>
                  <pic:blipFill>
                    <a:blip r:embed="rId39"/>
                    <a:stretch>
                      <a:fillRect/>
                    </a:stretch>
                  </pic:blipFill>
                  <pic:spPr>
                    <a:xfrm>
                      <a:off x="0" y="0"/>
                      <a:ext cx="2651760" cy="471424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 Photography of study participants was not permitted under the residential facility's privacy rules, so no participant play imagery exists; this development-phase demonstration stands in its place.</w:t>
      </w:r>
    </w:p>
    <w:p>
      <w:pPr>
        <w:pStyle w:val="Normal"/>
        <w:keepNext/>
      </w:pPr>
      <w:r>
        <w:drawing>
          <wp:inline>
            <wp:extent cx="4937760" cy="5712160"/>
            <wp:docPr id="29" name="Picture 29" descr="Figure 5.1B. Successor-build illustration of the game artefact across difficulty levels 1–5 (screenshots from the programme's archived successor build in the same design lineage as the Stage-2 deployment, not from the deployed Stage-2 build)."/>
            <wp:cNvGraphicFramePr>
              <a:graphicFrameLocks noChangeAspect="1"/>
            </wp:cNvGraphicFramePr>
            <a:graphic>
              <a:graphicData uri="http://schemas.openxmlformats.org/drawingml/2006/picture">
                <pic:pic>
                  <pic:nvPicPr>
                    <pic:cNvPr id="0" name="fig_5_1B.png"/>
                    <pic:cNvPicPr/>
                  </pic:nvPicPr>
                  <pic:blipFill>
                    <a:blip r:embed="rId38"/>
                    <a:stretch>
                      <a:fillRect/>
                    </a:stretch>
                  </pic:blipFill>
                  <pic:spPr>
                    <a:xfrm>
                      <a:off x="0" y="0"/>
                      <a:ext cx="4937760" cy="571216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5.1B. Successor-build illustration of the game artefact across difficulty levels 1–5 (screenshots from the programme's archived successor build in the same design lineage as the Stage-2 deployment, not from the deployed Stage-2 build). Obstacle spawn rate scales with the difficulty multiplier (×0.40 to ×1.40), stones become more frequent relative to trees, and boulder pairs appear from Level 3 upward; the skier is steered by lateral weight shift and coins reward forward play.</w:t>
      </w:r>
    </w:p>
    <w:p>
      <w:pPr>
        <w:pStyle w:val="Heading3"/>
      </w:pPr>
      <w:bookmarkStart w:id="76" w:name="_Toc232024571"/>
      <w:r>
        <w:rPr>
          <w:color w:val="000000"/>
          <w:szCs w:val="26"/>
          <w:lang w:val="en-US" w:eastAsia="en-US" w:bidi="ar-SA"/>
        </w:rPr>
        <w:t>5.3.4 Five-Layer Architecture</w:t>
      </w:r>
      <w:bookmarkEnd w:id="76"/>
    </w:p>
    <w:p>
      <w:pPr>
        <w:pStyle w:val="Normal"/>
        <w:jc w:val="both"/>
      </w:pPr>
      <w:r>
        <w:rPr>
          <w:szCs w:val="22"/>
          <w:lang w:val="en-US" w:eastAsia="en-US" w:bidi="ar-SA"/>
          <w:rFonts w:ascii="Times New Roman" w:hAnsi="Times New Roman" w:eastAsia="Times New Roman" w:cs="Times New Roman"/>
          <w:sz w:val="24"/>
        </w:rPr>
        <w:t>The system is organised into five layers, each with a distinct responsibility. Figure 5.2 summarises the architecture. Layer 0 (Input) is the control input: in the deployed Stage-2 build an FSR pressure-sensor mat placed on the footplate and read over a serial connection as a left/right controller, in the manner of a keyboard (keyboard in the first tested version); the mat's pressure values were not measured, and the FRA510S exposes no application programming interface (§5.2A). Layer 1 (Game Engine) is the Three.js skiing scene with Cannon.js physics; it consumes the control input and produces frame-by-frame game state. Layer 2 (AI component) is, in the deployed Stage-2 game, the post-game analysis-and-recommendation module: in v1 a rule-based report generated in the page, in v2 a server-side LangChain call over the OpenAI API whose prompt template is deposited (item G.7); difficulty itself was set once before each run by the three formulas of §5.2A, and no in-run adaptation operated in Stage 2 — the in-run rule agent with its 80%/40% success-rate thresholds belongs to the Stage-3 builds (Appendix I). v2 was the version deployed (author's account, 7 October 2026); whether the server-side call completed in each session, and the model version and run-time settings, are not on record, so no operational claim is made for the model call (§5.3.5). Layer 3 (Logging) is, in the deployed game, the in-memory run statistics (duration, score, coins, obstacles avoided) that feed the analysis report; nothing was written to disk, no log was retained, and Stage-2 play was recorded by hand at the centre (§5.2A, §8.9), so no claim in this thesis rests on game telemetry. Layer 4 (Clinical Output) is the InBody FRA measurement running in parallel on the footplate beneath the mat: it is not part of the game software, received no data from it, and its index was read by the therapist from the InBody terminal (§5.2A). The clinical layer (L4) ran beside, not from, the game.</w:t>
      </w:r>
    </w:p>
    <w:p>
      <w:pPr>
        <w:pStyle w:val="Normal"/>
        <w:keepNext/>
        <w:spacing w:before="160" w:after="40"/>
        <w:jc w:val="center"/>
      </w:pPr>
      <w:r>
        <w:drawing>
          <wp:inline>
            <wp:extent cx="5120640" cy="3220933"/>
            <wp:docPr id="21" name="Picture 21" descr="Figure 5.2." title=""/>
            <wp:cNvGraphicFramePr>
              <a:graphicFrameLocks noChangeAspect="1"/>
            </wp:cNvGraphicFramePr>
            <a:graphic>
              <a:graphicData uri="http://schemas.openxmlformats.org/drawingml/2006/picture">
                <pic:pic>
                  <pic:nvPicPr>
                    <pic:cNvPr id="0" name="fig_5_2.png"/>
                    <pic:cNvPicPr/>
                  </pic:nvPicPr>
                  <pic:blipFill>
                    <a:blip r:embed="rId30"/>
                    <a:stretch>
                      <a:fillRect/>
                    </a:stretch>
                  </pic:blipFill>
                  <pic:spPr>
                    <a:xfrm>
                      <a:off x="0" y="0"/>
                      <a:ext cx="5120640" cy="3220933"/>
                    </a:xfrm>
                    <a:prstGeom prst="rect"/>
                  </pic:spPr>
                </pic:pic>
              </a:graphicData>
            </a:graphic>
          </wp:inline>
        </w:drawing>
      </w:r>
    </w:p>
    <w:p>
      <w:pPr>
        <w:pStyle w:val="FigureCaption"/>
        <w:keepLines/>
        <w:jc w:val="center"/>
      </w:pPr>
      <w:bookmarkStart w:id="77" w:name="_Toc232024683"/>
      <w:r>
        <w:rPr>
          <w:sz w:val="24"/>
          <w:szCs w:val="22"/>
          <w:lang w:val="en-US" w:eastAsia="en-US" w:bidi="ar-SA"/>
          <w:rFonts w:ascii="Times New Roman" w:hAnsi="Times New Roman" w:eastAsia="Times New Roman" w:cs="Times New Roman"/>
          <w:i/>
          <w:b/>
        </w:rPr>
        <w:t>Figure 5.2. Stage-2 architecture: the game's layers L0–L3 and the InBody measurement (L4) that ran in parallel. Difficulty was set once before each run from the ability form; the large-language-model component was the post-game analysis module of v2. The solid arrows show the layer stack order only; the data movement between game layers is described in §5.3.4. No data passed between the game and the InBody system: the mat input (L0) drove play, the footplate beneath it drove the InBody measurement, and the two records were joined only by the therapist's hand record (§5.2A); clinical numbers were never shown on the play screen.</w:t>
      </w:r>
      <w:bookmarkEnd w:id="77"/>
    </w:p>
    <w:p>
      <w:pPr>
        <w:pStyle w:val="Heading3"/>
      </w:pPr>
      <w:bookmarkStart w:id="78" w:name="_Toc232024572"/>
      <w:r>
        <w:rPr>
          <w:color w:val="000000"/>
          <w:szCs w:val="26"/>
          <w:lang w:val="en-US" w:eastAsia="en-US" w:bidi="ar-SA"/>
        </w:rPr>
        <w:t>5.3.5 Automatic Difficulty Adjustment System</w:t>
      </w:r>
      <w:bookmarkEnd w:id="78"/>
    </w:p>
    <w:p>
      <w:pPr>
        <w:pStyle w:val="Normal"/>
        <w:jc w:val="both"/>
      </w:pPr>
      <w:r>
        <w:rPr>
          <w:szCs w:val="22"/>
          <w:lang w:val="en-US" w:eastAsia="en-US" w:bidi="ar-SA"/>
          <w:rFonts w:ascii="Times New Roman" w:hAnsi="Times New Roman" w:eastAsia="Times New Roman" w:cs="Times New Roman"/>
          <w:sz w:val="24"/>
        </w:rPr>
        <w:t>The difficulty-adjustment and analysis functions of the deployed Stage-2 game are described from its specification of 29 August 2024 and its code (Appendix G, item G.7). The specification states the aim — a game that "collects and analyses users' physical condition and reaction ability data, customises personalised game difficulty for elderly users" and, after the game, "provides a detailed analysis report" using "large model technology" — and lists the ability indicators the form collects (age, sex, single-leg standing time, sit-to-stand count, pace, reaction time, gait-stability ratings) together with in-game indicators the analysis may use (correct-response rate, mean, maximum and minimum reaction time, left and right leg strength and their symmetry). In the code as deposited, difficulty is set before the run by the three formulas of §5.2A, not by the model; the model is called only after the run, in v2, through a server-side module built on LangChain over the OpenAI API, with the run statistics and the form as input and the five-part report (game performance, personal analysis, game suggestions, rehabilitation advice, body parts to strengthen) as output. The prompt that produces that report is reproduced in the specification's appendix and is deposited with it.</w:t>
      </w:r>
    </w:p>
    <w:p>
      <w:pPr>
        <w:pStyle w:val="Normal"/>
        <w:jc w:val="both"/>
      </w:pPr>
      <w:r>
        <w:rPr>
          <w:szCs w:val="22"/>
          <w:lang w:val="en-US" w:eastAsia="en-US" w:bidi="ar-SA"/>
          <w:rFonts w:ascii="Times New Roman" w:hAnsi="Times New Roman" w:eastAsia="Times New Roman" w:cs="Times New Roman"/>
          <w:sz w:val="24"/>
        </w:rPr>
        <w:t>No in-session difficulty rule operated in the Stage-2 game: a run's difficulty was fixed when the form was submitted, and the first collision ended the run. The in-run rule that steps difficulty up above an 80% success rate and down below 40% appears first in the Stage-3 builds, as their built-in rule agent (§6.4, Appendix I), and the Stage-3B component-study builds carried the same thresholds in the adaptive arm; no comparison is computed from the returns in that record and no confirmatory analysis is reported, so the thresholds' effects on performance, burden and return remain unexamined. For Stage 2, v2 was the version deployed (author's account, 7 October 2026); whether the server-side call completed in each session, and the model version and run-time settings, are not on record (Appendix G, items G.0A and G.7; §8.9); the model call is reported here as specified and as deposited in code, and no operational claim is made for it in the deployed sessions.</w:t>
      </w:r>
    </w:p>
    <w:p>
      <w:pPr>
        <w:pStyle w:val="Heading3"/>
      </w:pPr>
      <w:bookmarkStart w:id="79" w:name="_Toc232024573"/>
      <w:r>
        <w:rPr>
          <w:color w:val="000000"/>
          <w:szCs w:val="26"/>
          <w:lang w:val="en-US" w:eastAsia="en-US" w:bidi="ar-SA"/>
        </w:rPr>
        <w:t>5.3.6 Data Structures and Telemetry</w:t>
      </w:r>
      <w:bookmarkEnd w:id="79"/>
    </w:p>
    <w:p>
      <w:pPr>
        <w:pStyle w:val="Normal"/>
        <w:jc w:val="both"/>
      </w:pPr>
      <w:r>
        <w:rPr>
          <w:szCs w:val="22"/>
          <w:lang w:val="en-US" w:eastAsia="en-US" w:bidi="ar-SA"/>
          <w:rFonts w:ascii="Times New Roman" w:hAnsi="Times New Roman" w:eastAsia="Times New Roman" w:cs="Times New Roman"/>
          <w:sz w:val="24"/>
        </w:rPr>
        <w:t>The system records data along three dimensions, summarised in Table 5.1; the dimensions describe the data structure as specified, and every Stage-2 statistic in §5.5 derives from the analysis file stage2_clean.csv (Appendix G, item G.2), not from Layer-3 output (§8.9). The user dimension captures stable personal characteristics. The game dimension captures session-level configuration. The result dimension captures session-level outcomes. The three dimensions follow the data-structure section of the 29 August 2024 specification (item G.7).</w:t>
      </w:r>
    </w:p>
    <w:p>
      <w:pPr>
        <w:pStyle w:val="FigureCaption"/>
        <w:keepNext/>
        <w:keepLines/>
        <w:jc w:val="center"/>
      </w:pPr>
      <w:bookmarkStart w:id="80" w:name="_Toc232024698"/>
      <w:r>
        <w:rPr>
          <w:sz w:val="24"/>
          <w:szCs w:val="22"/>
          <w:lang w:val="en-US" w:eastAsia="en-US" w:bidi="ar-SA"/>
          <w:rFonts w:ascii="Times New Roman" w:hAnsi="Times New Roman" w:eastAsia="Times New Roman" w:cs="Times New Roman"/>
          <w:i/>
          <w:b/>
        </w:rPr>
        <w:t>Table 5.1. Skiing game data structure summary.</w:t>
      </w:r>
      <w:bookmarkEnd w:id="80"/>
    </w:p>
    <w:tbl>
      <w:tblPr>
        <w:tblStyle w:val="TableGrid"/>
        <w:tblW w:w="8505" w:type="dxa"/>
        <w:jc w:val="center"/>
        <w:tblLayout w:type="fixed"/>
        <w:tblLook w:val="04A0" w:firstRow="1" w:lastRow="0" w:firstColumn="1" w:lastColumn="0" w:noHBand="0" w:noVBand="1"/>
      </w:tblPr>
      <w:tblGrid>
        <w:gridCol w:w="1467"/>
        <w:gridCol w:w="7038"/>
      </w:tblGrid>
      <w:tr>
        <w:trPr>
          <w:jc w:val="center"/>
          <w:tblHeader/>
          <w:cantSplit/>
        </w:trPr>
        <w:tc>
          <w:tcPr>
            <w:tcW w:w="1467"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7038" w:type="dxa"/>
          </w:tcPr>
          <w:p>
            <w:pPr>
              <w:pStyle w:val="Normal"/>
              <w:keepNext w:val="0"/>
              <w:keepLines/>
            </w:pPr>
            <w:r>
              <w:rPr>
                <w:b/>
                <w:sz w:val="18"/>
                <w:szCs w:val="22"/>
                <w:lang w:val="en-US" w:eastAsia="en-US" w:bidi="ar-SA"/>
                <w:rFonts w:ascii="Times New Roman" w:hAnsi="Times New Roman" w:eastAsia="Times New Roman" w:cs="Times New Roman"/>
              </w:rPr>
              <w:t>Fields</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User</w:t>
            </w:r>
          </w:p>
        </w:tc>
        <w:tc>
          <w:tcPr>
            <w:tcW w:w="7038" w:type="dxa"/>
          </w:tcPr>
          <w:p>
            <w:pPr>
              <w:pStyle w:val="Normal"/>
            </w:pPr>
            <w:r>
              <w:rPr>
                <w:sz w:val="20"/>
                <w:szCs w:val="22"/>
                <w:lang w:val="en-US" w:eastAsia="en-US" w:bidi="ar-SA"/>
                <w:rFonts w:ascii="Times New Roman" w:hAnsi="Times New Roman" w:eastAsia="Times New Roman" w:cs="Times New Roman"/>
              </w:rPr>
              <w:t>Unique device identifier; age; sex; physical condition; vision and hearing status; cognitive function status; medications; lower-limb strength baseline; balance baseline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Game</w:t>
            </w:r>
          </w:p>
        </w:tc>
        <w:tc>
          <w:tcPr>
            <w:tcW w:w="7038" w:type="dxa"/>
          </w:tcPr>
          <w:p>
            <w:pPr>
              <w:pStyle w:val="Normal"/>
            </w:pPr>
            <w:r>
              <w:rPr>
                <w:sz w:val="20"/>
                <w:szCs w:val="22"/>
                <w:lang w:val="en-US" w:eastAsia="en-US" w:bidi="ar-SA"/>
                <w:rFonts w:ascii="Times New Roman" w:hAnsi="Times New Roman" w:eastAsia="Times New Roman" w:cs="Times New Roman"/>
              </w:rPr>
              <w:t>Session identifier; difficulty level (1–5); game type; session duration; stimulus type (visual, auditory); stimulus presentation speed and frequency; user response type (weight shift via the input device)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Result</w:t>
            </w:r>
          </w:p>
        </w:tc>
        <w:tc>
          <w:tcPr>
            <w:tcW w:w="7038" w:type="dxa"/>
          </w:tcPr>
          <w:p>
            <w:pPr>
              <w:pStyle w:val="Normal"/>
            </w:pPr>
            <w:r>
              <w:rPr>
                <w:sz w:val="20"/>
                <w:szCs w:val="22"/>
                <w:lang w:val="en-US" w:eastAsia="en-US" w:bidi="ar-SA"/>
                <w:rFonts w:ascii="Times New Roman" w:hAnsi="Times New Roman" w:eastAsia="Times New Roman" w:cs="Times New Roman"/>
              </w:rPr>
              <w:t>Correct response rate; average reaction time; maximum and minimum reaction time; left- and right-leg strength; symmetry of leg strength; fatigue rate; game score; star rating</w:t>
            </w:r>
          </w:p>
        </w:tc>
      </w:tr>
    </w:tbl>
    <w:p>
      <w:pPr>
        <w:pStyle w:val="Normal"/>
        <w:spacing w:after="40"/>
      </w:pPr>
    </w:p>
    <w:p>
      <w:pPr>
        <w:pStyle w:val="Heading3"/>
      </w:pPr>
      <w:bookmarkStart w:id="81" w:name="_Toc232024574"/>
      <w:r>
        <w:rPr>
          <w:color w:val="000000"/>
          <w:szCs w:val="26"/>
          <w:lang w:val="en-US" w:eastAsia="en-US" w:bidi="ar-SA"/>
        </w:rPr>
        <w:t>5.3.7 Sample User Profile</w:t>
      </w:r>
      <w:bookmarkEnd w:id="81"/>
    </w:p>
    <w:p>
      <w:pPr>
        <w:pStyle w:val="Normal"/>
        <w:jc w:val="both"/>
      </w:pPr>
      <w:r>
        <w:rPr>
          <w:szCs w:val="22"/>
          <w:lang w:val="en-US" w:eastAsia="en-US" w:bidi="ar-SA"/>
          <w:rFonts w:ascii="Times New Roman" w:hAnsi="Times New Roman" w:eastAsia="Times New Roman" w:cs="Times New Roman"/>
          <w:sz w:val="24"/>
        </w:rPr>
        <w:t>As a worked example, the system was tested on a synthetic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The specification's test data for this profile give a single-leg standing time of 12 seconds, 15 sit-to-stand repetitions, a pace of 3 m/s, a reaction time of 300 ms, gait-stability ratings of 8, 6 and 5, a correct-response rate of 0.6, a mean reaction time of 2 seconds (maximum 3, minimum 1.5), leg strengths of 30 and 35 kg and a symmetry of 0.86. The difficulty module returned a medium overall difficulty with medium settings for obstacles, speed and balance, each with a one-sentence rationale, and the analysis module returned the five-part report, reading the 2-second reaction time as normal for a 72-year-old and the 60% correct-response rate as room for improvement. The profile illustrates the system's intended behaviour: difficulty calibration is conservative; explanations are plain; recommendations are concrete and personalised. The profile is synthetic test data from the specification (Appendix G, item G.7); it is not a study participant.</w:t>
      </w:r>
    </w:p>
    <w:p>
      <w:pPr>
        <w:pStyle w:val="Heading3"/>
      </w:pPr>
      <w:bookmarkStart w:id="82" w:name="_Toc232024575"/>
      <w:r>
        <w:rPr>
          <w:color w:val="000000"/>
          <w:szCs w:val="26"/>
          <w:lang w:val="en-US" w:eastAsia="en-US" w:bidi="ar-SA"/>
        </w:rPr>
        <w:t>5.3.8 Why a Skiing Game?</w:t>
      </w:r>
      <w:bookmarkEnd w:id="82"/>
    </w:p>
    <w:p>
      <w:pPr>
        <w:jc w:val="both"/>
      </w:pPr>
      <w:r>
        <w:t>The game's lineage is industrial. InBody's own balance games had been installed on the facility's FRA in 2022 (the platform's training mode; InBody Co., Ltd., 2022), and the skiing game was developed by the author in 2023 for the Poly Group centres with those installed games as its starting point - retaining the platform's sensing pathway while replacing the presentation, reward structure and session format with the design described in this chapter.</w:t>
      </w:r>
    </w:p>
    <w:p>
      <w:pPr>
        <w:pStyle w:val="Normal"/>
        <w:jc w:val="both"/>
      </w:pPr>
      <w:r>
        <w:rPr>
          <w:szCs w:val="22"/>
          <w:lang w:val="en-US" w:eastAsia="en-US" w:bidi="ar-SA"/>
          <w:rFonts w:ascii="Times New Roman" w:hAnsi="Times New Roman" w:eastAsia="Times New Roman" w:cs="Times New Roman"/>
          <w:sz w:val="24"/>
        </w:rPr>
        <w:t>The skiing metaphor was selected for three reasons. First, the lateral-shift control mapping is natural: the weight shift required to lean a skier matches the weight shift required to maintain dynamic balance, so the gameplay action and the clinical measurement are the same bodily movement, read by two sensing surfaces (§5.2A). Second, the skiing metaphor is culturally accessible across the Stage-2 cohort: the skiing metaphor was judged at design time to be culturally accessible for the Stage-2 cohort, winter sports being a widely televised genre; participants' prior familiarity with winter sports and any need for genre-specific instruction were not recorded, so this is a design rationale rather than an observed finding. Third, the trail-scrolling visual provides an intrinsic forward-motion cue that does not require the user to read distance or score, reducing the cognitive load on participants with mild visual or attentional impairment.</w:t>
      </w:r>
    </w:p>
    <w:p>
      <w:pPr>
        <w:pStyle w:val="Normal"/>
        <w:jc w:val="both"/>
      </w:pPr>
      <w:r>
        <w:rPr>
          <w:szCs w:val="22"/>
          <w:lang w:val="en-US" w:eastAsia="en-US" w:bidi="ar-SA"/>
          <w:rFonts w:ascii="Times New Roman" w:hAnsi="Times New Roman" w:eastAsia="Times New Roman" w:cs="Times New Roman"/>
          <w:sz w:val="24"/>
        </w:rPr>
        <w:t>The choice of metaphor matters for Stage 3, but the skiing metaphor itself is not the principal design lever under examination. Stage 3 retains the broad skiing mechanic while changing the participant-facing clinical cues and the delivery platform; input was through the keyboard, or a foot-pad sensor where available (§6.4). The comparison therefore reduces some artefact-level variation but does not isolate framing from all procedural, interface, cohort and contextual differences.</w:t>
      </w:r>
    </w:p>
    <w:p>
      <w:pPr>
        <w:pStyle w:val="Heading3"/>
      </w:pPr>
      <w:bookmarkStart w:id="83" w:name="_Toc232024576"/>
      <w:r>
        <w:rPr>
          <w:color w:val="000000"/>
          <w:szCs w:val="26"/>
          <w:lang w:val="en-US" w:eastAsia="en-US" w:bidi="ar-SA"/>
        </w:rPr>
        <w:t>5.3.9 Development Methodology and Tooling</w:t>
      </w:r>
      <w:bookmarkEnd w:id="83"/>
    </w:p>
    <w:p>
      <w:pPr>
        <w:pStyle w:val="Normal"/>
        <w:jc w:val="both"/>
      </w:pPr>
      <w:r>
        <w:rPr>
          <w:szCs w:val="22"/>
          <w:lang w:val="en-US" w:eastAsia="en-US" w:bidi="ar-SA"/>
          <w:rFonts w:ascii="Times New Roman" w:hAnsi="Times New Roman" w:eastAsia="Times New Roman" w:cs="Times New Roman"/>
          <w:sz w:val="24"/>
        </w:rPr>
        <w:t>The development tooling is stated here on the author's account of 3 October 2026, because the method by which an artefact was built belongs to an action-research record and because the record of this programme has been corrected on this point. The Stage-2 skiing game — a browser game in Three.js with Cannon.js physics — was created with generative-AI coding tools under the author's instruction and design framework, taking the manufacturer's installed games as the starting point (§5.3.8): the author specified the game in natural language within a working framework of specifications, and the code was generated and corrected by prompting ChatGPT; the model version used is not on record, and no prompt, revision log or test script from this period is deposited. Anthropic Claude Code, a command-line tool that lets a developer delegate coding tasks to a Claude model with access to the local file system, was used from 2025, when it became available, for the later Stage-2 build generations before the June–August 2025 deployment, for the Stage-3 HTML builds, and for the zero-failure, non-terminal game-state designs reported in §5.3.10 and Appendix I (Appendix G, item G.0A). The vehicle is documented because it shaped what was built and how quickly the design could be revised, not as a contribution in its own right.</w:t>
      </w:r>
    </w:p>
    <w:p>
      <w:pPr>
        <w:jc w:val="both"/>
      </w:pPr>
      <w:r>
        <w:t>A chronology note is required for the auditability of this account. Development of the skiing games began in 2023, whereas Claude Code became available as a research preview only in February 2025; the Claude Code account therefore applies to the build generations engineered from 2025 onward, which include the later Stage-2 generations and the Stage-3 builds, and not to the 2023–2024 origin of the Stage-2 game, which was generated and corrected through ChatGPT under the author's instruction. The Stage-2 game itself dates from this period: its specification of 29 August 2024, its code print of 30 August 2024 and its two runnable versions are deposited (Appendix G, item G.7), a screen recording of 15 January 2025 shows it five months before deployment (item G.17), and the input-coupling demonstration of item G.10 was made in the same week as the specification. Per-generation development dates and tooling are stated in the build-lineage matrix (Appendix G, item G.0A), and no tooling claim is made for any generation beyond that record.</w:t>
      </w:r>
    </w:p>
    <w:p>
      <w:pPr>
        <w:pStyle w:val="Normal"/>
        <w:jc w:val="both"/>
      </w:pPr>
      <w:r>
        <w:rPr>
          <w:szCs w:val="22"/>
          <w:lang w:val="en-US" w:eastAsia="en-US" w:bidi="ar-SA"/>
          <w:rFonts w:ascii="Times New Roman" w:hAnsi="Times New Roman" w:eastAsia="Times New Roman" w:cs="Times New Roman"/>
          <w:sz w:val="24"/>
        </w:rPr>
        <w:t>The platform-to-game input coupling was checked on an off-the-shelf scaffold, separately from the study game's own code. In the earliest development phase the balance platform was connected to the open-source Tux Racer skiing game — a 3D title in which a penguin slides belly-down over a snow slope collecting fish — so that weight-shift steering could be shown end-to-end without depending on the study game's code. Two contemporaneous videos, recorded at the development office on 27 August 2024 and held in the study archive (Appendix G, item G.10), show one of two control persons steering this prototype by weight shift alone. The deployed Stage-2 game described in this chapter is a separate implementation: the Three.js browser game, with a human skier in place of the scaffold's penguin. The open-source scaffold contributed no code to the deployed build; its role — checking the input coupling independently of the custom build — is recorded here so that the development lineage is complete.</w:t>
      </w:r>
    </w:p>
    <w:p>
      <w:pPr>
        <w:pStyle w:val="Normal"/>
        <w:jc w:val="both"/>
      </w:pPr>
      <w:r>
        <w:rPr>
          <w:szCs w:val="22"/>
          <w:lang w:val="en-US" w:eastAsia="en-US" w:bidi="ar-SA"/>
          <w:rFonts w:ascii="Times New Roman" w:hAnsi="Times New Roman" w:eastAsia="Times New Roman" w:cs="Times New Roman"/>
          <w:sz w:val="24"/>
        </w:rPr>
        <w:t>Testing of the Stage-2 game was by play. Each change was run on the test rig and judged from the screen, first with keyboard control and later with the pressure mat (§5.2A); a scripted test of the game logic was run once during development, and no test script or result from it is deposited. The game moved through approximately fifteen design iterations between the first runnable prototype and the version deployed in Stage 2, by the author's count; the count is author-reported and is not verified by any repository artifact, since no Stage-2 build file is deposited (Appendix G, item G.0A). The observations that drove the iterations were of the kind a test session yields — scrolling speed too high for older users, obstacle spacing producing impossible gaps, coin reward salience too low against the snow background — and are stated as the author's recollection, not as a logged list.</w:t>
      </w:r>
    </w:p>
    <w:p>
      <w:pPr>
        <w:pStyle w:val="Normal"/>
        <w:jc w:val="both"/>
      </w:pPr>
      <w:r>
        <w:rPr>
          <w:szCs w:val="22"/>
          <w:lang w:val="en-US" w:eastAsia="en-US" w:bidi="ar-SA"/>
          <w:rFonts w:ascii="Times New Roman" w:hAnsi="Times New Roman" w:eastAsia="Times New Roman" w:cs="Times New Roman"/>
          <w:sz w:val="24"/>
        </w:rPr>
        <w:t>Two methodological points follow. First, the AI tooling did not change the engineering content of the system. The layered architecture, the paired-task arrangement at the FRA station, the weight-shift-to-control mapping and the difficulty-adjustment logic are engineering decisions that an experienced developer would make with or without AI assistance; what the tooling changed was the speed at which a decision could be tried. Second, the use of AI tools to build a system that itself specifies an AI subsystem (the LangChain plus large-language-model adaptation layer in Layer 2) does not collapse into a circular dependence: the tools (ChatGPT, then Claude Code) were used at design time, under the author's instruction, to produce and correct code, whereas the Layer 2 model is specified to run at run time, by the system, to recommend difficulty parameters, and its operational status in the deployed Stage-2 build is not on record (§5.3.5).</w:t>
      </w:r>
    </w:p>
    <w:p>
      <w:pPr>
        <w:pStyle w:val="Normal"/>
        <w:jc w:val="both"/>
      </w:pPr>
      <w:r>
        <w:rPr>
          <w:szCs w:val="22"/>
          <w:lang w:val="en-US" w:eastAsia="en-US" w:bidi="ar-SA"/>
          <w:rFonts w:ascii="Times New Roman" w:hAnsi="Times New Roman" w:eastAsia="Times New Roman" w:cs="Times New Roman"/>
          <w:sz w:val="24"/>
        </w:rPr>
        <w:t>The AI-assisted workflow is documented for reproducibility, not offered as a contribution in its own right: the AI tooling is an enabling technology, and the contribution it enabled is the behavioural design framework. Engineering doctoral programmes increasingly involve software components whose construction is itself an act of design. Documenting the vehicle by which the artefact was built, alongside the artefact itself, makes the action research more reproducible and clarifies which engineering decisions belong to the author and which were accelerated by tooling. The use of generative AI in this programme, in development and in the preparation of this thesis, is declared in the University's required form at submission.</w:t>
      </w:r>
    </w:p>
    <w:p>
      <w:pPr>
        <w:pStyle w:val="Heading3"/>
      </w:pPr>
      <w:bookmarkStart w:id="84" w:name="_Toc232024577"/>
      <w:r>
        <w:rPr>
          <w:color w:val="000000"/>
          <w:szCs w:val="26"/>
          <w:lang w:val="en-US" w:eastAsia="en-US" w:bidi="ar-SA"/>
        </w:rPr>
        <w:t>5.3.10 Dynamic Game States: An Agentic-AI-Driven, Loss-Free Game Mechanic (Secondary Contribution)</w:t>
      </w:r>
      <w:bookmarkEnd w:id="84"/>
    </w:p>
    <w:p>
      <w:pPr>
        <w:pStyle w:val="Normal"/>
        <w:jc w:val="both"/>
      </w:pPr>
      <w:r>
        <w:rPr>
          <w:szCs w:val="22"/>
          <w:lang w:val="en-US" w:eastAsia="en-US" w:bidi="ar-SA"/>
          <w:rFonts w:ascii="Times New Roman" w:hAnsi="Times New Roman" w:eastAsia="Times New Roman" w:cs="Times New Roman"/>
          <w:sz w:val="24"/>
        </w:rPr>
        <w:t>The skiing-game specification reported in §5.3.1 to §5.3.9 was sufficient for the empirical Stage-2 deployment, but it ended every run at the first obstacle collision with a terminal analysis screen, and set difficulty once before play.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game ended a run at the first collision — a failure cue of the starkest kind — and non-return followed; the softened loss economy of three lives, a neutral first hit and an obstacle-clearing second hit was introduced only in the early Stage-3 build (Table 5.0). This observation motivates testing whether loss economy, feedback and clinical framing each contribute, without excluding in-game difficulty or other causes. The proposed repertoire changes the response to difficulty; its behavioural effect remains untested (§2.6.2C).</w:t>
      </w:r>
    </w:p>
    <w:p>
      <w:pPr>
        <w:pStyle w:val="Normal"/>
        <w:jc w:val="both"/>
      </w:pPr>
      <w:r>
        <w:rPr>
          <w:szCs w:val="22"/>
          <w:lang w:val="en-US" w:eastAsia="en-US" w:bidi="ar-SA"/>
          <w:rFonts w:ascii="Times New Roman" w:hAnsi="Times New Roman" w:eastAsia="Times New Roman" w:cs="Times New Roman"/>
          <w:sz w:val="24"/>
        </w:rPr>
        <w:t>Figure 5.3 presents the proposed architecture. L0 is the control-input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(Layer labels in this subsection follow Figure 5.3 and are local to the proposed state architecture; the frame-congruence check labelled L6 here is a distinct component and is not the staff coaching layer L6 of Table 7.2 and Appendix E.2.) These components are design specifications to be tested. Terms such as "identity-asset guard" describe the design intent, not a verified psychological mechanism.</w:t>
      </w:r>
    </w:p>
    <w:p>
      <w:pPr>
        <w:pStyle w:val="Normal"/>
        <w:keepNext/>
        <w:spacing w:before="160" w:after="40"/>
        <w:jc w:val="center"/>
      </w:pPr>
      <w:r>
        <w:drawing>
          <wp:inline>
            <wp:extent cx="5669280" cy="2829767"/>
            <wp:docPr id="22" name="Picture 22" descr="Figure 5.3." title=""/>
            <wp:cNvGraphicFramePr>
              <a:graphicFrameLocks noChangeAspect="1"/>
            </wp:cNvGraphicFramePr>
            <a:graphic>
              <a:graphicData uri="http://schemas.openxmlformats.org/drawingml/2006/picture">
                <pic:pic>
                  <pic:nvPicPr>
                    <pic:cNvPr id="0" name="fig_5_3.png"/>
                    <pic:cNvPicPr/>
                  </pic:nvPicPr>
                  <pic:blipFill>
                    <a:blip r:embed="rId31"/>
                    <a:stretch>
                      <a:fillRect/>
                    </a:stretch>
                  </pic:blipFill>
                  <pic:spPr>
                    <a:xfrm>
                      <a:off x="0" y="0"/>
                      <a:ext cx="5669280" cy="282976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5.3. Proposed dynamic game-state architecture for the FRA skiing game. The controller selects among five non-terminal states using recorded game information within pre-specified limits. Trajectory feedback and frame-congruence requirements apply across the state repertoire, although selected connections are shown for readability. Trajectories must identify task, difficulty and assistance conditions; they do not establish learning from rising scores alone. The architecture was not evaluated in the Stage-2 or Stage-3 empirical comparisons, and the Stage-3B component record (Appendix I) contains no evaluation of it.</w:t>
      </w:r>
    </w:p>
    <w:p>
      <w:pPr>
        <w:pStyle w:val="Normal"/>
        <w:jc w:val="both"/>
      </w:pPr>
      <w:r>
        <w:rPr>
          <w:szCs w:val="22"/>
          <w:lang w:val="en-US" w:eastAsia="en-US" w:bidi="ar-SA"/>
          <w:rFonts w:ascii="Times New Roman" w:hAnsi="Times New Roman" w:eastAsia="Times New Roman" w:cs="Times New Roman"/>
          <w:sz w:val="24"/>
        </w:rP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pPr>
        <w:pStyle w:val="Normal"/>
        <w:jc w:val="both"/>
      </w:pPr>
      <w:r>
        <w:rPr>
          <w:szCs w:val="22"/>
          <w:lang w:val="en-US" w:eastAsia="en-US" w:bidi="ar-SA"/>
          <w:rFonts w:ascii="Times New Roman" w:hAnsi="Times New Roman" w:eastAsia="Times New Roman" w:cs="Times New Roman"/>
          <w:sz w:val="24"/>
        </w:rPr>
        <w:t>Three points fix the scope of this contribution. First, it is a design specification, not an empirical result; Stage 2 used the original game-state structure, Stage 3 did not test a controlled state-repertoire comparison, and the Stage-3B component study — which crossed a zero-failure (non-terminal) failure mode against game-over as one of its two factors — is reported only as an achieved, descriptive record to its 30 September 2026 cut-off (Appendix I), with no comparison computed from its returns and no confirmatory analysis.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comprehension, challenge adequacy and unintended concealment of clinically important information. A "loss-free" surface must not become a challenge-free or misleading surface.</w:t>
      </w:r>
    </w:p>
    <w:p>
      <w:pPr>
        <w:pStyle w:val="Heading2"/>
      </w:pPr>
      <w:bookmarkStart w:id="85" w:name="_Toc232024578"/>
      <w:r>
        <w:rPr>
          <w:lang w:val="en-US" w:eastAsia="en-US" w:bidi="ar-SA"/>
          <w:color w:val="000000"/>
          <w:szCs w:val="22"/>
        </w:rPr>
        <w:t>5.4 Participants and Data Governance</w:t>
      </w:r>
      <w:bookmarkEnd w:id="85"/>
    </w:p>
    <w:p>
      <w:pPr>
        <w:pStyle w:val="Normal"/>
        <w:jc w:val="both"/>
      </w:pPr>
      <w:r>
        <w:rPr>
          <w:szCs w:val="22"/>
          <w:lang w:val="en-US" w:eastAsia="en-US" w:bidi="ar-SA"/>
          <w:rFonts w:ascii="Times New Roman" w:hAnsi="Times New Roman" w:eastAsia="Times New Roman" w:cs="Times New Roman"/>
          <w:sz w:val="24"/>
        </w:rPr>
        <w:t>The facility extended the Stage-2 invitation to the 200 residents who had taken part in the Stage-1 screening survey (Chapter 4); thirty joined, and the remaining 170 declined or did not take up the invitation. Refusal reasons were not individually recorded, but the scale of the non-uptake - among residents who knew the FRA as part of the house's provision - is consistent with the anticipatory-avoidance pattern described in §4.1A, and it is read here as recruitment context, not as evidence for any hypothesis. It also marks the analysed cohort as a self-selecting minority of invitees, a boundary restated among the Stage-2 limitations (§5.9). Thirty residents participated over eight weeks (mean age 71.1 ± 5.9; range 62–84). Data handling followed the PIPL arrangements stated in §3.4: all data were pseudonymised at collection, and no participant identifiers were transmitted to third-party AI services. Consent operated as stated in §3.4 — gatekeeper consent from the facility's operators, nursing team and general manager; incomplete disclosure during the deployment; and written consent obtained retrospectively from the sustained participants at the close of the eight-week cycle; the twenty-one low-engagement participants did not sign research consent and were not interviewed, and their symptom entries are therapist observations compiled by the researcher (§3.4, §5.5). Whether the Layer-2 model endpoint was called in the deployed Stage-2 build is not documented in the retained record (Appendix G, item G.0A; §5.3.5), and no operational claim is made for it; the AI-call records were not retained (§8.9).</w:t>
      </w:r>
    </w:p>
    <w:p>
      <w:pPr>
        <w:pStyle w:val="Heading2"/>
      </w:pPr>
      <w:bookmarkStart w:id="86" w:name="_Toc232024579"/>
      <w:r>
        <w:rPr>
          <w:lang w:val="en-US" w:eastAsia="en-US" w:bidi="ar-SA"/>
          <w:color w:val="000000"/>
          <w:szCs w:val="22"/>
        </w:rPr>
        <w:t>5.5 Quantitative Findings</w:t>
      </w:r>
      <w:bookmarkEnd w:id="86"/>
    </w:p>
    <w:p>
      <w:pPr>
        <w:pStyle w:val="Normal"/>
        <w:jc w:val="both"/>
      </w:pPr>
      <w:r>
        <w:rPr>
          <w:szCs w:val="22"/>
          <w:lang w:val="en-US" w:eastAsia="en-US" w:bidi="ar-SA"/>
          <w:rFonts w:ascii="Times New Roman" w:hAnsi="Times New Roman" w:eastAsia="Times New Roman" w:cs="Times New Roman"/>
          <w:sz w:val="24"/>
        </w:rPr>
        <w:t>The Stage-2 archive (the analysis file stage2_clean.csv, with the FRA_32 data set and the Stage-2 logbook with player IDs; Appendix G, item G.2) contains one record per participant: gender, age, the recorded 'before' and 'after' FRA index values (their provenance is stated below), presenting fall-risk symptoms, the number of completed game cycles, therapist-reported symptom change, satisfaction and a verification flag. Thirty-two records were collected in total; two records from younger control participants (staff test plays, aged 36 and 53; IDs S2-C001 and S2-C002 in the Stage-2 ID register, Appendix G, item G.2) are retained in the archive but not analysed in this thesis, leaving the thirty older-adult participants (aged 62–84, mean 71.1 ± 5.9; 17 female, 13 male) analysed here. One record (S2-P015)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 A completed game cycle denotes one attended play session at the station under the five-attempt rule (§5.3.2); the three-or-fewer-cycles threshold defines the low-engagement group referenced in H1 (§5.1). The three-or-fewer-cycles threshold is observation-derived rather than pre-specified: in field observation, some participants declined the after-game conversations and simply walked away, and their cycle counts clustered at three or fewer; the classification operationalises that observed behavioural boundary. It is therefore a descriptive, retrospectively formalised cut - in the same register as the hypothesis provenance of §3.5 - not a prospectively specified endpoint. Its relation to the intended three-to-five-play protocol (the measurement-provenance statement below) is that three plays met the protocol's lower bound for interpretable index data while still lying inside the observed walk-away cluster: data-sufficiency and engagement are distinct axes, and the threshold tracks the second.</w:t>
      </w:r>
      <w:r>
        <w:rPr/>
      </w:r>
      <w:r>
        <w:t xml:space="preserve"> One consequence for the hypothesis architecture is stated here: the archived dataset contains no per-participant measure of first-experience adversity, so H1's association could not be directly examined and is carried as a design-stage expectation rather than a tested claim.</w:t>
      </w:r>
    </w:p>
    <w:p>
      <w:pPr>
        <w:jc w:val="both"/>
      </w:pPr>
      <w:r>
        <w:rPr/>
        <w:t>A measurement-provenance statement governs how the recorded index values are read, and it rests on a distinction the deployment drew between the game protocol and the measurement. The intended protocol - 'the whole game' - was for each participant to play the skiing game three to five times, both to collect more data and to observe whether players were building up skill across plays. The balancing indexes are a separate product: because the InBody FRA software measured from the footplate beneath the foot pad throughout play (§5.2A), every play produced assessment output, and the InBody system recorded the balance-test indexes on the clinician-side terminal (not on the play screen), from which the therapist read them whenever a participant's play concluded - by choice, at the end of a run, or at the end of the protocol. A participant who played only one, two or three cycles therefore still generated interpretable index data - within a single attendance, the three-to-five-play protocol yields multiple runs - and the facility's physicians could still read physical performance and its direction of change, interpreting the indexes against the manufacturer's evaluation guidelines. The 'after' value for each participant is the index from that participant's final play, at whatever week it occurred; every one of the thirty participants has a recorded value even though not all completed the intended three-to-five-play protocol. The 'before' value is the index from a standard-mode FRA assessment taken at the participant's first attendance, before game play began: participants first used the FRA in its standard mode, and then played the game on the foot pad while the FRA measured beneath it, so the archive holds one assessment-mode index and one game-mode index per participant, both generated by the same InBody measurement engine from the same footplate (§5.2A). This pairing was the deployment's original verification intent - to examine whether gamified play was associated with improved balance performance - an intent retained here only as description, since a single-group deployment cannot establish efficacy. Three consequences are stated plainly: the post-measurement time varies across participants - it is each participant's last play, not a fixed end-of-window date - so pre/post changes span different exposure durations; for single-session participants the pair spans a single attendance (the standard-mode assessment followed by that one game session); and the two values were produced under different task contexts - an assessment protocol and game play - so the measured change contains any effect of the measurement context itself alongside balance change. If the formal assessment frame depresses performance through assessment-related anxiety, part of the recorded improvement may reflect the change of frame rather than physical change; this direction is consistent with the programme's frame-sensitivity account but is not treated as evidence for it. No claim of uniform eight-week change is made.</w:t>
      </w:r>
      <w:r>
        <w:rPr/>
      </w:r>
      <w:r/>
      <w:r>
        <w:rPr/>
      </w:r>
      <w:r/>
    </w:p>
    <w:p>
      <w:pPr>
        <w:jc w:val="both"/>
      </w:pPr>
      <w:r>
        <w:t>A corresponding caution attaches to the symptom variables, which are therapist-observed and researcher-compiled rather than self-administered: therapists reported their observations in ordinary practice, and the researcher attributed values to individuals when compiling near-daily field notes. The satisfaction ratings, by contrast, were collected by the after-game paper questionnaire completed by players (§3.4; Appendix C). A single, unblinded compiler performing individual attribution is a real limitation - recall and expectancy effects cannot be excluded - so the symptom-improvement comparison reported below is read as an observed association in compiled field data. The satisfaction-engagement association (Fisher's exact p = 0.013) rests on a participant-completed paper questionnaire whose completed sheets are not held in the thesis archive (Appendix C); its administered form and response anchors are documented only through the four response categories carried into the Stage-2 ID register and the analysis file — Very satisfied, Satisfied, No comments, Dissatisfied (Appendix G, item G.2) — cross-tabulated against observed engagement; it is a descriptive association under an instrument whose administered form is not on file, not a result from a verified self-report instrument. A future study would replace both pathways with self-administered instruments at pre-specified times. Disengagement itself, by contrast, was directly and behaviourally visible: low-engagement participants typically declined the after-game conversation and walked away, so the engagement classification rests on observed behaviour rather than on the mediated variables this caution concerns.</w:t>
      </w:r>
    </w:p>
    <w:p>
      <w:pPr>
        <w:pStyle w:val="Normal"/>
        <w:jc w:val="both"/>
      </w:pPr>
      <w:r>
        <w:rPr>
          <w:szCs w:val="22"/>
          <w:lang w:val="en-US" w:eastAsia="en-US" w:bidi="ar-SA"/>
          <w:rFonts w:ascii="Times New Roman" w:hAnsi="Times New Roman" w:eastAsia="Times New Roman" w:cs="Times New Roman"/>
          <w:sz w:val="24"/>
        </w:rPr>
        <w:t>The principal descriptive outcome did not support the original expectation of sustained engagement.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Table 5.2; Figure 5.5). Three terms are kept distinct against the retained records: failure refers to adverse first-experience or in-game events, which the archive does not record per participant (as stated above); discontinuation refers to the observed cessation of attendance, read from cycle counts; and the opportunity to return remained open under the facility's standing free-of-charge access to the station (§5.2), so non-return here is an observed behaviour within the eight-week window, not evidence of permanent abandonment (§5.9). The reported exploratory gender comparison (Fisher's exact p = 0.69) and the correlation between age and completed cycles (Spearman ρ = −0.18, p = 0.34) did not provide clear evidence of association in this small sample; neither result establishes the absence of an effect. The gender test is not interpreted further; its cross-tabulation is not reported here.</w:t>
      </w:r>
    </w:p>
    <w:p>
      <w:pPr>
        <w:pStyle w:val="FigureCaption"/>
        <w:keepNext/>
        <w:keepLines/>
        <w:jc w:val="center"/>
      </w:pPr>
      <w:bookmarkStart w:id="87" w:name="_Toc232024699"/>
      <w:r>
        <w:rPr>
          <w:sz w:val="24"/>
          <w:szCs w:val="22"/>
          <w:lang w:val="en-US" w:eastAsia="en-US" w:bidi="ar-SA"/>
          <w:rFonts w:ascii="Times New Roman" w:hAnsi="Times New Roman" w:eastAsia="Times New Roman" w:cs="Times New Roman"/>
          <w:i/>
          <w:b/>
        </w:rPr>
        <w:t>Table 5.2. Stage-2 engagement pattern (N = 30). All counts include S2-P015, the one record that failed verification and is retained with a sensitivity note (§5.5).</w:t>
      </w:r>
      <w:bookmarkEnd w:id="87"/>
    </w:p>
    <w:tbl>
      <w:tblPr>
        <w:tblStyle w:val="TableGrid"/>
        <w:tblW w:w="8505" w:type="dxa"/>
        <w:jc w:val="center"/>
        <w:tblLayout w:type="fixed"/>
        <w:tblLook w:val="04A0" w:firstRow="1" w:lastRow="0" w:firstColumn="1" w:lastColumn="0" w:noHBand="0" w:noVBand="1"/>
      </w:tblPr>
      <w:tblGrid>
        <w:gridCol w:w="4989"/>
        <w:gridCol w:w="3516"/>
      </w:tblGrid>
      <w:tr>
        <w:trPr>
          <w:jc w:val="center"/>
          <w:tblHeader/>
          <w:cantSplit/>
        </w:trPr>
        <w:tc>
          <w:tcPr>
            <w:tcW w:w="4989"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3516" w:type="dxa"/>
          </w:tcPr>
          <w:p>
            <w:pPr>
              <w:pStyle w:val="Normal"/>
              <w:keepNext w:val="0"/>
              <w:keepLines/>
            </w:pPr>
            <w:r>
              <w:rPr>
                <w:b/>
                <w:sz w:val="18"/>
                <w:szCs w:val="26"/>
                <w:lang w:val="en-US" w:eastAsia="en-US" w:bidi="ar-SA"/>
                <w:rFonts w:ascii="Times New Roman" w:hAnsi="Times New Roman" w:eastAsia="Times New Roman" w:cs="Times New Roman"/>
              </w:rPr>
              <w:t>Value</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Low engagement (≤ 3 cycles)</w:t>
            </w:r>
          </w:p>
        </w:tc>
        <w:tc>
          <w:tcPr>
            <w:tcW w:w="3516" w:type="dxa"/>
          </w:tcPr>
          <w:p>
            <w:pPr>
              <w:pStyle w:val="Normal"/>
            </w:pPr>
            <w:r>
              <w:rPr>
                <w:sz w:val="24"/>
                <w:szCs w:val="22"/>
                <w:lang w:val="en-US" w:eastAsia="en-US" w:bidi="ar-SA"/>
                <w:rFonts w:ascii="Times New Roman" w:hAnsi="Times New Roman" w:eastAsia="Times New Roman" w:cs="Times New Roman"/>
              </w:rPr>
              <w:t>21/30 (70%)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Sustained (≥ 4 cycles)</w:t>
            </w:r>
          </w:p>
        </w:tc>
        <w:tc>
          <w:tcPr>
            <w:tcW w:w="3516" w:type="dxa"/>
          </w:tcPr>
          <w:p>
            <w:pPr>
              <w:pStyle w:val="Normal"/>
            </w:pPr>
            <w:r>
              <w:rPr>
                <w:sz w:val="24"/>
                <w:szCs w:val="22"/>
                <w:lang w:val="en-US" w:eastAsia="en-US" w:bidi="ar-SA"/>
                <w:rFonts w:ascii="Times New Roman" w:hAnsi="Times New Roman" w:eastAsia="Times New Roman" w:cs="Times New Roman"/>
              </w:rPr>
              <w:t>9/30 (30%)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Single-session exits</w:t>
            </w:r>
          </w:p>
        </w:tc>
        <w:tc>
          <w:tcPr>
            <w:tcW w:w="3516" w:type="dxa"/>
          </w:tcPr>
          <w:p>
            <w:pPr>
              <w:pStyle w:val="Normal"/>
            </w:pPr>
            <w:r>
              <w:rPr>
                <w:sz w:val="24"/>
                <w:szCs w:val="22"/>
                <w:lang w:val="en-US" w:eastAsia="en-US" w:bidi="ar-SA"/>
                <w:rFonts w:ascii="Times New Roman" w:hAnsi="Times New Roman" w:eastAsia="Times New Roman" w:cs="Times New Roman"/>
              </w:rPr>
              <w:t>8/30 (27%)</w:t>
            </w:r>
          </w:p>
        </w:tc>
      </w:tr>
      <w:tr>
        <w:trPr>
          <w:jc w:val="center"/>
          <w:cantSplit/>
        </w:trPr>
        <w:tc>
          <w:tcPr>
            <w:tcW w:w="4989" w:type="dxa"/>
          </w:tcPr>
          <w:p>
            <w:pPr>
              <w:pStyle w:val="Normal"/>
            </w:pPr>
            <w:r>
              <w:rPr>
                <w:szCs w:val="22"/>
                <w:lang w:val="en-US" w:eastAsia="en-US" w:bidi="ar-SA"/>
                <w:rFonts w:ascii="Times New Roman" w:hAnsi="Times New Roman" w:eastAsia="Times New Roman" w:cs="Times New Roman"/>
                <w:sz w:val="24"/>
              </w:rPr>
              <w:t>Observed re-engagement after disengagement within eight weeks</w:t>
            </w:r>
          </w:p>
        </w:tc>
        <w:tc>
          <w:tcPr>
            <w:tcW w:w="3516" w:type="dxa"/>
          </w:tcPr>
          <w:p>
            <w:pPr>
              <w:pStyle w:val="Normal"/>
            </w:pPr>
            <w:r>
              <w:rPr>
                <w:szCs w:val="22"/>
                <w:lang w:val="en-US" w:eastAsia="en-US" w:bidi="ar-SA"/>
                <w:rFonts w:ascii="Times New Roman" w:hAnsi="Times New Roman" w:eastAsia="Times New Roman" w:cs="Times New Roman"/>
                <w:sz w:val="24"/>
              </w:rPr>
              <w:t>0/21 low-engagement participants (0%)</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Among the nine sustained participants, the recorded FRA index moved from 42.0 ± 8.3 at the standard-mode baseline to 48.9 ± 9.4 at final play: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Figure 5.4),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The recorded index is the instrument's composite score — the comprehensive score listed among the reportable items in §4.1A and named in §5.2A as the output of the InBody FRA software running in parallel with the game from the same footplate; the archived dataset (Appendix G, item G.2) holds the displayed index value for each assessment, not the constituent step scores from which the instrument computes it. 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in the recorded index — movement in the score's favourable direction — and no more than that: given the task-context and exposure-duration differences stated in the measurement-provenance paragraph above, an index increase is not read as demonstrated improvement in underlying balance capability. The contrary direction note in the legend accompanying the archived data file has been identified as an error and corrected in the archive documentation. A further interpretive constraint remains: single-measurement changes of this size lie within the range of test-retest variability that Kim et al. (2018) report for a multi-component FRA system assessed under that study's own composite score and protocol. Because neither the score definition nor the assessment protocol has been shown to match the index recorded here, that figure is carried as an order-of-magnitude caution rather than as a validated measurement-error threshold for this deployment; nor can it validate the comparability of the standard-mode baseline with the final value measured during game play, which rests on the same InBody instrument measuring under two task contexts, with a foot pad resting on the footplate in the second (§5.2A), and remains an assumption (§4.1A). Within-deployment index change should accordingly be read as a provisional signal rather than a demonstrated clinical effect.</w:t>
      </w:r>
    </w:p>
    <w:p>
      <w:pPr>
        <w:pStyle w:val="Normal"/>
        <w:jc w:val="both"/>
      </w:pPr>
      <w:r>
        <w:rPr>
          <w:szCs w:val="22"/>
          <w:lang w:val="en-US" w:eastAsia="en-US" w:bidi="ar-SA"/>
          <w:rFonts w:ascii="Times New Roman" w:hAnsi="Times New Roman" w:eastAsia="Times New Roman" w:cs="Times New Roman"/>
          <w:sz w:val="24"/>
        </w:rPr>
        <w:t>The therapist-reported and recorded ledgers diverge in an instructive way. Eighteen of thirty participants (60.0%, 95% CI 42.3–75.4%) were reported by therapists as showing symptom improvement after the deployment and twenty (66.7%, 95% CI 48.8–80.8%) were satisfied or very satisfied. Satisfaction was associated with sustained engagement: all nine sustained participants were satisfied, against eleven of twenty-one in the low-engagement group, an observed difference of 47.6 percentage points (Fisher's exact p = 0.013). This concurrent association does not establish whether satisfaction caused continued engagement or followed from it. Therapist-reported symptom improvement (therapist-observed, researcher-compiled; §3.4) showed the same direction, with considerable uncertainty (7 of 9 versus 11 of 21; Fisher's exact p = 0.25). The tests are exploratory and unadjusted for the multiple outcomes and subgroup comparisons reported in this chapter. Among the eight single-session participants, five recorded a positive index change yet only two were reported by therapists as showing any improvement and none returned — the separate margins underlying the recorded-score–engagement discrepancy, subject to the direction caveat above. Read jointly from the archived per-participant record (Appendix G, item G.2), three of the eight recorded a score increase and were reported as showing no symptom improvement (two of seven excluding the unverified record, S2-P015). Excluding the single unverified record does not alter any of these conclusions.</w:t>
      </w:r>
    </w:p>
    <w:p>
      <w:pPr>
        <w:jc w:val="center"/>
      </w:pPr>
      <w:bookmarkStart w:id="88" w:name="_Toc232024700"/>
      <w:bookmarkEnd w:id="88"/>
      <w:r>
        <w:rPr>
          <w:szCs w:val="22"/>
          <w:lang w:val="en-US" w:eastAsia="en-US" w:bidi="ar-SA"/>
          <w:rFonts w:ascii="Times New Roman" w:hAnsi="Times New Roman" w:eastAsia="Times New Roman" w:cs="Times New Roman"/>
          <w:sz w:val="24"/>
        </w:rPr>
        <w:t>Withdrawal note. Earlier drafts reported a week-2 motivational-orientation classification (learning-focused versus health-deficit-focused) with a large but very imprecise association with sustained engagement (odds ratio 31.5, 95% CI 2.9–339), presented in those drafts as a table numbered 5.3 (that number is now carried by the requirements mapping in §5.5A).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remains a descriptive association; it does not replace the withdrawn variable as evidence of a motivational mechanism.</w:t>
      </w:r>
    </w:p>
    <w:p w14:paraId="2E16D01A" w14:textId="77777777" w:rsidR="00EE7E37" w:rsidRDefault="00000000">
      <w:pPr>
        <w:keepNext/>
        <w:spacing w:before="120" w:after="80"/>
      </w:pPr>
      <w:r>
        <w:drawing>
          <wp:inline>
            <wp:extent cx="5486400" cy="2643745"/>
            <wp:docPr id="17" name="Picture 17" descr="Figure 5.4. Participant-level pre/post recorded FRA index (standard-mode baseline to final play; provenance in §5.5) for the Stage-2 cohort (N = 30), by engagement group."/>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5.4. Participant-level pre/post recorded FRA index (standard-mode baseline to final play; provenance in §5.5) for the Stage-2 cohort (N = 30), by engagement group. Thin lines are individual participants; the bold line is the group mean (sustained: 42.0 to 48.9; low engagement: 44.7 to 47.5). Generated from the archived dataset (Appendix G, item G.2); all thirty records are plotted, including the one record that failed verification (S2-P015), retained under the sensitivity note in §5.5. Higher index values indicate better performance (InBody Co., Ltd., 2022).</w:t>
      </w:r>
    </w:p>
    <w:p>
      <w:pPr>
        <w:pStyle w:val="Normal"/>
        <w:keepNext/>
        <w:spacing w:before="160" w:after="40"/>
        <w:jc w:val="center"/>
      </w:pPr>
      <w:r>
        <w:rPr>
          <w:noProof/>
        </w:rPr>
        <w:lastRenderedPageBreak/>
        <w:drawing>
          <wp:inline distT="0" distB="0" distL="0" distR="0" wp14:anchorId="37DD1E16" wp14:editId="7F424516">
            <wp:extent cx="4503193" cy="2799602"/>
            <wp:effectExtent l="0" t="0" r="0" b="0"/>
            <wp:docPr id="8" name="Picture 8" descr="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
            <wp:cNvGraphicFramePr>
              <a:graphicFrameLocks noChangeAspect="1"/>
            </wp:cNvGraphicFramePr>
            <a:graphic>
              <a:graphicData uri="http://schemas.openxmlformats.org/drawingml/2006/picture">
                <pic:pic>
                  <pic:nvPicPr>
                    <pic:cNvPr id="0" name="fig_5_5.png"/>
                    <pic:cNvPicPr/>
                  </pic:nvPicPr>
                  <pic:blipFill rotWithShape="1">
                    <a:blip r:embed="rId15"/>
                    <a:srcRect l="4841" r="7371" b="14629"/>
                    <a:stretch>
                      <a:fillRect/>
                    </a:stretch>
                  </pic:blipFill>
                  <pic:spPr bwMode="auto">
                    <a:xfrm>
                      <a:off x="0" y="0"/>
                      <a:ext cx="4530972" cy="2816872"/>
                    </a:xfrm>
                    <a:prstGeom prst="rect">
                      <a:avLst/>
                    </a:prstGeom>
                    <a:ln>
                      <a:noFill/>
                    </a:ln>
                    <a:extLst>
                      <a:ext uri="{53640926-AAD7-44D8-BBD7-CCE9431645EC}">
                        <ns8:shadowObscured/>
                      </a:ext>
                    </a:extLs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w:t>
      </w:r>
    </w:p>
    <w:p>
      <w:pPr>
        <w:pStyle w:val="Heading2"/>
      </w:pPr>
      <w:r>
        <w:rPr>
          <w:lang w:val="en-US" w:eastAsia="en-US" w:bidi="ar-SA"/>
          <w:color w:val="000000"/>
          <w:szCs w:val="22"/>
        </w:rPr>
        <w:t>5.5A Translating the Findings into Design Priorities: Qualitative Requirements Mapping</w:t>
      </w:r>
    </w:p>
    <w:p>
      <w:pPr>
        <w:pStyle w:val="Normal"/>
        <w:jc w:val="both"/>
      </w:pPr>
      <w:r>
        <w:rPr>
          <w:szCs w:val="22"/>
          <w:lang w:val="en-US" w:eastAsia="en-US" w:bidi="ar-SA"/>
          <w:rFonts w:ascii="Times New Roman" w:hAnsi="Times New Roman" w:eastAsia="Times New Roman" w:cs="Times New Roman"/>
          <w:sz w:val="24"/>
        </w:rPr>
        <w:t>The statistical analysis describes observed engagement and score changes; it does not determine which design feature will improve subsequent outcomes. Quality Function Deployment (QFD; Akao, 1990; Chan &amp; Wu, 2002) informs the qualitative requirements mapping used here. Findings are translated into candidate user needs and related to technical features through explicit design reasoning. The present mapping is not a completed quantitative House of Quality and does not estimate feature effectiveness. Its purpose is to make the proposed transition from observed difficulty to a revised intervention reviewable and testable.</w:t>
      </w:r>
    </w:p>
    <w:p>
      <w:pPr>
        <w:pStyle w:val="Normal"/>
        <w:jc w:val="both"/>
      </w:pPr>
      <w:r>
        <w:rPr>
          <w:szCs w:val="22"/>
          <w:lang w:val="en-US" w:eastAsia="en-US" w:bidi="ar-SA"/>
          <w:rFonts w:ascii="Times New Roman" w:hAnsi="Times New Roman" w:eastAsia="Times New Roman" w:cs="Times New Roman"/>
          <w:sz w:val="24"/>
        </w:rPr>
        <w:t>Table 5.3 presents the deployment matrix. The rows are candidate user needs interpreted from the Stage-1 survey, Stage-2 behavioural records and Stage-2 self-reports, each linked to its motivating finding and a relevant TAM, STAM or Octalysis construct. The columns are the game's technical characteristics: the adaptive difficulty layer (§5.3.5), the loss-free dynamic game states (§5.3.10), the proposed trajectory display (§5.3.10) and the coaching protocol (§7.5). The coin-reward loop enters the matrix as evidence under the reward-for-effort need rather than as a separate column. A strong relationship (●) records an intended direct contribution to the need; a moderate relationship (◐) records an intended partial or indirect contribution; a blank cell indicates no designed relationship. These symbols express the design rationale, not measured causal effects.</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keepLines/>
        <w:jc w:val="center"/>
      </w:pPr>
      <w:r>
        <w:rPr>
          <w:sz w:val="24"/>
          <w:szCs w:val="22"/>
          <w:lang w:val="en-US" w:eastAsia="en-US" w:bidi="ar-SA"/>
          <w:rFonts w:ascii="Times New Roman" w:hAnsi="Times New Roman" w:eastAsia="Times New Roman" w:cs="Times New Roman"/>
          <w:i/>
          <w:b/>
        </w:rPr>
        <w:t>Table 5.3. Qualitative requirements mapping (QFD-style): user needs evidenced by the Stage-1 and Stage-2 data (the Stage-1 figure is an aggregate record whose per-respondent file is not archived, Table 4.1 and Appendix G item G.1), mapped onto the game's technical characteristics. ● strong designed relationship; ◐ moderate or indirect relationship.</w:t>
      </w:r>
    </w:p>
    <w:tbl>
      <w:tblPr>
        <w:tblStyle w:val="TableGrid"/>
        <w:tblW w:type="dxa" w:w="13437"/>
        <w:tblLayout w:type="fixed"/>
        <w:tblLook w:firstColumn="1" w:firstRow="1" w:lastColumn="0" w:lastRow="0" w:noHBand="0" w:noVBand="1" w:val="04A0"/>
      </w:tblPr>
      <w:tblGrid>
        <w:gridCol w:w="2842"/>
        <w:gridCol w:w="4208"/>
        <w:gridCol w:w="2374"/>
        <w:gridCol w:w="1002"/>
        <w:gridCol w:w="1002"/>
        <w:gridCol w:w="1002"/>
        <w:gridCol w:w="1007"/>
      </w:tblGrid>
      <w:tr>
        <w:trPr>
          <w:tblHeader/>
          <w:cantSplit/>
        </w:trPr>
        <w:tc>
          <w:tcPr>
            <w:tcW w:type="dxa" w:w="2842"/>
          </w:tcPr>
          <w:p>
            <w:pPr>
              <w:pStyle w:val="Normal"/>
              <w:keepNext w:val="0"/>
              <w:keepLines/>
            </w:pPr>
            <w:r>
              <w:rPr>
                <w:b/>
                <w:sz w:val="18"/>
                <w:szCs w:val="26"/>
                <w:lang w:val="en-US" w:eastAsia="en-US" w:bidi="ar-SA"/>
                <w:rFonts w:ascii="Times New Roman" w:hAnsi="Times New Roman" w:eastAsia="Times New Roman" w:cs="Times New Roman"/>
              </w:rPr>
              <w:t>User need (voice of the user)</w:t>
            </w:r>
          </w:p>
        </w:tc>
        <w:tc>
          <w:tcPr>
            <w:tcW w:type="dxa" w:w="4208"/>
          </w:tcPr>
          <w:p>
            <w:pPr>
              <w:pStyle w:val="Normal"/>
              <w:keepNext w:val="0"/>
              <w:keepLines/>
            </w:pPr>
            <w:r>
              <w:rPr>
                <w:b/>
                <w:sz w:val="18"/>
                <w:szCs w:val="26"/>
                <w:lang w:val="en-US" w:eastAsia="en-US" w:bidi="ar-SA"/>
                <w:rFonts w:ascii="Times New Roman" w:hAnsi="Times New Roman" w:eastAsia="Times New Roman" w:cs="Times New Roman"/>
              </w:rPr>
              <w:t>Evidence from the data</w:t>
            </w:r>
          </w:p>
        </w:tc>
        <w:tc>
          <w:tcPr>
            <w:tcW w:type="dxa" w:w="2374"/>
          </w:tcPr>
          <w:p>
            <w:pPr>
              <w:pStyle w:val="Normal"/>
              <w:keepNext w:val="0"/>
              <w:keepLines/>
            </w:pPr>
            <w:r>
              <w:rPr>
                <w:b/>
                <w:sz w:val="18"/>
                <w:szCs w:val="26"/>
                <w:lang w:val="en-US" w:eastAsia="en-US" w:bidi="ar-SA"/>
                <w:rFonts w:ascii="Times New Roman" w:hAnsi="Times New Roman" w:eastAsia="Times New Roman" w:cs="Times New Roman"/>
              </w:rPr>
              <w:t>Construct</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Adaptive difficulty (§5.3.5)</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Loss-free states (§5.3.10)</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Trajectory display (§5.3.10)</w:t>
            </w:r>
          </w:p>
        </w:tc>
        <w:tc>
          <w:tcPr>
            <w:tcW w:type="dxa" w:w="1007"/>
          </w:tcPr>
          <w:p>
            <w:pPr>
              <w:pStyle w:val="Normal"/>
              <w:keepNext w:val="0"/>
              <w:keepLines/>
            </w:pPr>
            <w:r>
              <w:rPr>
                <w:b/>
                <w:sz w:val="18"/>
                <w:szCs w:val="26"/>
                <w:lang w:val="en-US" w:eastAsia="en-US" w:bidi="ar-SA"/>
                <w:rFonts w:ascii="Times New Roman" w:hAnsi="Times New Roman" w:eastAsia="Times New Roman" w:cs="Times New Roman"/>
              </w:rPr>
              <w:t>Coaching (§7.5)</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Challenge that matches my ability</w:t>
            </w:r>
          </w:p>
        </w:tc>
        <w:tc>
          <w:tcPr>
            <w:tcW w:type="dxa" w:w="4208"/>
          </w:tcPr>
          <w:p>
            <w:pPr>
              <w:pStyle w:val="Normal"/>
            </w:pPr>
            <w:r>
              <w:rPr>
                <w:sz w:val="20"/>
                <w:szCs w:val="22"/>
                <w:lang w:val="en-US" w:eastAsia="en-US" w:bidi="ar-SA"/>
                <w:rFonts w:ascii="Times New Roman" w:hAnsi="Times New Roman" w:eastAsia="Times New Roman" w:cs="Times New Roman"/>
              </w:rPr>
              <w:t>70.0% disengaged at ≤3 cycles; satisfaction 9/9 among sustained vs 11/21 (p = .013)</w:t>
            </w:r>
          </w:p>
        </w:tc>
        <w:tc>
          <w:tcPr>
            <w:tcW w:type="dxa" w:w="2374"/>
          </w:tcPr>
          <w:p>
            <w:pPr>
              <w:pStyle w:val="Normal"/>
            </w:pPr>
            <w:r>
              <w:rPr>
                <w:sz w:val="20"/>
                <w:szCs w:val="22"/>
                <w:lang w:val="en-US" w:eastAsia="en-US" w:bidi="ar-SA"/>
                <w:rFonts w:ascii="Times New Roman" w:hAnsi="Times New Roman" w:eastAsia="Times New Roman" w:cs="Times New Roman"/>
              </w:rPr>
              <w:t>Flow / PEOU (TAM)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Failure must not feel like a verdict about me</w:t>
            </w:r>
          </w:p>
        </w:tc>
        <w:tc>
          <w:tcPr>
            <w:tcW w:type="dxa" w:w="4208"/>
          </w:tcPr>
          <w:p>
            <w:pPr>
              <w:pStyle w:val="Normal"/>
            </w:pPr>
            <w:r>
              <w:rPr>
                <w:sz w:val="20"/>
                <w:szCs w:val="22"/>
                <w:lang w:val="en-US" w:eastAsia="en-US" w:bidi="ar-SA"/>
                <w:rFonts w:ascii="Times New Roman" w:hAnsi="Times New Roman" w:eastAsia="Times New Roman" w:cs="Times New Roman"/>
              </w:rPr>
              <w:t>0/21 re-engagement after disengagement; Stage-1: ~74% adverse first experience among prior users (aggregate record, Table 4.1; per-respondent file not archived, Appendix G item G.1)</w:t>
            </w:r>
          </w:p>
        </w:tc>
        <w:tc>
          <w:tcPr>
            <w:tcW w:type="dxa" w:w="2374"/>
          </w:tcPr>
          <w:p>
            <w:pPr>
              <w:pStyle w:val="Normal"/>
            </w:pPr>
            <w:r>
              <w:rPr>
                <w:sz w:val="20"/>
                <w:szCs w:val="22"/>
                <w:lang w:val="en-US" w:eastAsia="en-US" w:bidi="ar-SA"/>
                <w:rFonts w:ascii="Times New Roman" w:hAnsi="Times New Roman" w:eastAsia="Times New Roman" w:cs="Times New Roman"/>
              </w:rPr>
              <w:t>Loss aversion / D8 (Octalysis)</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Visible personal progress</w:t>
            </w:r>
          </w:p>
        </w:tc>
        <w:tc>
          <w:tcPr>
            <w:tcW w:type="dxa" w:w="4208"/>
          </w:tcPr>
          <w:p>
            <w:pPr>
              <w:pStyle w:val="Normal"/>
            </w:pPr>
            <w:r>
              <w:rPr>
                <w:sz w:val="20"/>
                <w:szCs w:val="22"/>
                <w:lang w:val="en-US" w:eastAsia="en-US" w:bidi="ar-SA"/>
                <w:rFonts w:ascii="Times New Roman" w:hAnsi="Times New Roman" w:eastAsia="Times New Roman" w:cs="Times New Roman"/>
              </w:rPr>
              <w:t>Recorded index and therapist-reported symptom change diverge (5/8 single-session positive change, 2/8 therapist-reported improvement; one of the eight records unverified, §5.5)</w:t>
            </w:r>
          </w:p>
        </w:tc>
        <w:tc>
          <w:tcPr>
            <w:tcW w:type="dxa" w:w="2374"/>
          </w:tcPr>
          <w:p>
            <w:pPr>
              <w:pStyle w:val="Normal"/>
            </w:pPr>
            <w:r>
              <w:rPr>
                <w:sz w:val="20"/>
                <w:szCs w:val="22"/>
                <w:lang w:val="en-US" w:eastAsia="en-US" w:bidi="ar-SA"/>
                <w:rFonts w:ascii="Times New Roman" w:hAnsi="Times New Roman" w:eastAsia="Times New Roman" w:cs="Times New Roman"/>
              </w:rPr>
              <w:t>Competence (SDT) / D2</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Understandable, non-clinical feedback</w:t>
            </w:r>
          </w:p>
        </w:tc>
        <w:tc>
          <w:tcPr>
            <w:tcW w:type="dxa" w:w="4208"/>
          </w:tcPr>
          <w:p>
            <w:pPr>
              <w:pStyle w:val="Normal"/>
            </w:pPr>
            <w:r>
              <w:rPr>
                <w:sz w:val="20"/>
                <w:szCs w:val="22"/>
                <w:lang w:val="en-US" w:eastAsia="en-US" w:bidi="ar-SA"/>
                <w:rFonts w:ascii="Times New Roman" w:hAnsi="Times New Roman" w:eastAsia="Times New Roman" w:cs="Times New Roman"/>
              </w:rPr>
              <w:t>60.0% therapist-reported improvement; satisfaction associated with staying</w:t>
            </w:r>
          </w:p>
        </w:tc>
        <w:tc>
          <w:tcPr>
            <w:tcW w:type="dxa" w:w="2374"/>
          </w:tcPr>
          <w:p>
            <w:pPr>
              <w:pStyle w:val="Normal"/>
            </w:pPr>
            <w:r>
              <w:rPr>
                <w:sz w:val="20"/>
                <w:szCs w:val="22"/>
                <w:lang w:val="en-US" w:eastAsia="en-US" w:bidi="ar-SA"/>
                <w:rFonts w:ascii="Times New Roman" w:hAnsi="Times New Roman" w:eastAsia="Times New Roman" w:cs="Times New Roman"/>
              </w:rPr>
              <w:t>Gerontechnology anxiety (STAM)</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Reward for effort, not only outcome</w:t>
            </w:r>
          </w:p>
        </w:tc>
        <w:tc>
          <w:tcPr>
            <w:tcW w:type="dxa" w:w="4208"/>
          </w:tcPr>
          <w:p>
            <w:pPr>
              <w:pStyle w:val="Normal"/>
            </w:pPr>
            <w:r>
              <w:rPr>
                <w:sz w:val="20"/>
                <w:szCs w:val="22"/>
                <w:lang w:val="en-US" w:eastAsia="en-US" w:bidi="ar-SA"/>
                <w:rFonts w:ascii="Times New Roman" w:hAnsi="Times New Roman" w:eastAsia="Times New Roman" w:cs="Times New Roman"/>
              </w:rPr>
              <w:t>Coin loop present for all players; 9/30 completed ≥4 cycles (co-occurrence, not an attributed effect of coins)</w:t>
            </w:r>
          </w:p>
        </w:tc>
        <w:tc>
          <w:tcPr>
            <w:tcW w:type="dxa" w:w="2374"/>
          </w:tcPr>
          <w:p>
            <w:pPr>
              <w:pStyle w:val="Normal"/>
            </w:pPr>
            <w:r>
              <w:rPr>
                <w:sz w:val="20"/>
                <w:szCs w:val="22"/>
                <w:lang w:val="en-US" w:eastAsia="en-US" w:bidi="ar-SA"/>
                <w:rFonts w:ascii="Times New Roman" w:hAnsi="Times New Roman" w:eastAsia="Times New Roman" w:cs="Times New Roman"/>
              </w:rPr>
              <w:t>Learn-to-earn / D4</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A reason to come back</w:t>
            </w:r>
          </w:p>
        </w:tc>
        <w:tc>
          <w:tcPr>
            <w:tcW w:type="dxa" w:w="4208"/>
          </w:tcPr>
          <w:p>
            <w:pPr>
              <w:pStyle w:val="Normal"/>
            </w:pPr>
            <w:r>
              <w:rPr>
                <w:sz w:val="20"/>
                <w:szCs w:val="22"/>
                <w:lang w:val="en-US" w:eastAsia="en-US" w:bidi="ar-SA"/>
                <w:rFonts w:ascii="Times New Roman" w:hAnsi="Times New Roman" w:eastAsia="Times New Roman" w:cs="Times New Roman"/>
              </w:rPr>
              <w:t>No observed return in Stage 2 (0/21); the cross-stage return contrast is reported in Chapter 6</w:t>
            </w:r>
          </w:p>
        </w:tc>
        <w:tc>
          <w:tcPr>
            <w:tcW w:type="dxa" w:w="2374"/>
          </w:tcPr>
          <w:p>
            <w:pPr>
              <w:pStyle w:val="Normal"/>
            </w:pPr>
            <w:r>
              <w:rPr>
                <w:sz w:val="20"/>
                <w:szCs w:val="22"/>
                <w:lang w:val="en-US" w:eastAsia="en-US" w:bidi="ar-SA"/>
                <w:rFonts w:ascii="Times New Roman" w:hAnsi="Times New Roman" w:eastAsia="Times New Roman" w:cs="Times New Roman"/>
              </w:rPr>
              <w:t>Behavioural intention (TAM/STAM)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Normal"/>
        <w:jc w:val="both"/>
      </w:pPr>
      <w:r>
        <w:rPr>
          <w:szCs w:val="22"/>
          <w:lang w:val="en-US" w:eastAsia="en-US" w:bidi="ar-SA"/>
          <w:rFonts w:ascii="Times New Roman" w:hAnsi="Times New Roman" w:eastAsia="Times New Roman" w:cs="Times New Roman"/>
          <w:sz w:val="24"/>
        </w:rPr>
        <w:t>Read column-wise, the mapping proposes candidate responses to the observed difficulties. Difficulty adjustment addresses the hypothesis that challenge and capability were poorly aligned; non-terminal states and coaching address the possible significance of verdict-like feedback; and the trajectory display addresses the question of whether users can recognise meaningful progress. None of these needs is uniquely identified by the engagement results. A trajectory display also creates a measurement obligation: it must distinguish improvement at comparable demand from improved performance produced by easier tasks or greater assistance (§7.4). Read row-wise, the mapping offers more than one potential response, allowing subsequent evaluation to compare alternatives. Each relationship should therefore become a prospective question about feasibility, user experience and outcomes, with the limitations in §5.9 and §8.6 bounding the present claims.</w:t>
      </w:r>
    </w:p>
    <w:p>
      <w:pPr>
        <w:pStyle w:val="Normal"/>
        <w:jc w:val="both"/>
      </w:pPr>
      <w:r>
        <w:rPr>
          <w:szCs w:val="22"/>
          <w:lang w:val="en-US" w:eastAsia="en-US" w:bidi="ar-SA"/>
          <w:rFonts w:ascii="Times New Roman" w:hAnsi="Times New Roman" w:eastAsia="Times New Roman" w:cs="Times New Roman"/>
          <w:sz w:val="24"/>
        </w:rPr>
        <w:t>A note on what became of this mapping closes the section. The Stage-3B component study specified after Stage 3A crossed an adaptive-support arm (rule-agent difficulty adjustment with coaching enabled) against a static arm (fixed pace, coaching suppressed), and a zero-failure failure mode against a game-over mode. Its record to the 30 September 2026 cut-off — builds, returns and the reasons the study is no longer used as a test of the adaptive-learning proposal — is compiled in Appendix I; it contains one verified pre-freeze return and the clean-run returns listed there, from which no comparison is computed, so no confirmatory analysis is reported and every designed relationship in Table 5.3 remains a prospective question rather than a tested relationship.</w:t>
      </w:r>
    </w:p>
    <w:p>
      <w:pPr>
        <w:pStyle w:val="Heading2"/>
      </w:pPr>
      <w:r>
        <w:rPr>
          <w:lang w:val="en-US" w:eastAsia="en-US" w:bidi="ar-SA"/>
          <w:color w:val="000000"/>
          <w:szCs w:val="22"/>
        </w:rPr>
        <w:t>5.6 The F4 Cluster and the Recorded-Score–Engagement Discrepancy</w:t>
      </w:r>
    </w:p>
    <w:p>
      <w:pPr>
        <w:jc w:val="both"/>
      </w:pPr>
      <w:r>
        <w:t>A recorded observation sequence from the deployment gives the discrepancy its field texture, and it is the recorded sequence from which the FIAS construct was subsequently built; its reading as a cause-and-consequence chain is an interpretation of that record, not an observed causal structure. The researcher's field notes record, in this order: several players acknowledged the benefits of the FRA and recorded positive index gains through game play; across their second and third cycles the same players encountered recurring in-game failure events - obstacle hits, falls, low-scoring runs - and gave up despite the recorded gains; and as dropouts accumulated, remaining players saw that many of their peers had stopped attending, with further abandonment following that visible thinning of the group — an observed co-occurrence that the researcher interpreted at the time as contributory. Provenance is stated plainly: this is the researcher's field-note record, retrieved from the archive in September 2026 during verification of the record; it is a recorded qualitative sequence, not an instrumented measure, and no per-participant counts attach to it. Three readings follow, each taken up elsewhere. Read as failure events outweighing recorded gains in the participants' own weighing, the sequence would carry the loss-aversion signature the FIAS account formalises (§5.7) — an interpretation of the recorded behaviour, since no participant's weighing of gains against failures was elicited or measured. Under the coupled deployment each in-game failure carried the assessment frame's verdict meaning (§5.2A) - the attachment Stage 3 examines by removing it. And the visible-dropout observation is a within-deployment social channel, taken up with the group-narrative account in §8.6B and the panel's group-dynamics interpretation in §6.8A.</w:t>
      </w:r>
    </w:p>
    <w:p>
      <w:pPr>
        <w:jc w:val="both"/>
      </w:pPr>
      <w:r>
        <w:t>The sustained participants' interview record, entered in the author's entry-and-results sheet and archived with the raw data (Appendix C), adds documented texture on the persistence side of the same discrepancy. All nine would play the game again and all nine were willing to continue using the FRA; enjoyment and perceived usefulness were rated high (means 4.3 and 4.7 of 5) with low discouragement (mean 1.9), and self-rated steering and recovery confidence averaged 7.4 and 7.7 of 10 - measures that exist only for the nine and cannot speak to the dropouts' self-appraisals. Two of the nine spontaneously puzzled over the non-participants ('don't know why others don't try') - a perception held by persistent players, not evidence of the non-participants' motives, and the sustained side of the visible-participation channel taken up in §8.6B. Four of the nine criticised the game's visuals as weak or childish even while rating the experience highly - an echo of the infantilisation risk raised in the expert consultations, and a point that strengthens the implementation-quality alternative (§8.5.7), since the persistent participants themselves identified a presentation weakness; and one record contains an internal contradiction (usefulness disclaimed in one item, endorsed in another), retained as recorded: the record does not resolve whether it reflects item ambiguity, inconsistent responding or the therapist's rendering, so the usefulness mean is read with that uncertainty. The administered wording and scale anchors of the nine items are documented from the entry workbook's question guide, and one completed form (participant S2-P024) has been sighted and matches the entry record and the documented wording; archival copies of the completed forms are not filed with this thesis (Appendix C).</w:t>
      </w:r>
    </w:p>
    <w:p>
      <w:pPr>
        <w:pStyle w:val="Normal"/>
        <w:jc w:val="both"/>
      </w:pPr>
      <w:r>
        <w:rPr>
          <w:i w:val="0"/>
          <w:szCs w:val="22"/>
          <w:lang w:val="en-US" w:eastAsia="en-US" w:bidi="ar-SA"/>
          <w:rFonts w:ascii="Times New Roman" w:hAnsi="Times New Roman" w:eastAsia="Times New Roman" w:cs="Times New Roman"/>
          <w:sz w:val="24"/>
        </w:rPr>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not reproduced in this thesis: Appendix B states the scheme's structure only, and the item-level codebook, weights and thresholds are a deliverable of the proposed confirmatory study (§8.8). A structural caution applies before any use is made of the distribution: several of the thirteen attributes record engagement and exit behaviour, so a participant who abandoned early necessarily scores high — the clustering of the F4 participants at the top of the scale is therefore partly true by construction, and the composite carries no evidential weight in this thesis. It is retained only as a descriptive case-identification device for referring to the F4 cluster (its distribution is shown in Appendix B, Figure B.1); every evidential statement in this section rests on the directly observed behaviours — single-session exit, non-return during the observation window, and the divergence between recorded score direction and return. Six participants clustered at scores 9-10 (F4): S2-P006, S2-P007, S2-P011, S2-P015, S2-P026 and S2-P028 (author's identification, 30 September 2026; each played a single session). Three of the six (S2-P006, S2-P007 and S2-P015) recorded positive change in the FRA index during their single session and did not return during the observation period; S2-P015 is the record that failed verification (§5.5). These three are not the three single-session participants counted in §5.5 as recording a score increase while being reported as showing no symptom improvement: S2-P006 and S2-P007 are the two single-session participants whom therapists reported as showing improvement, so only S2-P015 falls in both counts, and the other two participants in the §5.5 count are the two single-session participants outside the F4 cluster (Appendix G, item G.2). This recorded-score–engagement discrepancy is an engineering problem: positive recorded change did not coincide with continued use in these cases. It does not uniquely distinguish FIAS from acceptance or continuance explanations. A user may improve at an activity while still finding it uninteresting, burdensome, insufficiently relevant or associated with unwelcome consequences. Identity-relevant endowment, as proposed in Table 2.1, is one possible explanation among these alternatives. The observation shows a divergence between recorded score direction and return behaviour; it does not by itself establish clinical benefit, mental-account closure or identity protection. The F4 cluster is a subset of the eight single-session exits reported in §5.5; the remaining two single-session participants also recorded a positive change, so across all single-session exits the divergence held in five of eight cases, and none of the eight returned.</w:t>
      </w:r>
    </w:p>
    <w:p>
      <w:pPr>
        <w:pStyle w:val="Normal"/>
        <w:jc w:val="both"/>
      </w:pPr>
      <w:r>
        <w:rPr>
          <w:szCs w:val="22"/>
          <w:lang w:val="en-US" w:eastAsia="en-US" w:bidi="ar-SA"/>
          <w:rFonts w:ascii="Times New Roman" w:hAnsi="Times New Roman" w:eastAsia="Times New Roman" w:cs="Times New Roman"/>
          <w:sz w:val="24"/>
        </w:rPr>
        <w:t>The empty interval between scores 5 and 9 in Figure B.1 is not read as evidence of a behavioural discontinuity. Given the construction above, it may be a mechanical effect of the scoring thresholds and the outcome-linked items (criterion contamination), or sampling variation in a cohort of thirty. The item-level codebook — all items, weights, decision rules and missing-data handling, with cycle count and non-return excluded from any predictor score that would then be claimed to predict the same outcome — is specified as a deliverable of the proposed confirmatory study (§8.8); pending it, the composite serves only as the descriptive case-identification device described above and carries no evidential weight. The F4 cluster rests on six participants, so every mechanism claim based on it is provisional until two independent coders apply a fixed rubric with reported agreement and the construct is evaluated in an external sample. A nine-question F4 interview protocol was designed (Appendix C) but not administered in Stage 2; no F4 interview data exist, and the protocol is retained for the proposed confirmatory programme (§8.8). The Stage-2 qualitative record instead comprises the after-game questionnaire completed by all participants and post-deployment interviews with the sustained participants (Appendix C).</w:t>
      </w:r>
    </w:p>
    <w:p>
      <w:pPr>
        <w:pStyle w:val="Heading2"/>
      </w:pPr>
      <w:bookmarkStart w:id="90" w:name="_Toc232024581"/>
      <w:r>
        <w:rPr>
          <w:lang w:val="en-US" w:eastAsia="en-US" w:bidi="ar-SA"/>
          <w:color w:val="000000"/>
          <w:szCs w:val="22"/>
        </w:rPr>
        <w:t>5.7 Theoretical Extension: Endowment, Stereotype Threat, Domain Reframing</w:t>
      </w:r>
      <w:bookmarkEnd w:id="90"/>
    </w:p>
    <w:p>
      <w:pPr>
        <w:pStyle w:val="Normal"/>
        <w:jc w:val="both"/>
      </w:pPr>
      <w:r>
        <w:rPr>
          <w:szCs w:val="22"/>
          <w:lang w:val="en-US" w:eastAsia="en-US" w:bidi="ar-SA"/>
          <w:rFonts w:ascii="Times New Roman" w:hAnsi="Times New Roman" w:eastAsia="Times New Roman" w:cs="Times New Roman"/>
          <w:sz w:val="24"/>
        </w:rPr>
        <w:t>Stage 2 extended the FIAS hypothesis with three candidate theoretical components, each of which occupies a row of Table 2.1. First, identity-relevant endowment (row two) conceptualises resistance to unfavourable revaluation of a valued health self-concept — the discrepancy in §5.6 is compatible with this account but is not a distinctive diagnostic signature.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 Figure 5.6 sets out the observed non-return alongside these candidate explanatory pathways, all of which remain hypotheses.</w:t>
      </w:r>
    </w:p>
    <w:p>
      <w:pPr>
        <w:pStyle w:val="Normal"/>
        <w:keepNext/>
        <w:spacing w:before="160" w:after="40"/>
        <w:jc w:val="center"/>
      </w:pPr>
      <w:r>
        <w:drawing>
          <wp:inline>
            <wp:extent cx="5358384" cy="3302502"/>
            <wp:docPr id="36" name="Picture 36" descr="Figure 5.6. Observed non-return and candidate explanatory pathways."/>
            <wp:cNvGraphicFramePr>
              <a:graphicFrameLocks noChangeAspect="1"/>
            </wp:cNvGraphicFramePr>
            <a:graphic>
              <a:graphicData uri="http://schemas.openxmlformats.org/drawingml/2006/picture">
                <pic:pic>
                  <pic:nvPicPr>
                    <pic:cNvPr id="0" name="figure_P0585.png"/>
                    <pic:cNvPicPr/>
                  </pic:nvPicPr>
                  <pic:blipFill>
                    <a:blip r:embed="rId45"/>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5.6. Observed non-return and candidate explanatory pathways. Identity-related appraisal, information avoidance and practical burdens remain hypotheses; none was measured as a causal mechanism. The proposed responses require prospective comparison.</w:t>
      </w:r>
    </w:p>
    <w:p>
      <w:pPr>
        <w:pStyle w:val="Heading2"/>
      </w:pPr>
      <w:bookmarkStart w:id="91" w:name="_Toc232024582"/>
      <w:r>
        <w:rPr>
          <w:lang w:val="en-US" w:eastAsia="en-US" w:bidi="ar-SA"/>
          <w:color w:val="000000"/>
          <w:szCs w:val="22"/>
        </w:rPr>
        <w:t>5.8 Information-Entropy Lens</w:t>
      </w:r>
      <w:bookmarkEnd w:id="91"/>
    </w:p>
    <w:p>
      <w:pPr>
        <w:pStyle w:val="Normal"/>
        <w:jc w:val="both"/>
      </w:pPr>
      <w:r>
        <w:rPr>
          <w:szCs w:val="22"/>
          <w:lang w:val="en-US" w:eastAsia="en-US" w:bidi="ar-SA"/>
          <w:rFonts w:ascii="Times New Roman" w:hAnsi="Times New Roman" w:eastAsia="Times New Roman" w:cs="Times New Roman"/>
          <w:sz w:val="24"/>
        </w:rP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pPr>
        <w:pStyle w:val="Heading2"/>
      </w:pPr>
      <w:bookmarkStart w:id="92" w:name="_Toc232024583"/>
      <w:r>
        <w:rPr>
          <w:lang w:val="en-US" w:eastAsia="en-US" w:bidi="ar-SA"/>
          <w:color w:val="000000"/>
          <w:szCs w:val="22"/>
        </w:rPr>
        <w:t>5.9 Limitations and What Stage 2 Establishes</w:t>
      </w:r>
      <w:bookmarkEnd w:id="92"/>
    </w:p>
    <w:p>
      <w:pPr>
        <w:pStyle w:val="Normal"/>
        <w:jc w:val="both"/>
      </w:pPr>
      <w:r>
        <w:rPr>
          <w:i w:val="0"/>
          <w:szCs w:val="22"/>
          <w:lang w:val="en-US" w:eastAsia="en-US" w:bidi="ar-SA"/>
          <w:rFonts w:ascii="Times New Roman" w:hAnsi="Times New Roman" w:eastAsia="Times New Roman" w:cs="Times New Roman"/>
          <w:sz w:val="24"/>
        </w:rPr>
        <w:t>Stage 2 is an exploratory field study, and its boundaries are part of its design rather than flaws discovered afterwards. The sample is small, single-site and not demographically diverse, which is what allowed an embedded researcher to watch every participant's journey closely; the observation window is eight weeks, long enough to see the abandonment pattern form but too short for claims about sustained use beyond it. The archive holds cycle counts and pre/post scores rather than timestamps, so the temporal structure of disengagement could not be analysed and remains a question for the instrumented next study. The recorded index derives from a baseline value and from each participant's final play (§5.5), on a single instrument whose short-interval test-retest variability is expected to be non-trivial, judging from the nearest available reliability study — a related multi-component FRA system assessed under its own score and protocol (Kim et al., 2018), so within-deployment change is read as a promising signal to be confirmed. Self-reports were gathered by facility staff, whose familiarity put participants at ease but may also have inclined answers toward courtesy, particularly since participants knew the deployment was a facility initiative — both effects are acknowledged. The week-2 motivational-orientation classification was withdrawn when its coding records could not be produced (§5.5); the provisional FIAS composite reuses cycle-count information and awaits its independent codebook; FES-I was not available as a baseline covariate and is specified as a baseline covariate in the proposed quantitative comparison (§6.10, Table 6.4); the embedded investigator was not complemented by an independent observer; and the clinical meaning of short-term index change is a question this thesis deliberately leaves to clinical colleagues. The cohort is additionally self-selected: thirty of the 200 invited Stage-1 respondents joined (§5.4), so the sample over-represents residents already willing to approach the station - the observed refusal of the remaining 170 sits outside the analysed data, while the early drop-off reported in §5.5 occurred within this already-willing minority.</w:t>
      </w:r>
    </w:p>
    <w:p>
      <w:pPr>
        <w:pStyle w:val="Normal"/>
        <w:jc w:val="both"/>
      </w:pPr>
      <w:r>
        <w:rPr>
          <w:szCs w:val="22"/>
          <w:lang w:val="en-US" w:eastAsia="en-US" w:bidi="ar-SA"/>
          <w:rFonts w:ascii="Times New Roman" w:hAnsi="Times New Roman" w:eastAsia="Times New Roman" w:cs="Times New Roman"/>
          <w:sz w:val="24"/>
        </w:rPr>
        <w:t>What Stage 2 establishes is narrower and stronger: within the eight-week deployment, early disengagement was common (exits clustered at or before three cycles; the archive preserves cycle counts, not timestamps, so no time-to-event claim is made);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did not support the original design expectation labelled H0 (§2.3.5). Designing the intervention around acceptance and gamification principles was insufficient to secure the anticipated engagement in this deployment. That finding motivates refinement of the intervention and its explanatory assumptions; it does not reject the acceptance and gamification literatures or establish that adaptive learning is the only effective response.</w:t>
      </w:r>
    </w:p>
    <w:p>
      <w:pPr>
        <w:pStyle w:val="Normal"/>
        <w:spacing w:after="200" w:line="276" w:lineRule="auto"/>
        <w:rPr>
          <w:rFonts w:asciiTheme="majorHAnsi" w:eastAsiaTheme="majorEastAsia" w:hAnsiTheme="majorHAnsi" w:cstheme="majorBidi"/>
          <w:b/>
          <w:bCs/>
          <w:color w:val="000000"/>
          <w:sz w:val="32"/>
          <w:szCs w:val="28"/>
        </w:rPr>
      </w:pPr>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2"/>
        </w:rPr>
        <w:t>Chapter 6 Stage 3 — Participant-Facing Decoupling: Between-Cohort Evidence for a Frame-Sensitive Account</w:t>
      </w:r>
    </w:p>
    <w:p>
      <w:pPr>
        <w:pStyle w:val="Heading2"/>
      </w:pPr>
      <w:bookmarkStart w:id="93" w:name="_Toc232024585"/>
      <w:r>
        <w:rPr>
          <w:lang w:val="en-US" w:eastAsia="en-US" w:bidi="ar-SA"/>
          <w:color w:val="000000"/>
          <w:szCs w:val="22"/>
        </w:rPr>
        <w:t>6.1 Why a Decoupling Stage</w:t>
      </w:r>
      <w:bookmarkEnd w:id="93"/>
    </w:p>
    <w:p>
      <w:pPr>
        <w:pStyle w:val="Normal"/>
        <w:jc w:val="both"/>
      </w:pPr>
      <w:r>
        <w:rPr>
          <w:szCs w:val="22"/>
          <w:lang w:val="en-US" w:eastAsia="en-US" w:bidi="ar-SA"/>
          <w:rFonts w:ascii="Times New Roman" w:hAnsi="Times New Roman" w:eastAsia="Times New Roman" w:cs="Times New Roman"/>
          <w:sz w:val="24"/>
        </w:rPr>
        <w:t>The engagement observed in Stage 2 did not support the original design expectation and left several explanations open. One was a frame-sensitive account: clinical and assessment-related cues might alter the meaning of difficulty and discourage return. Alternatives included the game's demands or appeal, participants' health and prior experience, practical burdens and the facility context. Stage 3 examined a decoupled implementation in a separate cohort to establish whether return after initial disengagement was possible under that redesigned package. A broad claim that older adults cannot engage with gamified activities would predict little engagement even there, but that universal claim is not the only substantive alternative to the framing account. Stage 3 therefore provides a non-equivalent-cohort comparison that motivates direct causal testing; it does not identify clinical coupling as the cause of the Stage-2 result. Two questions carried over from Stage 2: whether participants would recognise the activity as a coordination challenge and whether post-failure return would occur after the participant-facing clinical cues were removed. Because the formal Stage-2 motivational classification was withdrawn (§5.5), Stage 3 does not test change in that classification. Cohort, setting, platform and recruitment changes remain part of the observed comparison. In programme documents and review presentations this decoupled study is designated Stage 3A; the component experiment specified after it is Stage 3B, whose design parameters, builds and record to the 30 September 2026 cut-off are documented in §8.8 and Appendix I. Stage-3B returns form no part of the evidence on which this thesis concludes, and the adaptive-learning proposition that study was built to examine is treated as a discussion and future-study direction (§6.8, §8.8). This chapter reports the Stage-3A study.</w:t>
      </w:r>
    </w:p>
    <w:p>
      <w:pPr>
        <w:pStyle w:val="Heading2"/>
      </w:pPr>
      <w:bookmarkStart w:id="94" w:name="_Toc232024586"/>
      <w:r>
        <w:rPr>
          <w:lang w:val="en-US" w:eastAsia="en-US" w:bidi="ar-SA"/>
          <w:color w:val="000000"/>
          <w:szCs w:val="22"/>
        </w:rPr>
        <w:t>6.2 Research Question and Predictions</w:t>
      </w:r>
      <w:bookmarkEnd w:id="94"/>
    </w:p>
    <w:p>
      <w:pPr>
        <w:pStyle w:val="Normal"/>
        <w:jc w:val="both"/>
      </w:pPr>
      <w:r>
        <w:rPr>
          <w:i w:val="0"/>
          <w:szCs w:val="22"/>
          <w:lang w:val="en-US" w:eastAsia="en-US" w:bidi="ar-SA"/>
          <w:rFonts w:ascii="Times New Roman" w:hAnsi="Times New Roman" w:eastAsia="Times New Roman" w:cs="Times New Roman"/>
          <w:sz w:val="24"/>
        </w:rPr>
        <w:t>Stage 3 examined three directional expectations associated with the frame-sensitive account. First, observed non-return under the decoupled implementation would be lower than the Stage-2 rate. Second, some initial dropouts would return. Third, most participants would recognise the activity as a coordination challenge and a substantial proportion would express regular-use intention. The coordination item was included to ask whether the player recognised the activity as a coordination challenge; its count is reported as a positive-coded response rather than as a validated check that the intended frame was perceived (§6.5), and it does not measure motivational orientation. The multi-age cohort also permits an exploratory test of H0-age, the equal-proportions null examined after the age-stratified data were tabulated (§3.5). An age difference within the decoupled implementation can reveal remaining age-associated barriers, but cannot distinguish identity-related appraisal from other mechanisms or estimate an age-by-clinical-framing interaction.</w:t>
      </w:r>
    </w:p>
    <w:p>
      <w:pPr>
        <w:pStyle w:val="Heading2"/>
      </w:pPr>
      <w:r>
        <w:rPr>
          <w:lang w:val="en-US" w:eastAsia="en-US" w:bidi="ar-SA"/>
          <w:color w:val="000000"/>
          <w:szCs w:val="22"/>
        </w:rPr>
        <w:t>6.3 Methodology: A Participant-Facing Decoupling Package in a Separate Cohort</w:t>
      </w:r>
    </w:p>
    <w:p>
      <w:pPr>
        <w:pStyle w:val="Normal"/>
        <w:jc w:val="both"/>
      </w:pPr>
      <w:r>
        <w:rPr>
          <w:szCs w:val="22"/>
          <w:lang w:val="en-US" w:eastAsia="en-US" w:bidi="ar-SA"/>
          <w:rFonts w:ascii="Times New Roman" w:hAnsi="Times New Roman" w:eastAsia="Times New Roman" w:cs="Times New Roman"/>
          <w:sz w:val="24"/>
        </w:rPr>
        <w:t>Stage 3 evaluates a participant-facing redesign package in a separate cohort. Stage 2 used a coupled clinical-game context that included an InBody body-composition scan, clinical pass/fail language, parallel clinical recording and repeated use of the term "assessment". Stage 3 removed these participant-facing clinical cues by moving the game off the clinical apparatus altogether: the game was re-implemented as a separate, distributable HTML build and sent to participants by e-mail, no pre-session InBody scan was conducted, the activity was presented as a purely-fun coordination game, clinical labels were removed, and the interface was re-skinned. The skiing mechanic and session structure were carried into the Stage-3 build, which added an in-game five-attempt counter; the pressure-panel apparatus, the clinical setting and in-person supervision were not. These changes constitute a multi-component decoupling package. The design retains the game mechanics but does not isolate lexical framing from procedural, architectural, platform and setting changes, nor from between-cohort differences. The decoupling operated at the artefact level rather than by concealment: the invitation e-mails openly disclosed the doctoral research context, including the programme's fall-risk origin, but the activity itself carried no assessment framing and delivered no health verdict. The disclosed origin and redesigned activity need to be considered separately: return occurred in a setting where the research origin was disclosed and the activity delivered no health verdict. This observation does not isolate the influence of participants' knowledge, the interface response to difficulty or the other changes between stages.</w:t>
      </w:r>
    </w:p>
    <w:p>
      <w:pPr>
        <w:pStyle w:val="Heading2"/>
      </w:pPr>
      <w:bookmarkStart w:id="95" w:name="_Toc232024588"/>
      <w:r>
        <w:rPr>
          <w:lang w:val="en-US" w:eastAsia="en-US" w:bidi="ar-SA"/>
          <w:color w:val="000000"/>
          <w:szCs w:val="22"/>
        </w:rPr>
        <w:t>6.4 Participants and Apparatus</w:t>
      </w:r>
      <w:bookmarkEnd w:id="95"/>
    </w:p>
    <w:p>
      <w:pPr>
        <w:pStyle w:val="Normal"/>
        <w:jc w:val="both"/>
      </w:pPr>
      <w:r>
        <w:rPr>
          <w:szCs w:val="22"/>
          <w:lang w:val="en-US" w:eastAsia="en-US" w:bidi="ar-SA"/>
          <w:rFonts w:ascii="Times New Roman" w:hAnsi="Times New Roman" w:eastAsia="Times New Roman" w:cs="Times New Roman"/>
          <w:sz w:val="24"/>
        </w:rPr>
        <w:t>One hundred and twenty adults aged 25–80 were recruited through the author's Hong Kong-based networks — family and personal contacts, work contacts, a charity community network, university support channels and working peers in medical centres — in three age bands: 38 aged 25–44, 41 aged 45–64 and 41 aged 65–80. Recruitment began on 3 April 2026, later than the period stated in the invitation's heading. By the account of the research assistant who handled collection, relayed by the author on 30 September 2026, most participants played after the recruitment deadline, and returns - especially from the oldest band, who could be reached only with proper communication and arrangements - continued to arrive until July 2026, when the returns were compiled and processed. The invitation on file (a 4 August 2026 reconstruction of the participant invitation, headed 'From March to April 2026') opened with falls and balance training, disclosed the game's origin in an FRA balance platform and offered a browser version with that platform decoupled; the distributor e-mails presented the activity as a purely-fun coordination game; the in-game interface carried no clinical labels, scores or risk outputs and delivered no clinical output. Recruitment materials therefore retained fall-prevention vocabulary, and the decoupling is artefact-level, not a removal of all health framing. The distributor-tier invitations are archived (Appendix G, item G.5). Distribution was carried out by twenty research assistants recruited and briefed by the author through those networks, each asked to find about ten players across the age bands (how many people they invited was not recorded; returns for 120 participants were received, and no Stage-3A participant had played the game before): most participants received the HTML build by e-mail with a written introduction and played on their own computer with arrow keys or a foot-pad sensor where one was available (keyboard or foot-pad control was retained in Stage 3A to keep the control demands closer to the Stage-2 station), while some older participants played on an iPad on which the build had been pre-installed, with an external keyboard; supervision of play was not required (unlike the therapist-supervised Stage-2 sessions); by the author's account, some older participants played on a tablet with a research assistant beside them to help operate the device without playing on their behalf, with input by keyboard on one of the two Stage-3A builds (neither has touch controls); the number of such sessions and the participants concerned were not recorded, so assistance cannot be linked to individual records. By the author's account (2 October 2026), the twenty distributors - members of separate Hong Kong groups, eligible to play and without prior knowledge of the gamified FRA - also played, and their own records are among the 120; they were briefed only on the distribution task, and their records cannot be separated from those of the players they recruited. Of the 120 participants, 48 were recorded as male and 72 as female in the aggregate summary, which gives no breakdown of sex by age band, and all were recorded as having high-school education or above.</w:t>
      </w:r>
    </w:p>
    <w:p>
      <w:pPr>
        <w:jc w:val="both"/>
      </w:pPr>
      <w:r>
        <w:t>Two recruitment decisions were deliberate. First, the Stage-2 facility was not re-used for the decoupled deployment: its residents already carried direct experience of the coupled system, and their prior exposure and attitudes would have contaminated a test of how the decoupled frame is received on first contact. A separate cohort was therefore a design choice, not only a constraint. Second, distribution deliberately extended beyond the author's immediate circle: the organisations and contacts who received the build forwarded it onward, so that a portion of participants were personally unknown to the author. This onward (snowball) distribution broadened recruitment beyond direct acquaintances, but does not quantify or eliminate selection associated with personal networks, interest or obligation to intermediaries. It also leaves the cohort without a compiled invitation denominator: the aggregate record counts the 120 participants whose returned materials were compiled, not the number of people to whom the build was forwarded, so a response rate — and an accounting of recipients who received the build but returned no e-mail, or whose returns lacked the results file or the questionnaire — cannot be computed from the register. The distributor invitations on file (Appendix G, item G.5) record what recipients were told; because the returns were not retained as separate records (Appendix G, item G.3), no index of dates, channels and returned files can be compiled, and the invitation-and-return accounting cannot be reconstructed.</w:t>
      </w:r>
    </w:p>
    <w:p>
      <w:pPr>
        <w:pStyle w:val="Normal"/>
        <w:jc w:val="both"/>
      </w:pPr>
      <w:r>
        <w:rPr>
          <w:szCs w:val="22"/>
          <w:lang w:val="en-US" w:eastAsia="en-US" w:bidi="ar-SA"/>
          <w:rFonts w:ascii="Times New Roman" w:hAnsi="Times New Roman" w:eastAsia="Times New Roman" w:cs="Times New Roman"/>
          <w:sz w:val="24"/>
        </w:rPr>
        <w:t>Stage-3 data collection is complete. The primary records were the participants' returned materials, and they were not retained as separate records. The build saved nothing automatically: after each run it displayed a summary that the player could export as a CSV file or copy, so the returns arrived by e-mail in mixed formats - exported files or copied or typed text - together with the questionnaire responses, and they were not organised at the time. With the first build, results and stopping were recorded by hand by assistants who were not always beside the player, so stopping times are approximate (author's account, 2 October 2026). Exporting results from the archived build was optional and not every player did so, so returns arrived over several weeks; they were compiled into the aggregate summary in July 2026 and were not kept separately afterwards. Three outcome definitions are used throughout this chapter. The classifications follow a failure-then-stop rule stated by the author (30 September and 2 October 2026): initial dropout denotes a participant who stopped playing after a failure, an outcome the aggregate register labels 'dropped out before completing 5 attempts'. For older participants who played with an assistant beside them (which participants these were was not recorded, as noted above), the failure and the stop were observed directly; for the others they were inferred from the reported results - a run ending in failure, which the author's account (30 September 2026) places in the earlier version - or from not playing a further session after the first game, so a participant who stopped after the first game was counted as an initial dropout even where no failure was recorded. Distributors received both builds - an earlier version, in which a run could end in a game over, and later the archived build, first created on 13 July 2026 (both builds open in zero-failure mode by default and carry a game-over mode that must be switched on; a copy of an earlier build supplied by the author on 30 September 2026 is archived as received and entered in the build-lineage matrix, Appendix G, item G.0A) - and passed them on to their networks. Implementation limitations observed with the earlier version led to the archived build, and the main period of play was postponed to late July 2026 (author's account, 2 October 2026), so most returns, including returns after an initial dropout, fell within a few weeks before the compilation; a participant may have played either or both, and the returns did not record which, so the number who played each build is unknown. Whether those attempts fell within one sitting or across separate sessions is not recorded in the aggregate register, so the register's own unit (attempts) is used here and 'session' is reserved for a separately dated play occasion where the returned files record one. A return denotes an initial dropout who played again, on either build, at any time before the July 2026 compilation; how long or how often a participant played on return was not counted, and, by the author's account (2 October 2026), some returners played the archived build, although the returns did not record the build. Whether a return followed a reminder or the receipt of a newer build was not recorded. Counting a participant first as an initial dropout and then as returning inside the same study window presupposes a disengagement checkpoint earlier than the end of that window; the aggregate register preserves neither the operative checkpoint — the inactivity gap that separated a dropout followed by return from an ordinary interval between sessions — nor per-participant session dates, so the timing rule behind the dropout and return classifications cannot be reconstructed from the aggregates alone. Because the returns were not retained separately, a participant-level compilation into the logbook (Appendix G, item G.3) cannot be made, so per-participant observation timelines are not available and the dropout and return counts are reported as compiled, subject to this definitional limit. Observed non-return denotes an initial dropout who never played again inside the study window, and continued or resumed play is its complement over the cohort: a participant who did not drop out, or who dropped out and later played again, is counted. Because a single later play of any length counted as a return and no activity was checked at the end of the window, this is not a retention measure; the single term continued or resumed play is used throughout this chapter for that construct. The chapter therefore reports the aggregate summary compiled from the returns in July 2026 (Appendix G, item G.3); the logbook's participant-level sheets are not populated, so the summary cannot be checked against individual entries. The logbook also retains a raw import sheet whose per-band figures disagree with the summary in ten values; it was staged from a constructed file received in July 2026, not a transcription of the returns, and is quarantined and not used, so its disagreement says nothing about the summary's accuracy; the summary's only checks are internal arithmetic and agreement of its band sizes with the workbook's codebook counts (Appendix G, item G.3).</w:t>
      </w:r>
    </w:p>
    <w:p>
      <w:pPr>
        <w:pStyle w:val="Normal"/>
        <w:jc w:val="both"/>
      </w:pPr>
      <w:r>
        <w:rPr>
          <w:szCs w:val="22"/>
          <w:lang w:val="en-US" w:eastAsia="en-US" w:bidi="ar-SA"/>
          <w:rFonts w:ascii="Times New Roman" w:hAnsi="Times New Roman" w:eastAsia="Times New Roman" w:cs="Times New Roman"/>
          <w:sz w:val="24"/>
        </w:rPr>
        <w:t>How the record's limits bear on each headline figure. The record's limits apply to every Stage-3 figure: there is no invitation denominator; the returns were not retained, so no figure can be checked against individual records; the checkpoint separating a dropout followed by return from an ordinary interval between sessions is not reconstructable; some initial dropouts were classified without a recorded failure; the 120 include the distributors' own records, which cannot be separated from those of the players they recruited; and two builds were in use, with no per-participant record of which build each participant played. Their bearing differs by figure. The 93.3% and 85.4% figures for continued or resumed play describe the compiled cohort only: without a denominator they are not participation or uptake rates, and because a single later play counted as a return, they show that play continued or resumed, not that it was sustained. The return figures - 15 of 23 initial dropouts overall and 10 of 16 (62.5%) aged 65–80 - are the most exposed to the classification limits: a dropout inferred without a recorded failure, or a short pause read as a dropout, would enter both numerator and denominator in ways the record cannot check, and because the main period of play fell in late July 2026 and the returns were compiled in July 2026, the window for a return after the main period of play was short; its length is not recorded, and a return on the earlier build could have occurred at any time after first play. None of these figures supports a causal estimate of decoupling, a comparison between builds, or a separation of distributors from the players they recruited; the 93.3% and 85.4% figures support only the descriptive statement that, in this compiled cohort, continued or resumed play was recorded for most participants, and the return figures support only the descriptive statement that most initial dropouts were recorded as playing again.</w:t>
      </w:r>
    </w:p>
    <w:p>
      <w:pPr>
        <w:pStyle w:val="Heading2"/>
      </w:pPr>
      <w:bookmarkStart w:id="96" w:name="_Toc232024589"/>
      <w:r>
        <w:rPr>
          <w:lang w:val="en-US" w:eastAsia="en-US" w:bidi="ar-SA"/>
          <w:color w:val="000000"/>
          <w:szCs w:val="22"/>
        </w:rPr>
        <w:t>6.5 Findings: A Substantial Behavioural Shift</w:t>
      </w:r>
      <w:bookmarkEnd w:id="96"/>
    </w:p>
    <w:p>
      <w:pPr>
        <w:pStyle w:val="FigureCaption"/>
        <w:keepNext/>
        <w:keepLines/>
        <w:jc w:val="center"/>
      </w:pPr>
      <w:bookmarkStart w:id="97" w:name="_Toc232024701"/>
      <w:r>
        <w:rPr>
          <w:sz w:val="24"/>
          <w:szCs w:val="22"/>
          <w:lang w:val="en-US" w:eastAsia="en-US" w:bidi="ar-SA"/>
          <w:rFonts w:ascii="Times New Roman" w:hAnsi="Times New Roman" w:eastAsia="Times New Roman" w:cs="Times New Roman"/>
          <w:i/>
          <w:b/>
        </w:rPr>
        <w:t>Table 6.1. Stage-3 overall engagement and dropout (N = 120).</w:t>
      </w:r>
      <w:bookmarkEnd w:id="97"/>
    </w:p>
    <w:tbl>
      <w:tblPr>
        <w:tblStyle w:val="TableGrid"/>
        <w:tblW w:w="8505" w:type="dxa"/>
        <w:jc w:val="center"/>
        <w:tblLayout w:type="fixed"/>
        <w:tblLook w:val="04A0" w:firstRow="1" w:lastRow="0" w:firstColumn="1" w:lastColumn="0" w:noHBand="0" w:noVBand="1"/>
      </w:tblPr>
      <w:tblGrid>
        <w:gridCol w:w="4518"/>
        <w:gridCol w:w="1993"/>
        <w:gridCol w:w="1994"/>
      </w:tblGrid>
      <w:tr>
        <w:trPr>
          <w:jc w:val="center"/>
          <w:tblHeader/>
          <w:cantSplit/>
        </w:trPr>
        <w:tc>
          <w:tcPr>
            <w:tcW w:w="4518"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1993" w:type="dxa"/>
          </w:tcPr>
          <w:p>
            <w:pPr>
              <w:pStyle w:val="Normal"/>
              <w:keepNext w:val="0"/>
              <w:keepLines/>
            </w:pPr>
            <w:r>
              <w:rPr>
                <w:b/>
                <w:sz w:val="18"/>
                <w:szCs w:val="26"/>
                <w:lang w:val="en-US" w:eastAsia="en-US" w:bidi="ar-SA"/>
                <w:rFonts w:ascii="Times New Roman" w:hAnsi="Times New Roman" w:eastAsia="Times New Roman" w:cs="Times New Roman"/>
              </w:rPr>
              <w:t>Count</w:t>
            </w:r>
          </w:p>
        </w:tc>
        <w:tc>
          <w:tcPr>
            <w:tcW w:w="1994" w:type="dxa"/>
          </w:tcPr>
          <w:p>
            <w:pPr>
              <w:pStyle w:val="Normal"/>
              <w:keepNext w:val="0"/>
              <w:keepLines/>
            </w:pPr>
            <w:r>
              <w:rPr>
                <w:b/>
                <w:sz w:val="18"/>
                <w:szCs w:val="26"/>
                <w:lang w:val="en-US" w:eastAsia="en-US" w:bidi="ar-SA"/>
                <w:rFonts w:ascii="Times New Roman" w:hAnsi="Times New Roman" w:eastAsia="Times New Roman" w:cs="Times New Roman"/>
              </w:rPr>
              <w:t>Percentage</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Initial dropout</w:t>
            </w:r>
          </w:p>
        </w:tc>
        <w:tc>
          <w:tcPr>
            <w:tcW w:w="1993" w:type="dxa"/>
          </w:tcPr>
          <w:p>
            <w:pPr>
              <w:pStyle w:val="Normal"/>
            </w:pPr>
            <w:r>
              <w:rPr>
                <w:sz w:val="24"/>
                <w:szCs w:val="22"/>
                <w:lang w:val="en-US" w:eastAsia="en-US" w:bidi="ar-SA"/>
                <w:rFonts w:ascii="Times New Roman" w:hAnsi="Times New Roman" w:eastAsia="Times New Roman" w:cs="Times New Roman"/>
              </w:rPr>
              <w:t>23/120</w:t>
            </w:r>
          </w:p>
        </w:tc>
        <w:tc>
          <w:tcPr>
            <w:tcW w:w="1994" w:type="dxa"/>
          </w:tcPr>
          <w:p>
            <w:pPr>
              <w:pStyle w:val="Normal"/>
            </w:pPr>
            <w:r>
              <w:rPr>
                <w:sz w:val="24"/>
                <w:szCs w:val="22"/>
                <w:lang w:val="en-US" w:eastAsia="en-US" w:bidi="ar-SA"/>
                <w:rFonts w:ascii="Times New Roman" w:hAnsi="Times New Roman" w:eastAsia="Times New Roman" w:cs="Times New Roman"/>
              </w:rPr>
              <w:t>19.2</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Returned after dropout</w:t>
            </w:r>
          </w:p>
        </w:tc>
        <w:tc>
          <w:tcPr>
            <w:tcW w:w="1993" w:type="dxa"/>
          </w:tcPr>
          <w:p>
            <w:pPr>
              <w:pStyle w:val="Normal"/>
            </w:pPr>
            <w:r>
              <w:rPr>
                <w:sz w:val="24"/>
                <w:szCs w:val="22"/>
                <w:lang w:val="en-US" w:eastAsia="en-US" w:bidi="ar-SA"/>
                <w:rFonts w:ascii="Times New Roman" w:hAnsi="Times New Roman" w:eastAsia="Times New Roman" w:cs="Times New Roman"/>
              </w:rPr>
              <w:t>15/23</w:t>
            </w:r>
          </w:p>
        </w:tc>
        <w:tc>
          <w:tcPr>
            <w:tcW w:w="1994" w:type="dxa"/>
          </w:tcPr>
          <w:p>
            <w:pPr>
              <w:pStyle w:val="Normal"/>
            </w:pPr>
            <w:r>
              <w:rPr>
                <w:sz w:val="24"/>
                <w:szCs w:val="22"/>
                <w:lang w:val="en-US" w:eastAsia="en-US" w:bidi="ar-SA"/>
                <w:rFonts w:ascii="Times New Roman" w:hAnsi="Times New Roman" w:eastAsia="Times New Roman" w:cs="Times New Roman"/>
              </w:rPr>
              <w:t>65.2</w:t>
            </w:r>
          </w:p>
        </w:tc>
      </w:tr>
      <w:tr>
        <w:trPr>
          <w:jc w:val="center"/>
          <w:cantSplit/>
        </w:trPr>
        <w:tc>
          <w:tcPr>
            <w:tcW w:w="4518" w:type="dxa"/>
          </w:tcPr>
          <w:p>
            <w:pPr>
              <w:pStyle w:val="Normal"/>
            </w:pPr>
            <w:r>
              <w:rPr>
                <w:szCs w:val="22"/>
                <w:lang w:val="en-US" w:eastAsia="en-US" w:bidi="ar-SA"/>
                <w:rFonts w:ascii="Times New Roman" w:hAnsi="Times New Roman" w:eastAsia="Times New Roman" w:cs="Times New Roman"/>
                <w:sz w:val="24"/>
              </w:rPr>
              <w:t>Observed non-return by the July 2026 compilation</w:t>
            </w:r>
          </w:p>
        </w:tc>
        <w:tc>
          <w:tcPr>
            <w:tcW w:w="1993" w:type="dxa"/>
          </w:tcPr>
          <w:p>
            <w:pPr>
              <w:pStyle w:val="Normal"/>
            </w:pPr>
            <w:r>
              <w:rPr>
                <w:sz w:val="24"/>
                <w:szCs w:val="22"/>
                <w:lang w:val="en-US" w:eastAsia="en-US" w:bidi="ar-SA"/>
                <w:rFonts w:ascii="Times New Roman" w:hAnsi="Times New Roman" w:eastAsia="Times New Roman" w:cs="Times New Roman"/>
              </w:rPr>
              <w:t>8/120</w:t>
            </w:r>
          </w:p>
        </w:tc>
        <w:tc>
          <w:tcPr>
            <w:tcW w:w="1994" w:type="dxa"/>
          </w:tcPr>
          <w:p>
            <w:pPr>
              <w:pStyle w:val="Normal"/>
            </w:pPr>
            <w:r>
              <w:rPr>
                <w:sz w:val="24"/>
                <w:szCs w:val="22"/>
                <w:lang w:val="en-US" w:eastAsia="en-US" w:bidi="ar-SA"/>
                <w:rFonts w:ascii="Times New Roman" w:hAnsi="Times New Roman" w:eastAsia="Times New Roman" w:cs="Times New Roman"/>
              </w:rPr>
              <w:t>6.7</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Continued or resumed play</w:t>
            </w:r>
          </w:p>
        </w:tc>
        <w:tc>
          <w:tcPr>
            <w:tcW w:w="1993" w:type="dxa"/>
          </w:tcPr>
          <w:p>
            <w:pPr>
              <w:pStyle w:val="Normal"/>
            </w:pPr>
            <w:r>
              <w:rPr>
                <w:sz w:val="24"/>
                <w:szCs w:val="22"/>
                <w:lang w:val="en-US" w:eastAsia="en-US" w:bidi="ar-SA"/>
                <w:rFonts w:ascii="Times New Roman" w:hAnsi="Times New Roman" w:eastAsia="Times New Roman" w:cs="Times New Roman"/>
              </w:rPr>
              <w:t>112/120</w:t>
            </w:r>
          </w:p>
        </w:tc>
        <w:tc>
          <w:tcPr>
            <w:tcW w:w="1994" w:type="dxa"/>
          </w:tcPr>
          <w:p>
            <w:pPr>
              <w:pStyle w:val="Normal"/>
            </w:pPr>
            <w:r>
              <w:rPr>
                <w:sz w:val="24"/>
                <w:szCs w:val="22"/>
                <w:lang w:val="en-US" w:eastAsia="en-US" w:bidi="ar-SA"/>
                <w:rFonts w:ascii="Times New Roman" w:hAnsi="Times New Roman" w:eastAsia="Times New Roman" w:cs="Times New Roman"/>
              </w:rPr>
              <w:t>93.3</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 rate among initial dropouts</w:t>
            </w:r>
          </w:p>
        </w:tc>
        <w:tc>
          <w:tcPr>
            <w:tcW w:w="1993" w:type="dxa"/>
          </w:tcPr>
          <w:p>
            <w:pPr>
              <w:pStyle w:val="Normal"/>
            </w:pPr>
            <w:r>
              <w:rPr>
                <w:sz w:val="24"/>
                <w:szCs w:val="22"/>
                <w:lang w:val="en-US" w:eastAsia="en-US" w:bidi="ar-SA"/>
                <w:rFonts w:ascii="Times New Roman" w:hAnsi="Times New Roman" w:eastAsia="Times New Roman" w:cs="Times New Roman"/>
              </w:rPr>
              <w:t>—</w:t>
            </w:r>
          </w:p>
        </w:tc>
        <w:tc>
          <w:tcPr>
            <w:tcW w:w="1994" w:type="dxa"/>
          </w:tcPr>
          <w:p>
            <w:pPr>
              <w:pStyle w:val="Normal"/>
            </w:pPr>
            <w:r>
              <w:rPr>
                <w:sz w:val="24"/>
                <w:szCs w:val="22"/>
                <w:lang w:val="en-US" w:eastAsia="en-US" w:bidi="ar-SA"/>
                <w:rFonts w:ascii="Times New Roman" w:hAnsi="Times New Roman" w:eastAsia="Times New Roman" w:cs="Times New Roman"/>
              </w:rPr>
              <w:t>65.2</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older Stage-3 group showed substantial engagement with the decoupled implementation: continued or resumed play was recorded for 85.4% of the 65–80 band, ten of sixteen initial dropouts returned, and a majority expressed regular-use intention. These observations show that engagement and return were possible among older participants in this implementation. They are consistent with a frame-sensitive explanation, but do not establish that the game or participants were uninvolved in the Stage-2 difficulty, or that the theory stack was validated. The cross-stage contrast in observed return is substantial, while its causal interpretation remains bounded by separate cohorts, settings, recruitment channels and observation structures. Within Stage 3, initial dropout increased with age (0.0%, 17.1%, 39.0%; chi-square across bands p &lt; 0.001), providing exploratory evidence against equal dropout proportions. Because all three bands received the decoupled condition, this result indicates that age-associated barriers remained despite the redesign. It cannot identify the burden imposed by clinical coupling or locate the explanation specifically at identity level. Motor demands, familiarity, fatigue, interest and identity-related appraisal remain plausible contributors. Participation, continued or resumed play and regular-use intention are distinct outcomes and should not be collapsed into a claim that every participant accepted the game in the same sense.</w:t>
      </w:r>
    </w:p>
    <w:p>
      <w:pPr>
        <w:pStyle w:val="FigureCaption"/>
        <w:keepNext/>
        <w:keepLines/>
        <w:jc w:val="center"/>
      </w:pPr>
      <w:bookmarkStart w:id="98" w:name="_Toc232024702"/>
      <w:r>
        <w:rPr>
          <w:sz w:val="24"/>
          <w:szCs w:val="22"/>
          <w:lang w:val="en-US" w:eastAsia="en-US" w:bidi="ar-SA"/>
          <w:rFonts w:ascii="Times New Roman" w:hAnsi="Times New Roman" w:eastAsia="Times New Roman" w:cs="Times New Roman"/>
          <w:i/>
          <w:b/>
        </w:rPr>
        <w:t>Table 6.2. Stage-3 age-stratified engagement.</w:t>
      </w:r>
      <w:bookmarkEnd w:id="98"/>
    </w:p>
    <w:tbl>
      <w:tblPr>
        <w:tblStyle w:val="TableGrid"/>
        <w:tblW w:w="8505" w:type="dxa"/>
        <w:jc w:val="center"/>
        <w:tblLayout w:type="fixed"/>
        <w:tblLook w:val="04A0" w:firstRow="1" w:lastRow="0" w:firstColumn="1" w:lastColumn="0" w:noHBand="0" w:noVBand="1"/>
      </w:tblPr>
      <w:tblGrid>
        <w:gridCol w:w="1318"/>
        <w:gridCol w:w="1114"/>
        <w:gridCol w:w="1796"/>
        <w:gridCol w:w="1114"/>
        <w:gridCol w:w="1796"/>
        <w:gridCol w:w="1367"/>
      </w:tblGrid>
      <w:tr>
        <w:trPr>
          <w:jc w:val="center"/>
          <w:tblHeader/>
          <w:cantSplit/>
        </w:trPr>
        <w:tc>
          <w:tcPr>
            <w:tcW w:w="1318" w:type="dxa"/>
          </w:tcPr>
          <w:p>
            <w:pPr>
              <w:pStyle w:val="Normal"/>
              <w:keepNext w:val="0"/>
              <w:keepLines/>
            </w:pPr>
            <w:r>
              <w:rPr>
                <w:szCs w:val="26"/>
                <w:lang w:val="en-US" w:eastAsia="en-US" w:bidi="ar-SA"/>
                <w:rFonts w:ascii="Times New Roman" w:hAnsi="Times New Roman" w:eastAsia="Times New Roman" w:cs="Times New Roman"/>
                <w:sz w:val="18"/>
                <w:b/>
              </w:rPr>
              <w:t>Age band</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n</w:t>
            </w:r>
          </w:p>
        </w:tc>
        <w:tc>
          <w:tcPr>
            <w:tcW w:w="1796" w:type="dxa"/>
          </w:tcPr>
          <w:p>
            <w:pPr>
              <w:pStyle w:val="Normal"/>
              <w:keepNext w:val="0"/>
              <w:keepLines/>
            </w:pPr>
            <w:r>
              <w:rPr>
                <w:b/>
                <w:sz w:val="18"/>
                <w:szCs w:val="26"/>
                <w:lang w:val="en-US" w:eastAsia="en-US" w:bidi="ar-SA"/>
                <w:rFonts w:ascii="Times New Roman" w:hAnsi="Times New Roman" w:eastAsia="Times New Roman" w:cs="Times New Roman"/>
              </w:rPr>
              <w:t>Initial dropout</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Returned</w:t>
            </w:r>
          </w:p>
        </w:tc>
        <w:tc>
          <w:tcPr>
            <w:tcW w:w="1796" w:type="dxa"/>
          </w:tcPr>
          <w:p>
            <w:pPr>
              <w:pStyle w:val="Normal"/>
              <w:keepNext w:val="0"/>
              <w:keepLines/>
            </w:pPr>
            <w:r>
              <w:rPr>
                <w:szCs w:val="22"/>
                <w:lang w:val="en-US" w:eastAsia="en-US" w:bidi="ar-SA"/>
                <w:rFonts w:ascii="Times New Roman" w:hAnsi="Times New Roman" w:eastAsia="Times New Roman" w:cs="Times New Roman"/>
                <w:b/>
                <w:sz w:val="18"/>
              </w:rPr>
              <w:t>Observed non-return</w:t>
            </w:r>
          </w:p>
        </w:tc>
        <w:tc>
          <w:tcPr>
            <w:tcW w:w="1367" w:type="dxa"/>
          </w:tcPr>
          <w:p>
            <w:pPr>
              <w:pStyle w:val="Normal"/>
              <w:keepNext w:val="0"/>
              <w:keepLines/>
            </w:pPr>
            <w:r>
              <w:rPr>
                <w:b/>
                <w:sz w:val="18"/>
                <w:szCs w:val="26"/>
                <w:lang w:val="en-US" w:eastAsia="en-US" w:bidi="ar-SA"/>
                <w:rFonts w:ascii="Times New Roman" w:hAnsi="Times New Roman" w:eastAsia="Times New Roman" w:cs="Times New Roman"/>
              </w:rPr>
              <w:t>Continued or resumed play</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25–44</w:t>
            </w:r>
          </w:p>
        </w:tc>
        <w:tc>
          <w:tcPr>
            <w:tcW w:w="1114" w:type="dxa"/>
          </w:tcPr>
          <w:p>
            <w:pPr>
              <w:pStyle w:val="Normal"/>
            </w:pPr>
            <w:r>
              <w:rPr>
                <w:szCs w:val="22"/>
                <w:lang w:val="en-US" w:eastAsia="en-US" w:bidi="ar-SA"/>
                <w:rFonts w:ascii="Times New Roman" w:hAnsi="Times New Roman" w:eastAsia="Times New Roman" w:cs="Times New Roman"/>
                <w:sz w:val="24"/>
              </w:rPr>
              <w:t>38</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114" w:type="dxa"/>
          </w:tcPr>
          <w:p>
            <w:pPr>
              <w:pStyle w:val="Normal"/>
            </w:pPr>
            <w:r>
              <w:rPr>
                <w:sz w:val="24"/>
                <w:szCs w:val="22"/>
                <w:lang w:val="en-US" w:eastAsia="en-US" w:bidi="ar-SA"/>
                <w:rFonts w:ascii="Times New Roman" w:hAnsi="Times New Roman" w:eastAsia="Times New Roman" w:cs="Times New Roman"/>
              </w:rPr>
              <w:t>0</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367" w:type="dxa"/>
          </w:tcPr>
          <w:p>
            <w:pPr>
              <w:pStyle w:val="Normal"/>
            </w:pPr>
            <w:r>
              <w:rPr>
                <w:sz w:val="24"/>
                <w:szCs w:val="22"/>
                <w:lang w:val="en-US" w:eastAsia="en-US" w:bidi="ar-SA"/>
                <w:rFonts w:ascii="Times New Roman" w:hAnsi="Times New Roman" w:eastAsia="Times New Roman" w:cs="Times New Roman"/>
              </w:rPr>
              <w:t>100.0%</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45–64</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7 (17.1%)</w:t>
            </w:r>
          </w:p>
        </w:tc>
        <w:tc>
          <w:tcPr>
            <w:tcW w:w="1114" w:type="dxa"/>
          </w:tcPr>
          <w:p>
            <w:pPr>
              <w:pStyle w:val="Normal"/>
            </w:pPr>
            <w:r>
              <w:rPr>
                <w:sz w:val="24"/>
                <w:szCs w:val="22"/>
                <w:lang w:val="en-US" w:eastAsia="en-US" w:bidi="ar-SA"/>
                <w:rFonts w:ascii="Times New Roman" w:hAnsi="Times New Roman" w:eastAsia="Times New Roman" w:cs="Times New Roman"/>
              </w:rPr>
              <w:t>5</w:t>
            </w:r>
          </w:p>
        </w:tc>
        <w:tc>
          <w:tcPr>
            <w:tcW w:w="1796" w:type="dxa"/>
          </w:tcPr>
          <w:p>
            <w:pPr>
              <w:pStyle w:val="Normal"/>
            </w:pPr>
            <w:r>
              <w:rPr>
                <w:szCs w:val="22"/>
                <w:lang w:val="en-US" w:eastAsia="en-US" w:bidi="ar-SA"/>
                <w:rFonts w:ascii="Times New Roman" w:hAnsi="Times New Roman" w:eastAsia="Times New Roman" w:cs="Times New Roman"/>
                <w:sz w:val="24"/>
              </w:rPr>
              <w:t>2 (4.9%)</w:t>
            </w:r>
          </w:p>
        </w:tc>
        <w:tc>
          <w:tcPr>
            <w:tcW w:w="1367" w:type="dxa"/>
          </w:tcPr>
          <w:p>
            <w:pPr>
              <w:pStyle w:val="Normal"/>
            </w:pPr>
            <w:r>
              <w:rPr>
                <w:szCs w:val="22"/>
                <w:lang w:val="en-US" w:eastAsia="en-US" w:bidi="ar-SA"/>
                <w:rFonts w:ascii="Times New Roman" w:hAnsi="Times New Roman" w:eastAsia="Times New Roman" w:cs="Times New Roman"/>
                <w:sz w:val="24"/>
              </w:rPr>
              <w:t>95.1%</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65–80</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16 (39.0%)</w:t>
            </w:r>
          </w:p>
        </w:tc>
        <w:tc>
          <w:tcPr>
            <w:tcW w:w="1114" w:type="dxa"/>
          </w:tcPr>
          <w:p>
            <w:pPr>
              <w:pStyle w:val="Normal"/>
            </w:pPr>
            <w:r>
              <w:rPr>
                <w:sz w:val="24"/>
                <w:szCs w:val="22"/>
                <w:lang w:val="en-US" w:eastAsia="en-US" w:bidi="ar-SA"/>
                <w:rFonts w:ascii="Times New Roman" w:hAnsi="Times New Roman" w:eastAsia="Times New Roman" w:cs="Times New Roman"/>
              </w:rPr>
              <w:t>10</w:t>
            </w:r>
          </w:p>
        </w:tc>
        <w:tc>
          <w:tcPr>
            <w:tcW w:w="1796" w:type="dxa"/>
          </w:tcPr>
          <w:p>
            <w:pPr>
              <w:pStyle w:val="Normal"/>
            </w:pPr>
            <w:r>
              <w:rPr>
                <w:szCs w:val="22"/>
                <w:lang w:val="en-US" w:eastAsia="en-US" w:bidi="ar-SA"/>
                <w:rFonts w:ascii="Times New Roman" w:hAnsi="Times New Roman" w:eastAsia="Times New Roman" w:cs="Times New Roman"/>
                <w:sz w:val="24"/>
              </w:rPr>
              <w:t>6 (14.6%)</w:t>
            </w:r>
          </w:p>
        </w:tc>
        <w:tc>
          <w:tcPr>
            <w:tcW w:w="1367" w:type="dxa"/>
          </w:tcPr>
          <w:p>
            <w:pPr>
              <w:pStyle w:val="Normal"/>
            </w:pPr>
            <w:r>
              <w:rPr>
                <w:szCs w:val="22"/>
                <w:lang w:val="en-US" w:eastAsia="en-US" w:bidi="ar-SA"/>
                <w:rFonts w:ascii="Times New Roman" w:hAnsi="Times New Roman" w:eastAsia="Times New Roman" w:cs="Times New Roman"/>
                <w:sz w:val="24"/>
              </w:rPr>
              <w:t>85.4%</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Total</w:t>
            </w:r>
          </w:p>
        </w:tc>
        <w:tc>
          <w:tcPr>
            <w:tcW w:w="1114" w:type="dxa"/>
          </w:tcPr>
          <w:p>
            <w:pPr>
              <w:pStyle w:val="Normal"/>
            </w:pPr>
            <w:r>
              <w:rPr>
                <w:sz w:val="24"/>
                <w:szCs w:val="22"/>
                <w:lang w:val="en-US" w:eastAsia="en-US" w:bidi="ar-SA"/>
                <w:rFonts w:ascii="Times New Roman" w:hAnsi="Times New Roman" w:eastAsia="Times New Roman" w:cs="Times New Roman"/>
              </w:rPr>
              <w:t>120</w:t>
            </w:r>
          </w:p>
        </w:tc>
        <w:tc>
          <w:tcPr>
            <w:tcW w:w="1796" w:type="dxa"/>
          </w:tcPr>
          <w:p>
            <w:pPr>
              <w:pStyle w:val="Normal"/>
            </w:pPr>
            <w:r>
              <w:rPr>
                <w:sz w:val="24"/>
                <w:szCs w:val="22"/>
                <w:lang w:val="en-US" w:eastAsia="en-US" w:bidi="ar-SA"/>
                <w:rFonts w:ascii="Times New Roman" w:hAnsi="Times New Roman" w:eastAsia="Times New Roman" w:cs="Times New Roman"/>
              </w:rPr>
              <w:t>23 (19.2%)</w:t>
            </w:r>
          </w:p>
        </w:tc>
        <w:tc>
          <w:tcPr>
            <w:tcW w:w="1114" w:type="dxa"/>
          </w:tcPr>
          <w:p>
            <w:pPr>
              <w:pStyle w:val="Normal"/>
            </w:pPr>
            <w:r>
              <w:rPr>
                <w:sz w:val="24"/>
                <w:szCs w:val="22"/>
                <w:lang w:val="en-US" w:eastAsia="en-US" w:bidi="ar-SA"/>
                <w:rFonts w:ascii="Times New Roman" w:hAnsi="Times New Roman" w:eastAsia="Times New Roman" w:cs="Times New Roman"/>
              </w:rPr>
              <w:t>15</w:t>
            </w:r>
          </w:p>
        </w:tc>
        <w:tc>
          <w:tcPr>
            <w:tcW w:w="1796" w:type="dxa"/>
          </w:tcPr>
          <w:p>
            <w:pPr>
              <w:pStyle w:val="Normal"/>
            </w:pPr>
            <w:r>
              <w:rPr>
                <w:sz w:val="24"/>
                <w:szCs w:val="22"/>
                <w:lang w:val="en-US" w:eastAsia="en-US" w:bidi="ar-SA"/>
                <w:rFonts w:ascii="Times New Roman" w:hAnsi="Times New Roman" w:eastAsia="Times New Roman" w:cs="Times New Roman"/>
              </w:rPr>
              <w:t>8 (6.7%)</w:t>
            </w:r>
          </w:p>
        </w:tc>
        <w:tc>
          <w:tcPr>
            <w:tcW w:w="1367" w:type="dxa"/>
          </w:tcPr>
          <w:p>
            <w:pPr>
              <w:pStyle w:val="Normal"/>
            </w:pPr>
            <w:r>
              <w:rPr>
                <w:sz w:val="24"/>
                <w:szCs w:val="22"/>
                <w:lang w:val="en-US" w:eastAsia="en-US" w:bidi="ar-SA"/>
                <w:rFonts w:ascii="Times New Roman" w:hAnsi="Times New Roman" w:eastAsia="Times New Roman" w:cs="Times New Roman"/>
              </w:rPr>
              <w:t>93.3%</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65–80 band is the closest available age comparator to the Stage-2 residential cohort; it is not a matched group. In this band, 10 of 16 initial dropouts returned (62.5%; 95% CI 38.6–81.5%, Wilson interval). In Stage 2, 0 of 21 low-engagement participants returned within the eight-week observation window (95% CI 0.0–15.5%). The intervals describe sampling uncertainty around the group-specific proportions, but do not account for cohort differences or establish a causal effect. Return is also conditional on an earlier engagement outcome: the people selected into the dropout subgroup under one implementation need not resemble those selected under another. The pooled Stage-3 65.2% figure and the older-band result are therefore descriptive comparisons. A future causal evaluation should prioritise an outcome measured for all assigned participants and treat return conditional on dropout as a secondary, selection-sensitive analysis.</w:t>
      </w:r>
    </w:p>
    <w:p>
      <w:pPr>
        <w:pStyle w:val="Normal"/>
        <w:jc w:val="both"/>
      </w:pPr>
      <w:r>
        <w:rPr>
          <w:szCs w:val="22"/>
          <w:lang w:val="en-US" w:eastAsia="en-US" w:bidi="ar-SA"/>
          <w:rFonts w:ascii="Times New Roman" w:hAnsi="Times New Roman" w:eastAsia="Times New Roman" w:cs="Times New Roman"/>
          <w:sz w:val="24"/>
        </w:rPr>
        <w:t>Positive responses to the coordination-related item were recorded for 71.7% (86 of 120), and positive responses to the regular-use item for 63.3% overall and 56.1% in the 65–80 band. No comparison is made with the Stage-2 motivational-orientation classification, which has been withdrawn (§5.5). The coordination item was included to check whether players recognised the game as a coordination challenge (Appendix D). Because the questionnaire as sent has not been linked to the study record and the summary's item labels differ from the invitation wording, its count is reported as a positive-coded response; it is not treated as a manipulation check or as evidence that the intended frame was perceived. The regular-use item is a stated intention that may not predict longitudinal use.</w:t>
      </w:r>
    </w:p>
    <w:p>
      <w:pPr>
        <w:pStyle w:val="FigureCaption"/>
        <w:keepNext/>
        <w:keepLines/>
        <w:jc w:val="center"/>
      </w:pPr>
      <w:bookmarkStart w:id="99" w:name="_Toc232024703"/>
      <w:r>
        <w:rPr>
          <w:sz w:val="24"/>
          <w:szCs w:val="22"/>
          <w:lang w:val="en-US" w:eastAsia="en-US" w:bidi="ar-SA"/>
          <w:rFonts w:ascii="Times New Roman" w:hAnsi="Times New Roman" w:eastAsia="Times New Roman" w:cs="Times New Roman"/>
          <w:i/>
          <w:b/>
        </w:rPr>
        <w:t>Table 6.3. Stage-3 coordination endorsement and regular-use intention by age band.</w:t>
      </w:r>
      <w:bookmarkEnd w:id="99"/>
    </w:p>
    <w:tbl>
      <w:tblPr>
        <w:tblStyle w:val="TableGrid"/>
        <w:tblW w:w="8505" w:type="dxa"/>
        <w:jc w:val="center"/>
        <w:tblLayout w:type="fixed"/>
        <w:tblLook w:val="04A0" w:firstRow="1" w:lastRow="0" w:firstColumn="1" w:lastColumn="0" w:noHBand="0" w:noVBand="1"/>
      </w:tblPr>
      <w:tblGrid>
        <w:gridCol w:w="3197"/>
        <w:gridCol w:w="1393"/>
        <w:gridCol w:w="1356"/>
        <w:gridCol w:w="1318"/>
        <w:gridCol w:w="1241"/>
      </w:tblGrid>
      <w:tr>
        <w:trPr>
          <w:jc w:val="center"/>
          <w:tblHeader/>
          <w:cantSplit/>
        </w:trPr>
        <w:tc>
          <w:tcPr>
            <w:tcW w:w="3197" w:type="dxa"/>
          </w:tcPr>
          <w:p>
            <w:pPr>
              <w:pStyle w:val="Normal"/>
              <w:keepNext w:val="0"/>
              <w:keepLines/>
            </w:pPr>
            <w:r>
              <w:rPr>
                <w:b/>
                <w:sz w:val="18"/>
                <w:szCs w:val="26"/>
                <w:lang w:val="en-US" w:eastAsia="en-US" w:bidi="ar-SA"/>
                <w:rFonts w:ascii="Times New Roman" w:hAnsi="Times New Roman" w:eastAsia="Times New Roman" w:cs="Times New Roman"/>
              </w:rPr>
              <w:t>Item</w:t>
            </w:r>
          </w:p>
        </w:tc>
        <w:tc>
          <w:tcPr>
            <w:tcW w:w="1393" w:type="dxa"/>
          </w:tcPr>
          <w:p>
            <w:pPr>
              <w:pStyle w:val="Normal"/>
              <w:keepNext w:val="0"/>
              <w:keepLines/>
            </w:pPr>
            <w:r>
              <w:rPr>
                <w:b/>
                <w:sz w:val="18"/>
                <w:szCs w:val="26"/>
                <w:lang w:val="en-US" w:eastAsia="en-US" w:bidi="ar-SA"/>
                <w:rFonts w:ascii="Times New Roman" w:hAnsi="Times New Roman" w:eastAsia="Times New Roman" w:cs="Times New Roman"/>
              </w:rPr>
              <w:t>Younger 25–44</w:t>
            </w:r>
          </w:p>
        </w:tc>
        <w:tc>
          <w:tcPr>
            <w:tcW w:w="1356" w:type="dxa"/>
          </w:tcPr>
          <w:p>
            <w:pPr>
              <w:pStyle w:val="Normal"/>
              <w:keepNext w:val="0"/>
              <w:keepLines/>
            </w:pPr>
            <w:r>
              <w:rPr>
                <w:b/>
                <w:sz w:val="18"/>
                <w:szCs w:val="26"/>
                <w:lang w:val="en-US" w:eastAsia="en-US" w:bidi="ar-SA"/>
                <w:rFonts w:ascii="Times New Roman" w:hAnsi="Times New Roman" w:eastAsia="Times New Roman" w:cs="Times New Roman"/>
              </w:rPr>
              <w:t>Middle 45–64</w:t>
            </w:r>
          </w:p>
        </w:tc>
        <w:tc>
          <w:tcPr>
            <w:tcW w:w="1318" w:type="dxa"/>
          </w:tcPr>
          <w:p>
            <w:pPr>
              <w:pStyle w:val="Normal"/>
              <w:keepNext w:val="0"/>
              <w:keepLines/>
            </w:pPr>
            <w:r>
              <w:rPr>
                <w:b/>
                <w:sz w:val="18"/>
                <w:szCs w:val="26"/>
                <w:lang w:val="en-US" w:eastAsia="en-US" w:bidi="ar-SA"/>
                <w:rFonts w:ascii="Times New Roman" w:hAnsi="Times New Roman" w:eastAsia="Times New Roman" w:cs="Times New Roman"/>
              </w:rPr>
              <w:t>Older 65–80</w:t>
            </w:r>
          </w:p>
        </w:tc>
        <w:tc>
          <w:tcPr>
            <w:tcW w:w="1241" w:type="dxa"/>
          </w:tcPr>
          <w:p>
            <w:pPr>
              <w:pStyle w:val="Normal"/>
              <w:keepNext w:val="0"/>
              <w:keepLines/>
            </w:pPr>
            <w:r>
              <w:rPr>
                <w:b/>
                <w:sz w:val="18"/>
                <w:szCs w:val="26"/>
                <w:lang w:val="en-US" w:eastAsia="en-US" w:bidi="ar-SA"/>
                <w:rFonts w:ascii="Times New Roman" w:hAnsi="Times New Roman" w:eastAsia="Times New Roman" w:cs="Times New Roman"/>
              </w:rPr>
              <w:t>Total</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Coordination-challenge endorsement (positive-coded coordination-related item)</w:t>
            </w:r>
          </w:p>
        </w:tc>
        <w:tc>
          <w:tcPr>
            <w:tcW w:w="1393" w:type="dxa"/>
          </w:tcPr>
          <w:p>
            <w:pPr>
              <w:pStyle w:val="Normal"/>
            </w:pPr>
            <w:r>
              <w:rPr>
                <w:sz w:val="24"/>
                <w:szCs w:val="22"/>
                <w:lang w:val="en-US" w:eastAsia="en-US" w:bidi="ar-SA"/>
                <w:rFonts w:ascii="Times New Roman" w:hAnsi="Times New Roman" w:eastAsia="Times New Roman" w:cs="Times New Roman"/>
              </w:rPr>
              <w:t>—</w:t>
            </w:r>
          </w:p>
        </w:tc>
        <w:tc>
          <w:tcPr>
            <w:tcW w:w="1356" w:type="dxa"/>
          </w:tcPr>
          <w:p>
            <w:pPr>
              <w:pStyle w:val="Normal"/>
            </w:pPr>
            <w:r>
              <w:rPr>
                <w:sz w:val="24"/>
                <w:szCs w:val="22"/>
                <w:lang w:val="en-US" w:eastAsia="en-US" w:bidi="ar-SA"/>
                <w:rFonts w:ascii="Times New Roman" w:hAnsi="Times New Roman" w:eastAsia="Times New Roman" w:cs="Times New Roman"/>
              </w:rPr>
              <w:t>—</w:t>
            </w:r>
          </w:p>
        </w:tc>
        <w:tc>
          <w:tcPr>
            <w:tcW w:w="1318" w:type="dxa"/>
          </w:tcPr>
          <w:p>
            <w:pPr>
              <w:pStyle w:val="Normal"/>
            </w:pPr>
            <w:r>
              <w:rPr>
                <w:sz w:val="24"/>
                <w:szCs w:val="22"/>
                <w:lang w:val="en-US" w:eastAsia="en-US" w:bidi="ar-SA"/>
                <w:rFonts w:ascii="Times New Roman" w:hAnsi="Times New Roman" w:eastAsia="Times New Roman" w:cs="Times New Roman"/>
              </w:rPr>
              <w:t>—</w:t>
            </w:r>
          </w:p>
        </w:tc>
        <w:tc>
          <w:tcPr>
            <w:tcW w:w="1241" w:type="dxa"/>
          </w:tcPr>
          <w:p>
            <w:pPr>
              <w:pStyle w:val="Normal"/>
            </w:pPr>
            <w:r>
              <w:rPr>
                <w:sz w:val="24"/>
                <w:szCs w:val="22"/>
                <w:lang w:val="en-US" w:eastAsia="en-US" w:bidi="ar-SA"/>
                <w:rFonts w:ascii="Times New Roman" w:hAnsi="Times New Roman" w:eastAsia="Times New Roman" w:cs="Times New Roman"/>
              </w:rPr>
              <w:t>71.7%</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Would use regularly if accessible</w:t>
            </w:r>
          </w:p>
        </w:tc>
        <w:tc>
          <w:tcPr>
            <w:tcW w:w="1393" w:type="dxa"/>
          </w:tcPr>
          <w:p>
            <w:pPr>
              <w:pStyle w:val="Normal"/>
            </w:pPr>
            <w:r>
              <w:rPr>
                <w:szCs w:val="22"/>
                <w:lang w:val="en-US" w:eastAsia="en-US" w:bidi="ar-SA"/>
                <w:rFonts w:ascii="Times New Roman" w:hAnsi="Times New Roman" w:eastAsia="Times New Roman" w:cs="Times New Roman"/>
                <w:sz w:val="24"/>
              </w:rPr>
              <w:t>65.8%</w:t>
            </w:r>
          </w:p>
        </w:tc>
        <w:tc>
          <w:tcPr>
            <w:tcW w:w="1356" w:type="dxa"/>
          </w:tcPr>
          <w:p>
            <w:pPr>
              <w:pStyle w:val="Normal"/>
            </w:pPr>
            <w:r>
              <w:rPr>
                <w:szCs w:val="22"/>
                <w:lang w:val="en-US" w:eastAsia="en-US" w:bidi="ar-SA"/>
                <w:rFonts w:ascii="Times New Roman" w:hAnsi="Times New Roman" w:eastAsia="Times New Roman" w:cs="Times New Roman"/>
                <w:sz w:val="24"/>
              </w:rPr>
              <w:t>68.3%</w:t>
            </w:r>
          </w:p>
        </w:tc>
        <w:tc>
          <w:tcPr>
            <w:tcW w:w="1318" w:type="dxa"/>
          </w:tcPr>
          <w:p>
            <w:pPr>
              <w:pStyle w:val="Normal"/>
            </w:pPr>
            <w:r>
              <w:rPr>
                <w:szCs w:val="22"/>
                <w:lang w:val="en-US" w:eastAsia="en-US" w:bidi="ar-SA"/>
                <w:rFonts w:ascii="Times New Roman" w:hAnsi="Times New Roman" w:eastAsia="Times New Roman" w:cs="Times New Roman"/>
                <w:sz w:val="24"/>
              </w:rPr>
              <w:t>56.1%</w:t>
            </w:r>
          </w:p>
        </w:tc>
        <w:tc>
          <w:tcPr>
            <w:tcW w:w="1241" w:type="dxa"/>
          </w:tcPr>
          <w:p>
            <w:pPr>
              <w:pStyle w:val="Normal"/>
            </w:pPr>
            <w:r>
              <w:rPr>
                <w:sz w:val="24"/>
                <w:szCs w:val="22"/>
                <w:lang w:val="en-US" w:eastAsia="en-US" w:bidi="ar-SA"/>
                <w:rFonts w:ascii="Times New Roman" w:hAnsi="Times New Roman" w:eastAsia="Times New Roman" w:cs="Times New Roman"/>
              </w:rPr>
              <w:t>63.3%</w:t>
            </w:r>
          </w:p>
        </w:tc>
      </w:tr>
    </w:tbl>
    <w:p>
      <w:pPr>
        <w:pStyle w:val="Normal"/>
        <w:spacing w:after="40"/>
        <w:jc w:val="both"/>
      </w:pPr>
      <w:r>
        <w:rPr>
          <w:szCs w:val="22"/>
          <w:lang w:val="en-US" w:eastAsia="en-US" w:bidi="ar-SA"/>
          <w:rFonts w:ascii="Times New Roman" w:hAnsi="Times New Roman" w:eastAsia="Times New Roman" w:cs="Times New Roman"/>
          <w:sz w:val="24"/>
        </w:rPr>
        <w:t>Interpretive note: the coordination item was designed to ask whether the participant recognised the presented activity as a coordination challenge. Its count is not read as a measure of motivational orientation, nor as a validated check that the intended frame was perceived.</w:t>
      </w:r>
    </w:p>
    <w:p>
      <w:pPr>
        <w:pStyle w:val="Normal"/>
        <w:jc w:val="both"/>
      </w:pPr>
      <w:r>
        <w:rPr>
          <w:szCs w:val="22"/>
          <w:lang w:val="en-US" w:eastAsia="en-US" w:bidi="ar-SA"/>
          <w:rFonts w:ascii="Times New Roman" w:hAnsi="Times New Roman" w:eastAsia="Times New Roman" w:cs="Times New Roman"/>
          <w:sz w:val="24"/>
        </w:rPr>
        <w:t>Note on Table 6.3: coordination-challenge endorsement is reported as a total (86 of 120, 71.7%); per-age-band endorsement counts are not reported in this thesis, and no per-band endorsement claim is made.</w:t>
      </w:r>
    </w:p>
    <w:p>
      <w:pPr>
        <w:pStyle w:val="Normal"/>
        <w:keepNext/>
        <w:spacing w:before="160" w:after="40"/>
        <w:jc w:val="center"/>
      </w:pPr>
      <w:r>
        <w:rPr>
          <w:szCs w:val="22"/>
          <w:lang w:val="en-US" w:eastAsia="en-US" w:bidi="ar-SA"/>
          <w:rFonts w:ascii="Times New Roman" w:hAnsi="Times New Roman" w:eastAsia="Times New Roman" w:cs="Times New Roman"/>
          <w:sz w:val="24"/>
        </w:rPr>
        <w:t>The strongest Stage-3 behavioural outcome is observed return after initial dropout, particularly the 62.5% return in the 65–80 band. Stated intention and frame endorsement are supportive secondary outcomes, not substitutes for longitudinal behaviour.</w:t>
      </w:r>
    </w:p>
    <w:p>
      <w:pPr>
        <w:pStyle w:val="Normal"/>
        <w:keepNext/>
      </w:pPr>
      <w:r>
        <w:drawing>
          <wp:inline>
            <wp:extent cx="5303520" cy="3436083"/>
            <wp:docPr id="26" name="Picture 26" descr="Figure 6.1. Stage-3 continued or resumed play and observed non-return by the July 2026 compilation, by age band (N = 120)."/>
            <wp:cNvGraphicFramePr>
              <a:graphicFrameLocks noChangeAspect="1"/>
            </wp:cNvGraphicFramePr>
            <a:graphic>
              <a:graphicData uri="http://schemas.openxmlformats.org/drawingml/2006/picture">
                <pic:pic>
                  <pic:nvPicPr>
                    <pic:cNvPr id="0" name="figure_6_1_v12.png"/>
                    <pic:cNvPicPr/>
                  </pic:nvPicPr>
                  <pic:blipFill>
                    <a:blip r:embed="rId35"/>
                    <a:stretch>
                      <a:fillRect/>
                    </a:stretch>
                  </pic:blipFill>
                  <pic:spPr>
                    <a:xfrm>
                      <a:off x="0" y="0"/>
                      <a:ext cx="5303520" cy="3436083"/>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6.1. Stage-3 continued or resumed play and observed non-return by the July 2026 compilation, by age band (N = 120). Dropout and return are compiled classifications from the returned files; the inactivity checkpoint that separates a return from an ordinary interval between sessions is not reconstructable from the aggregate record (§6.4).</w:t>
      </w:r>
    </w:p>
    <w:p>
      <w:pPr>
        <w:pStyle w:val="Normal"/>
        <w:jc w:val="both"/>
      </w:pPr>
      <w:r>
        <w:rPr>
          <w:i w:val="0"/>
          <w:szCs w:val="22"/>
          <w:lang w:val="en-US" w:eastAsia="en-US" w:bidi="ar-SA"/>
          <w:rFonts w:ascii="Times New Roman" w:hAnsi="Times New Roman" w:eastAsia="Times New Roman" w:cs="Times New Roman"/>
          <w:sz w:val="24"/>
        </w:rPr>
        <w:t>Figure 6.1 is drawn from the counts in Table 6.2.</w:t>
      </w:r>
    </w:p>
    <w:p>
      <w:pPr>
        <w:pStyle w:val="Normal"/>
        <w:keepNext/>
        <w:spacing w:before="160" w:after="40"/>
        <w:jc w:val="center"/>
      </w:pPr>
      <w:r>
        <w:rPr>
          <w:noProof/>
        </w:rPr>
        <w:drawing>
          <wp:inline distT="0" distB="0" distL="0" distR="0" wp14:anchorId="55036841" wp14:editId="7EC35D5A">
            <wp:extent cx="5120640" cy="3166321"/>
            <wp:effectExtent l="0" t="0" r="0" b="0"/>
            <wp:docPr id="12" name="Picture 12" descr="Figure 6.2. Return after initial dropout by age band in Stage 3, including 62.5% in the 65–80 band."/>
            <wp:cNvGraphicFramePr>
              <a:graphicFrameLocks noChangeAspect="1"/>
            </wp:cNvGraphicFramePr>
            <a:graphic>
              <a:graphicData uri="http://schemas.openxmlformats.org/drawingml/2006/picture">
                <pic:pic>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pPr>
        <w:pStyle w:val="FigureCaption"/>
        <w:keepLines/>
        <w:jc w:val="center"/>
      </w:pPr>
      <w:bookmarkStart w:id="100" w:name="_Toc232024690"/>
      <w:bookmarkEnd w:id="100"/>
      <w:r>
        <w:rPr>
          <w:sz w:val="24"/>
          <w:szCs w:val="22"/>
          <w:lang w:val="en-US" w:eastAsia="en-US" w:bidi="ar-SA"/>
          <w:rFonts w:ascii="Times New Roman" w:hAnsi="Times New Roman" w:eastAsia="Times New Roman" w:cs="Times New Roman"/>
          <w:i/>
          <w:b/>
        </w:rPr>
        <w:t>Figure 6.2. Return after initial dropout by age band in Stage 3, including 62.5% in the 65–80 band. Dropout and return are compiled classifications from the returned files; the inactivity checkpoint that separates a return from an ordinary interval between sessions is not reconstructable from the aggregate record (§6.4). The zero-return line refers descriptively to the separate Stage-2 cohort; it is not a repeated-measures baseline or an estimate of the causal benefit of the Stage-3 package.</w:t>
      </w:r>
    </w:p>
    <w:p>
      <w:pPr>
        <w:pStyle w:val="Heading2"/>
      </w:pPr>
      <w:r>
        <w:rPr>
          <w:lang w:val="en-US" w:eastAsia="en-US" w:bidi="ar-SA"/>
          <w:color w:val="000000"/>
          <w:szCs w:val="22"/>
        </w:rPr>
        <w:t>6.6 The Recorded-Score–Engagement Discrepancy Reconsidered</w:t>
      </w:r>
    </w:p>
    <w:p>
      <w:pPr>
        <w:pStyle w:val="Normal"/>
        <w:jc w:val="both"/>
      </w:pPr>
      <w:r>
        <w:rPr>
          <w:szCs w:val="22"/>
          <w:lang w:val="en-US" w:eastAsia="en-US" w:bidi="ar-SA"/>
          <w:rFonts w:ascii="Times New Roman" w:hAnsi="Times New Roman" w:eastAsia="Times New Roman" w:cs="Times New Roman"/>
          <w:sz w:val="24"/>
        </w:rP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discrepancy was resolved, or that the same individuals would have behaved differently under the coupled condition. The studies document different co-occurrences: some Stage-2 participants recorded positive score change without return, whereas some Stage-3 participants returned after initial disengagement. Their comparison motivates further study of the relation between experience, perceived progress and continued participation, without showing that the same people changed behaviour because of the frame.</w:t>
      </w:r>
    </w:p>
    <w:p>
      <w:pPr>
        <w:pStyle w:val="Heading2"/>
      </w:pPr>
      <w:r>
        <w:rPr>
          <w:lang w:val="en-US" w:eastAsia="en-US" w:bidi="ar-SA"/>
          <w:color w:val="000000"/>
          <w:szCs w:val="22"/>
        </w:rPr>
        <w:t>6.7 Frame-Sensitive versus Dispositional Accounts: Calibrated Inference</w:t>
      </w:r>
    </w:p>
    <w:p>
      <w:pPr>
        <w:pStyle w:val="Normal"/>
        <w:jc w:val="both"/>
      </w:pPr>
      <w:r>
        <w:rPr>
          <w:i w:val="0"/>
          <w:szCs w:val="22"/>
          <w:lang w:val="en-US" w:eastAsia="en-US" w:bidi="ar-SA"/>
          <w:rFonts w:ascii="Times New Roman" w:hAnsi="Times New Roman" w:eastAsia="Times New Roman" w:cs="Times New Roman"/>
          <w:sz w:val="24"/>
        </w:rP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The combined evidence motivates a candidate scope condition: engagement may depend partly on how a gamified activity communicates consequential judgements about the user. FIAS names one proposed explanation of that relationship. Neither the psychological mechanism nor the proposed boundary of gamification theory has been established by the present comparison. The engineering contribution is to translate this candidate explanation into an explicit redesign and evaluation programme.</w:t>
      </w:r>
    </w:p>
    <w:p>
      <w:pPr>
        <w:pStyle w:val="Normal"/>
        <w:jc w:val="both"/>
      </w:pPr>
      <w:r>
        <w:rPr>
          <w:szCs w:val="22"/>
          <w:lang w:val="en-US" w:eastAsia="en-US" w:bidi="ar-SA"/>
          <w:rFonts w:ascii="Times New Roman" w:hAnsi="Times New Roman" w:eastAsia="Times New Roman" w:cs="Times New Roman"/>
          <w:sz w:val="24"/>
        </w:rPr>
        <w:t>The principal causal test proposed is a within-cohort randomised comparison with harmonised eligibility criteria, staff scripts, software, measures and follow-up. Until such a study is conducted, the thesis's calibrated claim is that participant-facing decoupling was associated with substantially greater post-failure return in a separate cohort, and that the pattern warrants direct causal testing.</w:t>
      </w:r>
    </w:p>
    <w:p>
      <w:pPr>
        <w:pStyle w:val="Heading2"/>
      </w:pPr>
      <w:bookmarkStart w:id="101" w:name="_Toc232024592"/>
      <w:r>
        <w:rPr>
          <w:lang w:val="en-US" w:eastAsia="en-US" w:bidi="ar-SA"/>
          <w:color w:val="000000"/>
          <w:szCs w:val="22"/>
        </w:rPr>
        <w:t>6.8 The Commitment Gap and Its Design Implication</w:t>
      </w:r>
      <w:bookmarkEnd w:id="101"/>
    </w:p>
    <w:p>
      <w:pPr>
        <w:pStyle w:val="Normal"/>
        <w:jc w:val="both"/>
      </w:pPr>
      <w:r>
        <w:rPr>
          <w:szCs w:val="22"/>
          <w:lang w:val="en-US" w:eastAsia="en-US" w:bidi="ar-SA"/>
          <w:rFonts w:ascii="Times New Roman" w:hAnsi="Times New Roman" w:eastAsia="Times New Roman" w:cs="Times New Roman"/>
          <w:sz w:val="24"/>
        </w:rPr>
        <w:t>In the 65–80 band, continued or resumed play was 85.4% and stated regular-use intention was 56.1%, a difference of 29.3 percentage points. These are marginal proportions for different constructs: recorded continued or resumed play and hypothetical future intention. Because continued or resumed play includes dropouts who played again even once (§6.4), the 29.3-point contrast is between recorded play and stated intention, not between uninterrupted play and intention. They do not reveal which of these individuals intended regular use, so the difference is not an observed within-person conversion loss. It is a design diagnostic that raises questions about continuing value, burden, access and enjoyment. Decoupling was associated with substantial engagement in this cohort, but its effectiveness as a route to regular clinical participation remains untested. The clinical purpose also remains central to the innovation's intended value. The design question is therefore how to communicate that purpose honestly, preserve meaningful challenge and support a reason to return, while maintaining credible evidence of what is improving.</w:t>
      </w:r>
    </w:p>
    <w:p>
      <w:pPr>
        <w:pStyle w:val="Normal"/>
        <w:jc w:val="both"/>
      </w:pPr>
      <w:r>
        <w:rPr>
          <w:szCs w:val="22"/>
          <w:lang w:val="en-US" w:eastAsia="en-US" w:bidi="ar-SA"/>
          <w:rFonts w:ascii="Times New Roman" w:hAnsi="Times New Roman" w:eastAsia="Times New Roman" w:cs="Times New Roman"/>
          <w:sz w:val="24"/>
        </w:rPr>
        <w:t>The programme proposes adaptive learning as one response (§2.6.2A–B): challenge and support would be adjusted to the user, and feedback would help the user interpret performance in relation to a developing capability. Such a system must not imply improvement merely because tasks become easier, rewards increase or assistance is added. A credible progress display needs separate information about comparable-task performance, the challenge attempted and the support provided; when a substantial redesign changes what is measured, the comparison must be bridged through evidence or presented as a new baseline (Chapter 7). Within the thesis title, continuous improvement concerns this evidence-guided learning process, and innovation enhancement concerns the evaluated revision of the intervention when the existing design encounters difficulty. Neither requires a continuously rising score: an unsuccessful attempt can identify a limitation and inform a better next step, while remaining an unsuccessful attempt. The present data motivate this design hypothesis but do not establish its efficacy, necessity or ability to make clinical reattachment safe. Anticipated fatigue, access barriers, scheduling burden, insufficient relevance, motor difficulty and limited enjoyment remain plausible explanations for the difference between continued play and stated intention. Prospective evaluation must therefore combine longitudinal behaviour with measures or interviews addressing competence, autonomy, burden, enjoyment and identity relevance, and compare adaptive learning with other plausible design responses.</w:t>
      </w:r>
    </w:p>
    <w:p>
      <w:pPr>
        <w:pStyle w:val="Normal"/>
        <w:jc w:val="both"/>
      </w:pPr>
      <w:r>
        <w:rPr>
          <w:szCs w:val="22"/>
          <w:lang w:val="en-US" w:eastAsia="en-US" w:bidi="ar-SA"/>
          <w:rFonts w:ascii="Times New Roman" w:hAnsi="Times New Roman" w:eastAsia="Times New Roman" w:cs="Times New Roman"/>
          <w:sz w:val="24"/>
        </w:rPr>
        <w:t>The Stage-3B component study specified after Stage 3A did not supply such an evaluation: its learning measurement was not articulated to the adaptive-learning construct, and its record to the 30 September 2026 cut-off is documented in §8.8 without any adaptive-learning result.</w:t>
      </w:r>
    </w:p>
    <w:p>
      <w:pPr>
        <w:pStyle w:val="Normal"/>
        <w:keepNext/>
        <w:spacing w:before="160" w:after="40"/>
        <w:jc w:val="center"/>
      </w:pPr>
      <w:r>
        <w:drawing>
          <wp:inline>
            <wp:extent cx="5303520" cy="3436083"/>
            <wp:docPr id="27" name="Picture 27" descr="Figure 6.3. Continued or resumed play and regular-use intention by age band."/>
            <wp:cNvGraphicFramePr>
              <a:graphicFrameLocks noChangeAspect="1"/>
            </wp:cNvGraphicFramePr>
            <a:graphic>
              <a:graphicData uri="http://schemas.openxmlformats.org/drawingml/2006/picture">
                <pic:pic>
                  <pic:nvPicPr>
                    <pic:cNvPr id="0" name="figure_6_3_v12.png"/>
                    <pic:cNvPicPr/>
                  </pic:nvPicPr>
                  <pic:blipFill>
                    <a:blip r:embed="rId36"/>
                    <a:stretch>
                      <a:fillRect/>
                    </a:stretch>
                  </pic:blipFill>
                  <pic:spPr>
                    <a:xfrm>
                      <a:off x="0" y="0"/>
                      <a:ext cx="5303520" cy="3436083"/>
                    </a:xfrm>
                    <a:prstGeom prst="rect"/>
                  </pic:spPr>
                </pic:pic>
              </a:graphicData>
            </a:graphic>
          </wp:inline>
        </w:drawing>
      </w:r>
    </w:p>
    <w:p>
      <w:pPr>
        <w:pStyle w:val="FigureCaption"/>
        <w:keepLines/>
        <w:jc w:val="center"/>
      </w:pPr>
      <w:bookmarkStart w:id="102" w:name="_Toc232024691"/>
      <w:bookmarkEnd w:id="102"/>
      <w:r>
        <w:rPr>
          <w:sz w:val="24"/>
          <w:szCs w:val="22"/>
          <w:lang w:val="en-US" w:eastAsia="en-US" w:bidi="ar-SA"/>
          <w:rFonts w:ascii="Times New Roman" w:hAnsi="Times New Roman" w:eastAsia="Times New Roman" w:cs="Times New Roman"/>
          <w:i/>
          <w:b/>
        </w:rPr>
        <w:t>Figure 6.3. Continued or resumed play and regular-use intention by age band. In the 65–80 band the marginal proportions differ by 29.3 percentage points; the figure does not show an individual-level transition from continued play to intention.</w:t>
      </w:r>
    </w:p>
    <w:p>
      <w:pPr>
        <w:pStyle w:val="Heading2"/>
      </w:pPr>
      <w:r>
        <w:rPr>
          <w:lang w:val="en-US" w:eastAsia="en-US" w:bidi="ar-SA"/>
          <w:color w:val="000000"/>
          <w:szCs w:val="22"/>
        </w:rPr>
        <w:t>6.8A The Commitment Gap Read Through Group Dynamics: The First Interpretive Consultation (Dr Yuan)</w:t>
      </w:r>
    </w:p>
    <w:p>
      <w:pPr>
        <w:pStyle w:val="Normal"/>
        <w:jc w:val="both"/>
      </w:pPr>
      <w:r>
        <w:rPr>
          <w:szCs w:val="22"/>
          <w:lang w:val="en-US" w:eastAsia="en-US" w:bidi="ar-SA"/>
          <w:rFonts w:ascii="Times New Roman" w:hAnsi="Times New Roman" w:eastAsia="Times New Roman" w:cs="Times New Roman"/>
          <w:sz w:val="24"/>
        </w:rPr>
        <w:t>The interpretation of the commitment gap was examined after the empirical programme through expert consultation, beginning with Dr Sarah C.W. Yuan of the Center on the Family, University of Hawai'i at Mānoa — a medical sociologist and demographer of aging whose work includes the Hawai'i Healthy Aging Partnership and statewide community falls-prevention programming. Her field of practice is deliberately distant from this programme's apparatus: group exercise and physical games for balance, with no electronic game and no clinical instrument attached to the activity. The consultation is reported as interpretive evidence from an independent discipline, not as additional participant data; the record is the author's structured notes, reproduced in Appendix H.</w:t>
      </w:r>
    </w:p>
    <w:p>
      <w:pPr>
        <w:pStyle w:val="Normal"/>
        <w:jc w:val="both"/>
      </w:pPr>
      <w:r>
        <w:rPr>
          <w:szCs w:val="22"/>
          <w:lang w:val="en-US" w:eastAsia="en-US" w:bidi="ar-SA"/>
          <w:rFonts w:ascii="Times New Roman" w:hAnsi="Times New Roman" w:eastAsia="Times New Roman" w:cs="Times New Roman"/>
          <w:sz w:val="24"/>
        </w:rPr>
        <w:t>Three of her observations bear directly on this thesis. First, from her programme experience and publications: older adults who join social exercise groups tend to drop out after a failure unless a physician, assistant or coach helps them past the rejection; with a group around them and a coach who leads them to continue, they perform and persist markedly better. Failure-linked dropout therefore appears even in her setting — with no clinical attachment at all — and is recoverable through human support. Second, in her experience older adults intrinsically avoid straight clinically oriented individual assessment of their current health status: they fear facing a negative risk result, and psychologically avoid the clinical evidence that would describe their condition. This is a practice-based interpretation consistent with the proposed avoidance account; it does not distinguish identity-related threat from other reasons to avoid unwelcome health information. Third, she regards gamification as very effective for promoting health technology — and expects hard rejection precisely when the game or exercise is linked to clinical results. On that basis she explicitly supported the Stage-3 decoupling design, and she supported the FIDS-to-FIAS construction and the adaptive-learning proposition as consistent with the behaviour of older adults she has observed.</w:t>
      </w:r>
    </w:p>
    <w:p>
      <w:pPr>
        <w:pStyle w:val="Normal"/>
        <w:jc w:val="both"/>
      </w:pPr>
      <w:r>
        <w:rPr>
          <w:szCs w:val="22"/>
          <w:lang w:val="en-US" w:eastAsia="en-US" w:bidi="ar-SA"/>
          <w:rFonts w:ascii="Times New Roman" w:hAnsi="Times New Roman" w:eastAsia="Times New Roman" w:cs="Times New Roman"/>
          <w:sz w:val="24"/>
        </w:rPr>
        <w:t>The consultation adds a candidate social explanation and design considerations that the programme's participant data did not directly measure. In her account, partnering, group play and a coach who leads the activity reduce initial dropout and, downstream, abandonment of the technology; and the components that support adoption extend beyond engineering excellence and design to the environment, the people using the same technology, and predictable or expected results. The mapping onto the framework is direct: the coach and the group correspond to the staff coaching layer (L6, §7.5.3) and motivate a group-deployment variant of the protocol; predictable or expected results motivate clearer explanation of task demands and feedback in trajectory installation (P2), although a visible trajectory does not necessarily make outcomes predictable or non-threatening. Her account also refines the Chapter 2 caution that social influence (Octalysis D5) can be double-edged for older users: structured group dynamics with a leading coach appears protective in her experience, whereas unstructured peer comparison may still threaten identity — a distinction a future within-cohort study could operationalise (§8.8). The evidential limits are stated plainly: this is one consultation, recorded in the author's notes; it is interpretive support from an adjacent discipline, not validation; and its observations concern physical group exercise, so their transfer to electronic games is an argued expectation rather than a demonstrated result.</w:t>
      </w:r>
    </w:p>
    <w:p>
      <w:pPr>
        <w:pStyle w:val="Heading2"/>
      </w:pPr>
      <w:bookmarkStart w:id="103" w:name="_Toc232024593"/>
      <w:r>
        <w:rPr>
          <w:lang w:val="en-US" w:eastAsia="en-US" w:bidi="ar-SA"/>
          <w:color w:val="000000"/>
          <w:szCs w:val="22"/>
        </w:rPr>
        <w:t>6.9 Limitations of Stage 3</w:t>
      </w:r>
      <w:bookmarkEnd w:id="103"/>
    </w:p>
    <w:p>
      <w:pPr>
        <w:pStyle w:val="Normal"/>
        <w:jc w:val="both"/>
      </w:pPr>
      <w:r>
        <w:rPr>
          <w:i w:val="0"/>
          <w:szCs w:val="22"/>
          <w:lang w:val="en-US" w:eastAsia="en-US" w:bidi="ar-SA"/>
          <w:rFonts w:ascii="Times New Roman" w:hAnsi="Times New Roman" w:eastAsia="Times New Roman" w:cs="Times New Roman"/>
          <w:sz w:val="24"/>
        </w:rPr>
        <w:t>Stage 3 is a between-cycle, between-cohort comparison and supports associations rather than isolated causal effects. The decoupling package was delivered through an e-mailed HTML build played without in-person supervision, so platform, input device, setting and supervision changed alongside participant-facing clinical cues; dispersed home play also removed the communal setting in which peers' dropout had been visible in Stage 2 (§5.6), a further component of the package. Volunteer and network recruitment limit representativeness; short follow-up limits conclusions about continued use; and the cultural setting limits transferability. Mental accounting, loss aversion, identity protection and stereotype threat were not directly measured. The framing item measures recognition of the presented activity only, and the complete adaptive-learning framework was not deployed. Return after initial dropout was common in Stage 3 and absent in the reported Stage-2 low-engagement group, but conditional subgroup selection and other cross-stage differences limit causal interpretation. The result motivates a harmonised comparison and direct appraisal measures rather than establishing the mechanism or efficacy of the proposed redesign.</w:t>
      </w:r>
    </w:p>
    <w:p>
      <w:pPr>
        <w:pStyle w:val="Heading2"/>
      </w:pPr>
      <w:bookmarkStart w:id="104" w:name="_Toc232024594"/>
      <w:r>
        <w:rPr>
          <w:lang w:val="en-US" w:eastAsia="en-US" w:bidi="ar-SA"/>
          <w:color w:val="000000"/>
          <w:szCs w:val="22"/>
        </w:rPr>
        <w:t>6.10 Quantitative Comparison Against Existing Models</w:t>
      </w:r>
      <w:bookmarkEnd w:id="104"/>
    </w:p>
    <w:p>
      <w:pPr>
        <w:pStyle w:val="Normal"/>
        <w:jc w:val="both"/>
      </w:pPr>
      <w:r>
        <w:rPr>
          <w:szCs w:val="22"/>
          <w:lang w:val="en-US" w:eastAsia="en-US" w:bidi="ar-SA"/>
          <w:rFonts w:ascii="Times New Roman" w:hAnsi="Times New Roman" w:eastAsia="Times New Roman" w:cs="Times New Roman"/>
          <w:sz w:val="24"/>
        </w:rPr>
        <w:t>This section is design only: it specifies a comparison that has not been executed, and no model in it has been fitted. The quantitative advantage of the FIAS-augmented specification is therefore hypothesised, not demonstrated. Sections 6.10.1–6.10.5 record a prospective analysis architecture — a specification, not results — and the final executable protocol must be fixed before analysis of a suitable new dataset. A persistent question is whether FIAS adds incremental explanatory power beyond what TAM, STAM and a simple usage-attrition baseline can already explain. The Stage-2 and Stage-3 datasets do not yet allow a definitive nested-model comparison, but the architecture of such a comparison is set out here to make the next evaluation requirements explicit. The architecture remains available for any future dataset that includes harmonised STAM instrumentation alongside FIAS coding.</w:t>
      </w:r>
    </w:p>
    <w:p>
      <w:pPr>
        <w:pStyle w:val="Heading3"/>
      </w:pPr>
      <w:bookmarkStart w:id="105" w:name="_Toc232024595"/>
      <w:r>
        <w:rPr>
          <w:color w:val="000000"/>
          <w:szCs w:val="22"/>
          <w:lang w:val="en-US" w:eastAsia="en-US" w:bidi="ar-SA"/>
        </w:rPr>
        <w:t>6.10.1 Three-Tier Nested Model Specification</w:t>
      </w:r>
      <w:bookmarkEnd w:id="105"/>
    </w:p>
    <w:p>
      <w:pPr>
        <w:pStyle w:val="Normal"/>
        <w:jc w:val="both"/>
      </w:pPr>
      <w:r>
        <w:rPr>
          <w:szCs w:val="22"/>
          <w:lang w:val="en-US" w:eastAsia="en-US" w:bidi="ar-SA"/>
          <w:rFonts w:ascii="Times New Roman" w:hAnsi="Times New Roman" w:eastAsia="Times New Roman" w:cs="Times New Roman"/>
          <w:sz w:val="24"/>
        </w:rPr>
        <w:t>The planned comparison is structured as three nested models with an observed non-return outcome defined over a common, pre-specified window and a time-to-observed-dropout outcome. The final protocol must define the target population, prediction time, outcome and intended decision, and prevent predictor–outcome overlap: any FIAS score used as a predictor must exclude cycle count, return status and other elements that define the outcome. Appraisals recorded after a first difficulty cannot be treated as baseline predictors; they require an explicitly defined post-event prediction time. Sample-size planning must count predictor parameters, including categorical levels, nonlinear terms and interactions, and justify the expected outcome events and precision. The eight observed Stage-3 non-return events are insufficient for the proposed multivariable architecture, which is accordingly reserved for a separately designed future dataset.</w:t>
      </w:r>
    </w:p>
    <w:p>
      <w:pPr>
        <w:pStyle w:val="FigureCaption"/>
        <w:keepNext/>
        <w:keepLines/>
        <w:jc w:val="center"/>
      </w:pPr>
      <w:bookmarkStart w:id="106" w:name="_Toc232024704"/>
      <w:r>
        <w:rPr>
          <w:sz w:val="24"/>
          <w:szCs w:val="22"/>
          <w:lang w:val="en-US" w:eastAsia="en-US" w:bidi="ar-SA"/>
          <w:rFonts w:ascii="Times New Roman" w:hAnsi="Times New Roman" w:eastAsia="Times New Roman" w:cs="Times New Roman"/>
          <w:i/>
          <w:b/>
        </w:rPr>
        <w:t>Table 6.4. Three-tier nested model specification for the FIAS-vs-TAM/STAM quantitative comparison.</w:t>
      </w:r>
      <w:bookmarkEnd w:id="106"/>
    </w:p>
    <w:tbl>
      <w:tblPr>
        <w:tblStyle w:val="TableGrid"/>
        <w:tblW w:w="8505" w:type="dxa"/>
        <w:jc w:val="center"/>
        <w:tblLayout w:type="fixed"/>
        <w:tblLook w:val="04A0" w:firstRow="1" w:lastRow="0" w:firstColumn="1" w:lastColumn="0" w:noHBand="0" w:noVBand="1"/>
      </w:tblPr>
      <w:tblGrid>
        <w:gridCol w:w="1605"/>
        <w:gridCol w:w="3764"/>
        <w:gridCol w:w="3136"/>
      </w:tblGrid>
      <w:tr>
        <w:trPr>
          <w:jc w:val="center"/>
          <w:tblHeader/>
          <w:cantSplit/>
        </w:trPr>
        <w:tc>
          <w:tcPr>
            <w:tcW w:w="1605" w:type="dxa"/>
          </w:tcPr>
          <w:p>
            <w:pPr>
              <w:pStyle w:val="Normal"/>
              <w:keepNext w:val="0"/>
              <w:keepLines/>
            </w:pPr>
            <w:r>
              <w:rPr>
                <w:b/>
                <w:sz w:val="18"/>
                <w:szCs w:val="26"/>
                <w:lang w:val="en-US" w:eastAsia="en-US" w:bidi="ar-SA"/>
                <w:rFonts w:ascii="Times New Roman" w:hAnsi="Times New Roman" w:eastAsia="Times New Roman" w:cs="Times New Roman"/>
              </w:rPr>
              <w:t>Model</w:t>
            </w:r>
          </w:p>
        </w:tc>
        <w:tc>
          <w:tcPr>
            <w:tcW w:w="3764" w:type="dxa"/>
          </w:tcPr>
          <w:p>
            <w:pPr>
              <w:pStyle w:val="Normal"/>
              <w:keepNext w:val="0"/>
              <w:keepLines/>
            </w:pPr>
            <w:r>
              <w:rPr>
                <w:b/>
                <w:sz w:val="18"/>
                <w:szCs w:val="26"/>
                <w:lang w:val="en-US" w:eastAsia="en-US" w:bidi="ar-SA"/>
                <w:rFonts w:ascii="Times New Roman" w:hAnsi="Times New Roman" w:eastAsia="Times New Roman" w:cs="Times New Roman"/>
              </w:rPr>
              <w:t>Predictors</w:t>
            </w:r>
          </w:p>
        </w:tc>
        <w:tc>
          <w:tcPr>
            <w:tcW w:w="3136" w:type="dxa"/>
          </w:tcPr>
          <w:p>
            <w:pPr>
              <w:pStyle w:val="Normal"/>
              <w:keepNext w:val="0"/>
              <w:keepLines/>
            </w:pPr>
            <w:r>
              <w:rPr>
                <w:b/>
                <w:sz w:val="18"/>
                <w:szCs w:val="26"/>
                <w:lang w:val="en-US" w:eastAsia="en-US" w:bidi="ar-SA"/>
                <w:rFonts w:ascii="Times New Roman" w:hAnsi="Times New Roman" w:eastAsia="Times New Roman" w:cs="Times New Roman"/>
              </w:rPr>
              <w:t>Construct represented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M0 Demographic baseline</w:t>
            </w:r>
          </w:p>
        </w:tc>
        <w:tc>
          <w:tcPr>
            <w:tcW w:w="3764" w:type="dxa"/>
          </w:tcPr>
          <w:p>
            <w:pPr>
              <w:pStyle w:val="Normal"/>
            </w:pPr>
            <w:r>
              <w:rPr>
                <w:sz w:val="24"/>
                <w:szCs w:val="22"/>
                <w:lang w:val="en-US" w:eastAsia="en-US" w:bidi="ar-SA"/>
                <w:rFonts w:ascii="Times New Roman" w:hAnsi="Times New Roman" w:eastAsia="Times New Roman" w:cs="Times New Roman"/>
              </w:rPr>
              <w:t>Age band, sex, education, baseline FES-I, fall history</w:t>
            </w:r>
          </w:p>
        </w:tc>
        <w:tc>
          <w:tcPr>
            <w:tcW w:w="3136" w:type="dxa"/>
          </w:tcPr>
          <w:p>
            <w:pPr>
              <w:pStyle w:val="Normal"/>
            </w:pPr>
            <w:r>
              <w:rPr>
                <w:sz w:val="24"/>
                <w:szCs w:val="22"/>
                <w:lang w:val="en-US" w:eastAsia="en-US" w:bidi="ar-SA"/>
                <w:rFonts w:ascii="Times New Roman" w:hAnsi="Times New Roman" w:eastAsia="Times New Roman" w:cs="Times New Roman"/>
              </w:rPr>
              <w:t>Standard control covariates</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M1 STAM-only</w:t>
            </w:r>
          </w:p>
        </w:tc>
        <w:tc>
          <w:tcPr>
            <w:tcW w:w="3764" w:type="dxa"/>
          </w:tcPr>
          <w:p>
            <w:pPr>
              <w:pStyle w:val="Normal"/>
            </w:pPr>
            <w:r>
              <w:rPr>
                <w:sz w:val="24"/>
                <w:szCs w:val="22"/>
                <w:lang w:val="en-US" w:eastAsia="en-US" w:bidi="ar-SA"/>
                <w:rFonts w:ascii="Times New Roman" w:hAnsi="Times New Roman" w:eastAsia="Times New Roman" w:cs="Times New Roman"/>
              </w:rPr>
              <w:t>M0 + PU, PEOU, gerontechnology self-efficacy, gerontechnology anxiety, social influence, facilitating conditions</w:t>
            </w:r>
          </w:p>
        </w:tc>
        <w:tc>
          <w:tcPr>
            <w:tcW w:w="3136" w:type="dxa"/>
          </w:tcPr>
          <w:p>
            <w:pPr>
              <w:pStyle w:val="Normal"/>
            </w:pPr>
            <w:r>
              <w:rPr>
                <w:sz w:val="24"/>
                <w:szCs w:val="22"/>
                <w:lang w:val="en-US" w:eastAsia="en-US" w:bidi="ar-SA"/>
                <w:rFonts w:ascii="Times New Roman" w:hAnsi="Times New Roman" w:eastAsia="Times New Roman" w:cs="Times New Roman"/>
              </w:rPr>
              <w:t>Senior acceptance and use-related beliefs; incremental prediction to be evaluated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M2 STAM + FIAS operators</w:t>
            </w:r>
          </w:p>
        </w:tc>
        <w:tc>
          <w:tcPr>
            <w:tcW w:w="3764" w:type="dxa"/>
          </w:tcPr>
          <w:p>
            <w:pPr>
              <w:pStyle w:val="Normal"/>
            </w:pPr>
            <w:r>
              <w:rPr>
                <w:szCs w:val="22"/>
                <w:lang w:val="en-US" w:eastAsia="en-US" w:bidi="ar-SA"/>
                <w:rFonts w:ascii="Times New Roman" w:hAnsi="Times New Roman" w:eastAsia="Times New Roman" w:cs="Times New Roman"/>
                <w:sz w:val="24"/>
              </w:rPr>
              <w:t>M1 + first-failure event, frame condition, prospectively measured identity-threat/appraisal score, WTA-WTP proxy, mental-accounting frame score, and non-outcome FIAS indicators</w:t>
            </w:r>
          </w:p>
        </w:tc>
        <w:tc>
          <w:tcPr>
            <w:tcW w:w="3136" w:type="dxa"/>
          </w:tcPr>
          <w:p>
            <w:pPr>
              <w:pStyle w:val="Normal"/>
            </w:pPr>
            <w:r>
              <w:rPr>
                <w:szCs w:val="22"/>
                <w:lang w:val="en-US" w:eastAsia="en-US" w:bidi="ar-SA"/>
                <w:rFonts w:ascii="Times New Roman" w:hAnsi="Times New Roman" w:eastAsia="Times New Roman" w:cs="Times New Roman"/>
                <w:sz w:val="24"/>
              </w:rPr>
              <w:t>Prospective frame-sensitive account; predictors must precede the prediction interval and exclude outcome-defining variables; the model has not been estimated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In the proposed comparison, M0 versus M1 assesses the contribution of the senior-acceptance variables beyond the specified baseline covariates. M1 versus M2 then assesses the incremental contribution of the candidate FIAS variables. Neither comparison has been estimated in the present programme.</w:t>
      </w:r>
    </w:p>
    <w:p>
      <w:pPr>
        <w:pStyle w:val="Heading3"/>
      </w:pPr>
      <w:bookmarkStart w:id="107" w:name="_Toc232024596"/>
      <w:r>
        <w:rPr>
          <w:color w:val="000000"/>
          <w:szCs w:val="22"/>
          <w:lang w:val="en-US" w:eastAsia="en-US" w:bidi="ar-SA"/>
        </w:rPr>
        <w:t>6.10.2 Statistical Comparison Plan</w:t>
      </w:r>
      <w:bookmarkEnd w:id="107"/>
    </w:p>
    <w:p>
      <w:pPr>
        <w:pStyle w:val="Normal"/>
        <w:jc w:val="both"/>
      </w:pPr>
      <w:r>
        <w:rPr>
          <w:szCs w:val="22"/>
          <w:lang w:val="en-US" w:eastAsia="en-US" w:bidi="ar-SA"/>
          <w:rFonts w:ascii="Times New Roman" w:hAnsi="Times New Roman" w:eastAsia="Times New Roman" w:cs="Times New Roman"/>
          <w:sz w:val="24"/>
        </w:rPr>
        <w:t>Three classes of comparison statistic are proposed for the final protocol. First, a likelihood-ratio test of M2 versus M1, with degrees of freedom equal to the added model parameters where the fitted models satisfy the test's assumptions.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 Before recruitment, the protocol must also specify the modelling family, missing-predictor handling, any regularisation, and resampling or external validation, with uncertainty reported for performance differences. These decisions should reflect the available event information rather than a nominal total sample alone.</w:t>
      </w:r>
    </w:p>
    <w:p>
      <w:pPr>
        <w:pStyle w:val="Heading3"/>
      </w:pPr>
      <w:bookmarkStart w:id="108" w:name="_Toc232024597"/>
      <w:r>
        <w:rPr>
          <w:color w:val="000000"/>
          <w:szCs w:val="22"/>
          <w:lang w:val="en-US" w:eastAsia="en-US" w:bidi="ar-SA"/>
        </w:rPr>
        <w:t>6.10.3 Decision-Curve Analysis and Practical Significance</w:t>
      </w:r>
      <w:bookmarkEnd w:id="108"/>
    </w:p>
    <w:p>
      <w:pPr>
        <w:pStyle w:val="Normal"/>
        <w:jc w:val="both"/>
      </w:pPr>
      <w:r>
        <w:rPr>
          <w:szCs w:val="22"/>
          <w:lang w:val="en-US" w:eastAsia="en-US" w:bidi="ar-SA"/>
          <w:rFonts w:ascii="Times New Roman" w:hAnsi="Times New Roman" w:eastAsia="Times New Roman" w:cs="Times New Roman"/>
          <w:sz w:val="24"/>
        </w:rPr>
        <w:t>Statistical significance alone is neither necessary nor sufficient for decision value. Decision-curve analysis (Vickers &amp; Elkin, 2006) is proposed to examine the consequences of using a model to trigger a specified action, such as an offer of coaching. Its use requires an explicit service context, a plausible threshold range, and defensible consequences for missed non-return and unnecessary intervention. Calibration and validation must precede deployment of a decision rule. A favourable comparison of model net benefit would concern the decision rule under those assumptions; it would not establish that the proposed coaching or frame switch causally improves engagement. That intervention effect requires separate evaluation.</w:t>
      </w:r>
    </w:p>
    <w:p>
      <w:pPr>
        <w:pStyle w:val="Heading3"/>
      </w:pPr>
      <w:bookmarkStart w:id="109" w:name="_Toc232024598"/>
      <w:r>
        <w:rPr>
          <w:color w:val="000000"/>
          <w:szCs w:val="22"/>
          <w:lang w:val="en-US" w:eastAsia="en-US" w:bidi="ar-SA"/>
        </w:rPr>
        <w:t>6.10.4 Pre-Specified Predictions</w:t>
      </w:r>
      <w:bookmarkEnd w:id="109"/>
    </w:p>
    <w:p>
      <w:pPr>
        <w:pStyle w:val="Normal"/>
        <w:jc w:val="both"/>
      </w:pPr>
      <w:r>
        <w:rPr>
          <w:szCs w:val="22"/>
          <w:lang w:val="en-US" w:eastAsia="en-US" w:bidi="ar-SA"/>
          <w:rFonts w:ascii="Times New Roman" w:hAnsi="Times New Roman" w:eastAsia="Times New Roman" w:cs="Times New Roman"/>
          <w:sz w:val="24"/>
        </w:rPr>
        <w:t>The prospective hypothesis is that FIAS-specific appraisals measured before the prediction interval improve prediction beyond demographics and STAM. This remains a future test. Incremental value should be judged against a predefined decision objective using the magnitude and uncertainty of changes in fit, calibration, discrimination and, where justified, net benefit. A non-significant likelihood-ratio test alone does not demonstrate no value, just as a significant test does not establish practical usefulness or construct validity. The analysis should report optimism-corrected or externally validated performance and revise or reject the augmented specification if it fails to meet its predefined performance requirements.</w:t>
      </w:r>
    </w:p>
    <w:p>
      <w:pPr>
        <w:pStyle w:val="Heading3"/>
      </w:pPr>
      <w:bookmarkStart w:id="110" w:name="_Toc232024599"/>
      <w:r>
        <w:rPr>
          <w:color w:val="000000"/>
          <w:szCs w:val="22"/>
          <w:lang w:val="en-US" w:eastAsia="en-US" w:bidi="ar-SA"/>
        </w:rPr>
        <w:t>6.10.5 Provisional Estimates from the Existing Datasets</w:t>
      </w:r>
      <w:bookmarkEnd w:id="110"/>
    </w:p>
    <w:p>
      <w:pPr>
        <w:pStyle w:val="Normal"/>
        <w:jc w:val="both"/>
      </w:pPr>
      <w:r>
        <w:rPr>
          <w:szCs w:val="22"/>
          <w:lang w:val="en-US" w:eastAsia="en-US" w:bidi="ar-SA"/>
          <w:rFonts w:ascii="Times New Roman" w:hAnsi="Times New Roman" w:eastAsia="Times New Roman" w:cs="Times New Roman"/>
          <w:sz w:val="24"/>
        </w:rPr>
        <w:t>The Stage-2 early-disengagement proportion (70.0%, 95% CI 52.1–83.3%) and the Stage-3 observed non-return proportions provide provisional effect-size anchors for design and sample-size planning; they are inputs to the specification, not results of the comparison. A formal pooled or nested analysis is not appropriate until a future dataset uses harmonised recruitment, covariates, measures, outcome definitions and observation windows.</w:t>
      </w:r>
    </w:p>
    <w:p>
      <w:pPr>
        <w:pStyle w:val="Heading2"/>
      </w:pPr>
      <w:r>
        <w:rPr>
          <w:lang w:val="en-US" w:eastAsia="en-US" w:bidi="ar-SA"/>
          <w:color w:val="000000"/>
          <w:szCs w:val="22"/>
        </w:rPr>
        <w:t>6.11 Consolidated Statistical Results</w:t>
      </w:r>
    </w:p>
    <w:p>
      <w:pPr>
        <w:pStyle w:val="Normal"/>
        <w:jc w:val="both"/>
      </w:pPr>
      <w:r>
        <w:rPr>
          <w:szCs w:val="22"/>
          <w:lang w:val="en-US" w:eastAsia="en-US" w:bidi="ar-SA"/>
          <w:rFonts w:ascii="Times New Roman" w:hAnsi="Times New Roman" w:eastAsia="Times New Roman" w:cs="Times New Roman"/>
          <w:sz w:val="24"/>
        </w:rPr>
        <w:t>The key quantitative claims of Stages 2 and 3 are reported in different sections and in different notations. Table 6.5 consolidates them so that the point estimate, the interval, the sample size and the test behind each claim can be assessed at a glance.</w:t>
      </w:r>
    </w:p>
    <w:p>
      <w:pPr>
        <w:pStyle w:val="FigureCaption"/>
        <w:keepNext/>
        <w:keepLines/>
        <w:jc w:val="center"/>
      </w:pPr>
      <w:r>
        <w:rPr>
          <w:sz w:val="24"/>
          <w:szCs w:val="22"/>
          <w:lang w:val="en-US" w:eastAsia="en-US" w:bidi="ar-SA"/>
          <w:rFonts w:ascii="Times New Roman" w:hAnsi="Times New Roman" w:eastAsia="Times New Roman" w:cs="Times New Roman"/>
          <w:i/>
          <w:b/>
        </w:rPr>
        <w:t>Table 6.5. Consolidated statistical results for the key contrasts of Stages 2 and 3.</w:t>
      </w:r>
    </w:p>
    <w:tbl>
      <w:tblPr>
        <w:tblStyle w:val="TableGrid"/>
        <w:tblW w:w="8505" w:type="dxa"/>
        <w:jc w:val="center"/>
        <w:tblLayout w:type="fixed"/>
        <w:tblLook w:val="04A0" w:firstRow="1" w:lastRow="0" w:firstColumn="1" w:lastColumn="0" w:noHBand="0" w:noVBand="1"/>
      </w:tblPr>
      <w:tblGrid>
        <w:gridCol w:w="2649"/>
        <w:gridCol w:w="1290"/>
        <w:gridCol w:w="1365"/>
        <w:gridCol w:w="772"/>
        <w:gridCol w:w="2429"/>
      </w:tblGrid>
      <w:tr>
        <w:trPr>
          <w:jc w:val="center"/>
          <w:tblHeader/>
          <w:cantSplit/>
        </w:trPr>
        <w:tc>
          <w:tcPr>
            <w:tcW w:w="2649" w:type="dxa"/>
          </w:tcPr>
          <w:p>
            <w:pPr>
              <w:pStyle w:val="Normal"/>
              <w:keepNext w:val="0"/>
              <w:keepLines/>
            </w:pPr>
            <w:r>
              <w:rPr>
                <w:b/>
                <w:sz w:val="18"/>
                <w:szCs w:val="22"/>
                <w:lang w:val="en-US" w:eastAsia="en-US" w:bidi="ar-SA"/>
                <w:rFonts w:ascii="Times New Roman" w:hAnsi="Times New Roman" w:eastAsia="Times New Roman" w:cs="Times New Roman"/>
              </w:rPr>
              <w:t>Contrast or quantity</w:t>
            </w:r>
          </w:p>
        </w:tc>
        <w:tc>
          <w:tcPr>
            <w:tcW w:w="1290" w:type="dxa"/>
          </w:tcPr>
          <w:p>
            <w:pPr>
              <w:pStyle w:val="Normal"/>
              <w:keepNext w:val="0"/>
              <w:keepLines/>
            </w:pPr>
            <w:r>
              <w:rPr>
                <w:b/>
                <w:sz w:val="18"/>
                <w:szCs w:val="22"/>
                <w:lang w:val="en-US" w:eastAsia="en-US" w:bidi="ar-SA"/>
                <w:rFonts w:ascii="Times New Roman" w:hAnsi="Times New Roman" w:eastAsia="Times New Roman" w:cs="Times New Roman"/>
              </w:rPr>
              <w:t>Estimate</w:t>
            </w:r>
          </w:p>
        </w:tc>
        <w:tc>
          <w:tcPr>
            <w:tcW w:w="1365" w:type="dxa"/>
          </w:tcPr>
          <w:p>
            <w:pPr>
              <w:pStyle w:val="Normal"/>
              <w:keepNext w:val="0"/>
              <w:keepLines/>
            </w:pPr>
            <w:r>
              <w:rPr>
                <w:b/>
                <w:sz w:val="18"/>
                <w:szCs w:val="22"/>
                <w:lang w:val="en-US" w:eastAsia="en-US" w:bidi="ar-SA"/>
                <w:rFonts w:ascii="Times New Roman" w:hAnsi="Times New Roman" w:eastAsia="Times New Roman" w:cs="Times New Roman"/>
              </w:rPr>
              <w:t>95% CI</w:t>
            </w:r>
          </w:p>
        </w:tc>
        <w:tc>
          <w:tcPr>
            <w:tcW w:w="772" w:type="dxa"/>
          </w:tcPr>
          <w:p>
            <w:pPr>
              <w:pStyle w:val="Normal"/>
              <w:keepNext w:val="0"/>
              <w:keepLines/>
            </w:pPr>
            <w:r>
              <w:rPr>
                <w:b/>
                <w:sz w:val="18"/>
                <w:szCs w:val="22"/>
                <w:lang w:val="en-US" w:eastAsia="en-US" w:bidi="ar-SA"/>
                <w:rFonts w:ascii="Times New Roman" w:hAnsi="Times New Roman" w:eastAsia="Times New Roman" w:cs="Times New Roman"/>
              </w:rPr>
              <w:t>n</w:t>
            </w:r>
          </w:p>
        </w:tc>
        <w:tc>
          <w:tcPr>
            <w:tcW w:w="2429" w:type="dxa"/>
          </w:tcPr>
          <w:p>
            <w:pPr>
              <w:pStyle w:val="Normal"/>
              <w:keepNext w:val="0"/>
              <w:keepLines/>
            </w:pPr>
            <w:r>
              <w:rPr>
                <w:b/>
                <w:sz w:val="18"/>
                <w:szCs w:val="22"/>
                <w:lang w:val="en-US" w:eastAsia="en-US" w:bidi="ar-SA"/>
                <w:rFonts w:ascii="Times New Roman" w:hAnsi="Times New Roman" w:eastAsia="Times New Roman" w:cs="Times New Roman"/>
              </w:rPr>
              <w:t>Test / source</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Early disengagement, ≤ 3 cycles (Stage 2)</w:t>
            </w:r>
          </w:p>
        </w:tc>
        <w:tc>
          <w:tcPr>
            <w:tcW w:w="1290" w:type="dxa"/>
          </w:tcPr>
          <w:p>
            <w:pPr>
              <w:pStyle w:val="Normal"/>
            </w:pPr>
            <w:r>
              <w:rPr>
                <w:szCs w:val="22"/>
                <w:lang w:val="en-US" w:eastAsia="en-US" w:bidi="ar-SA"/>
                <w:rFonts w:ascii="Times New Roman" w:hAnsi="Times New Roman" w:eastAsia="Times New Roman" w:cs="Times New Roman"/>
                <w:sz w:val="24"/>
              </w:rPr>
              <w:t>70.0%</w:t>
            </w:r>
          </w:p>
        </w:tc>
        <w:tc>
          <w:tcPr>
            <w:tcW w:w="1365" w:type="dxa"/>
          </w:tcPr>
          <w:p>
            <w:pPr>
              <w:pStyle w:val="Normal"/>
            </w:pPr>
            <w:r>
              <w:rPr>
                <w:szCs w:val="22"/>
                <w:lang w:val="en-US" w:eastAsia="en-US" w:bidi="ar-SA"/>
                <w:rFonts w:ascii="Times New Roman" w:hAnsi="Times New Roman" w:eastAsia="Times New Roman" w:cs="Times New Roman"/>
                <w:sz w:val="24"/>
              </w:rPr>
              <w:t>52.1–83.3%*</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Wilson score interval; Table 5.2. (Survival modelling withdrawn: no time variable in the archive;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sustained participants (Stage 2)</w:t>
            </w:r>
          </w:p>
        </w:tc>
        <w:tc>
          <w:tcPr>
            <w:tcW w:w="1290" w:type="dxa"/>
          </w:tcPr>
          <w:p>
            <w:pPr>
              <w:pStyle w:val="Normal"/>
            </w:pPr>
            <w:r>
              <w:rPr>
                <w:szCs w:val="22"/>
                <w:lang w:val="en-US" w:eastAsia="en-US" w:bidi="ar-SA"/>
                <w:rFonts w:ascii="Times New Roman" w:hAnsi="Times New Roman" w:eastAsia="Times New Roman" w:cs="Times New Roman"/>
                <w:sz w:val="24"/>
              </w:rPr>
              <w:t>dz = 2.22 (paired); mean +6.9 points</w:t>
            </w:r>
          </w:p>
        </w:tc>
        <w:tc>
          <w:tcPr>
            <w:tcW w:w="1365" w:type="dxa"/>
          </w:tcPr>
          <w:p>
            <w:pPr>
              <w:pStyle w:val="Normal"/>
            </w:pPr>
            <w:r>
              <w:rPr>
                <w:szCs w:val="22"/>
                <w:lang w:val="en-US" w:eastAsia="en-US" w:bidi="ar-SA"/>
                <w:rFonts w:ascii="Times New Roman" w:hAnsi="Times New Roman" w:eastAsia="Times New Roman" w:cs="Times New Roman"/>
                <w:sz w:val="24"/>
              </w:rPr>
              <w:t>dz 0.95–3.46; mean 4.5–9.3</w:t>
            </w:r>
          </w:p>
        </w:tc>
        <w:tc>
          <w:tcPr>
            <w:tcW w:w="772" w:type="dxa"/>
          </w:tcPr>
          <w:p>
            <w:pPr>
              <w:pStyle w:val="Normal"/>
            </w:pPr>
            <w:r>
              <w:rPr>
                <w:szCs w:val="22"/>
                <w:lang w:val="en-US" w:eastAsia="en-US" w:bidi="ar-SA"/>
                <w:rFonts w:ascii="Times New Roman" w:hAnsi="Times New Roman" w:eastAsia="Times New Roman" w:cs="Times New Roman"/>
                <w:sz w:val="24"/>
              </w:rPr>
              <w:t>9</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all participants (Stage 2, archived paired data)</w:t>
            </w:r>
          </w:p>
        </w:tc>
        <w:tc>
          <w:tcPr>
            <w:tcW w:w="1290" w:type="dxa"/>
          </w:tcPr>
          <w:p>
            <w:pPr>
              <w:pStyle w:val="Normal"/>
            </w:pPr>
            <w:r>
              <w:rPr>
                <w:szCs w:val="22"/>
                <w:lang w:val="en-US" w:eastAsia="en-US" w:bidi="ar-SA"/>
                <w:rFonts w:ascii="Times New Roman" w:hAnsi="Times New Roman" w:eastAsia="Times New Roman" w:cs="Times New Roman"/>
                <w:sz w:val="24"/>
              </w:rPr>
              <w:t>dz = 0.42; mean +4.0 points</w:t>
            </w:r>
          </w:p>
        </w:tc>
        <w:tc>
          <w:tcPr>
            <w:tcW w:w="1365" w:type="dxa"/>
          </w:tcPr>
          <w:p>
            <w:pPr>
              <w:pStyle w:val="Normal"/>
            </w:pPr>
            <w:r>
              <w:rPr>
                <w:szCs w:val="22"/>
                <w:lang w:val="en-US" w:eastAsia="en-US" w:bidi="ar-SA"/>
                <w:rFonts w:ascii="Times New Roman" w:hAnsi="Times New Roman" w:eastAsia="Times New Roman" w:cs="Times New Roman"/>
                <w:sz w:val="24"/>
              </w:rPr>
              <w:t>dz 0.05–0.79; mean 0.5–7.6</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Satisfaction association with sustained engagement (Stage 2)</w:t>
            </w:r>
          </w:p>
        </w:tc>
        <w:tc>
          <w:tcPr>
            <w:tcW w:w="1290" w:type="dxa"/>
          </w:tcPr>
          <w:p>
            <w:pPr>
              <w:pStyle w:val="Normal"/>
            </w:pPr>
            <w:r>
              <w:rPr>
                <w:szCs w:val="22"/>
                <w:lang w:val="en-US" w:eastAsia="en-US" w:bidi="ar-SA"/>
                <w:rFonts w:ascii="Times New Roman" w:hAnsi="Times New Roman" w:eastAsia="Times New Roman" w:cs="Times New Roman"/>
                <w:sz w:val="24"/>
              </w:rPr>
              <w:t>9/9 vs 11/21 satisfied; observed difference 47.6 pp</w:t>
            </w:r>
          </w:p>
        </w:tc>
        <w:tc>
          <w:tcPr>
            <w:tcW w:w="1365" w:type="dxa"/>
          </w:tcPr>
          <w:p>
            <w:pPr>
              <w:pStyle w:val="Normal"/>
            </w:pPr>
            <w:r>
              <w:rPr>
                <w:szCs w:val="22"/>
                <w:lang w:val="en-US" w:eastAsia="en-US" w:bidi="ar-SA"/>
                <w:rFonts w:ascii="Times New Roman" w:hAnsi="Times New Roman" w:eastAsia="Times New Roman" w:cs="Times New Roman"/>
                <w:sz w:val="24"/>
              </w:rPr>
              <w:t>Not estimated</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Fisher's exact p = 0.013 (exploratory, unadjusted); §5.5</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Re-engagement after dropout (Stage 2)</w:t>
            </w:r>
          </w:p>
        </w:tc>
        <w:tc>
          <w:tcPr>
            <w:tcW w:w="1290" w:type="dxa"/>
          </w:tcPr>
          <w:p>
            <w:pPr>
              <w:pStyle w:val="Normal"/>
            </w:pPr>
            <w:r>
              <w:rPr>
                <w:sz w:val="24"/>
                <w:szCs w:val="22"/>
                <w:lang w:val="en-US" w:eastAsia="en-US" w:bidi="ar-SA"/>
                <w:rFonts w:ascii="Times New Roman" w:hAnsi="Times New Roman" w:eastAsia="Times New Roman" w:cs="Times New Roman"/>
                <w:b/>
              </w:rPr>
              <w:t>0.0%</w:t>
            </w:r>
          </w:p>
        </w:tc>
        <w:tc>
          <w:tcPr>
            <w:tcW w:w="1365" w:type="dxa"/>
          </w:tcPr>
          <w:p>
            <w:pPr>
              <w:pStyle w:val="Normal"/>
            </w:pPr>
            <w:r>
              <w:rPr>
                <w:sz w:val="24"/>
                <w:szCs w:val="22"/>
                <w:lang w:val="en-US" w:eastAsia="en-US" w:bidi="ar-SA"/>
                <w:rFonts w:ascii="Times New Roman" w:hAnsi="Times New Roman" w:eastAsia="Times New Roman" w:cs="Times New Roman"/>
                <w:b/>
              </w:rPr>
              <w:t>0.0–15.5%*</w:t>
            </w:r>
          </w:p>
        </w:tc>
        <w:tc>
          <w:tcPr>
            <w:tcW w:w="772" w:type="dxa"/>
          </w:tcPr>
          <w:p>
            <w:pPr>
              <w:pStyle w:val="Normal"/>
            </w:pPr>
            <w:r>
              <w:rPr>
                <w:sz w:val="24"/>
                <w:szCs w:val="22"/>
                <w:lang w:val="en-US" w:eastAsia="en-US" w:bidi="ar-SA"/>
                <w:rFonts w:ascii="Times New Roman" w:hAnsi="Times New Roman" w:eastAsia="Times New Roman" w:cs="Times New Roman"/>
                <w:b/>
              </w:rPr>
              <w:t>21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5.2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all bands (Stage 3)</w:t>
            </w:r>
          </w:p>
        </w:tc>
        <w:tc>
          <w:tcPr>
            <w:tcW w:w="1290" w:type="dxa"/>
          </w:tcPr>
          <w:p>
            <w:pPr>
              <w:pStyle w:val="Normal"/>
            </w:pPr>
            <w:r>
              <w:rPr>
                <w:sz w:val="24"/>
                <w:szCs w:val="22"/>
                <w:lang w:val="en-US" w:eastAsia="en-US" w:bidi="ar-SA"/>
                <w:rFonts w:ascii="Times New Roman" w:hAnsi="Times New Roman" w:eastAsia="Times New Roman" w:cs="Times New Roman"/>
                <w:b/>
              </w:rPr>
              <w:t>65.2%</w:t>
            </w:r>
          </w:p>
        </w:tc>
        <w:tc>
          <w:tcPr>
            <w:tcW w:w="1365" w:type="dxa"/>
          </w:tcPr>
          <w:p>
            <w:pPr>
              <w:pStyle w:val="Normal"/>
            </w:pPr>
            <w:r>
              <w:rPr>
                <w:sz w:val="24"/>
                <w:szCs w:val="22"/>
                <w:lang w:val="en-US" w:eastAsia="en-US" w:bidi="ar-SA"/>
                <w:rFonts w:ascii="Times New Roman" w:hAnsi="Times New Roman" w:eastAsia="Times New Roman" w:cs="Times New Roman"/>
                <w:b/>
              </w:rPr>
              <w:t>44.9–81.2%*</w:t>
            </w:r>
          </w:p>
        </w:tc>
        <w:tc>
          <w:tcPr>
            <w:tcW w:w="772" w:type="dxa"/>
          </w:tcPr>
          <w:p>
            <w:pPr>
              <w:pStyle w:val="Normal"/>
            </w:pPr>
            <w:r>
              <w:rPr>
                <w:sz w:val="24"/>
                <w:szCs w:val="22"/>
                <w:lang w:val="en-US" w:eastAsia="en-US" w:bidi="ar-SA"/>
                <w:rFonts w:ascii="Times New Roman" w:hAnsi="Times New Roman" w:eastAsia="Times New Roman" w:cs="Times New Roman"/>
                <w:b/>
              </w:rPr>
              <w:t>23</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6.1</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65–80 band (Stage 3)</w:t>
            </w:r>
          </w:p>
        </w:tc>
        <w:tc>
          <w:tcPr>
            <w:tcW w:w="1290" w:type="dxa"/>
          </w:tcPr>
          <w:p>
            <w:pPr>
              <w:pStyle w:val="Normal"/>
            </w:pPr>
            <w:r>
              <w:rPr>
                <w:sz w:val="24"/>
                <w:szCs w:val="22"/>
                <w:lang w:val="en-US" w:eastAsia="en-US" w:bidi="ar-SA"/>
                <w:rFonts w:ascii="Times New Roman" w:hAnsi="Times New Roman" w:eastAsia="Times New Roman" w:cs="Times New Roman"/>
                <w:b/>
              </w:rPr>
              <w:t>62.5%</w:t>
            </w:r>
          </w:p>
        </w:tc>
        <w:tc>
          <w:tcPr>
            <w:tcW w:w="1365" w:type="dxa"/>
          </w:tcPr>
          <w:p>
            <w:pPr>
              <w:pStyle w:val="Normal"/>
            </w:pPr>
            <w:r>
              <w:rPr>
                <w:sz w:val="24"/>
                <w:szCs w:val="22"/>
                <w:lang w:val="en-US" w:eastAsia="en-US" w:bidi="ar-SA"/>
                <w:rFonts w:ascii="Times New Roman" w:hAnsi="Times New Roman" w:eastAsia="Times New Roman" w:cs="Times New Roman"/>
                <w:b/>
              </w:rPr>
              <w:t>38.6–81.5%*</w:t>
            </w:r>
          </w:p>
        </w:tc>
        <w:tc>
          <w:tcPr>
            <w:tcW w:w="772" w:type="dxa"/>
          </w:tcPr>
          <w:p>
            <w:pPr>
              <w:pStyle w:val="Normal"/>
            </w:pPr>
            <w:r>
              <w:rPr>
                <w:sz w:val="24"/>
                <w:szCs w:val="22"/>
                <w:lang w:val="en-US" w:eastAsia="en-US" w:bidi="ar-SA"/>
                <w:rFonts w:ascii="Times New Roman" w:hAnsi="Times New Roman" w:eastAsia="Times New Roman" w:cs="Times New Roman"/>
                <w:b/>
              </w:rPr>
              <w:t>16</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Observed non-return, 65–80 band (Stage 3)</w:t>
            </w:r>
          </w:p>
        </w:tc>
        <w:tc>
          <w:tcPr>
            <w:tcW w:w="1290" w:type="dxa"/>
          </w:tcPr>
          <w:p>
            <w:pPr>
              <w:pStyle w:val="Normal"/>
            </w:pPr>
            <w:r>
              <w:rPr>
                <w:szCs w:val="22"/>
                <w:lang w:val="en-US" w:eastAsia="en-US" w:bidi="ar-SA"/>
                <w:rFonts w:ascii="Times New Roman" w:hAnsi="Times New Roman" w:eastAsia="Times New Roman" w:cs="Times New Roman"/>
                <w:sz w:val="24"/>
              </w:rPr>
              <w:t>14.6%</w:t>
            </w:r>
          </w:p>
        </w:tc>
        <w:tc>
          <w:tcPr>
            <w:tcW w:w="1365" w:type="dxa"/>
          </w:tcPr>
          <w:p>
            <w:pPr>
              <w:pStyle w:val="Normal"/>
            </w:pPr>
            <w:r>
              <w:rPr>
                <w:szCs w:val="22"/>
                <w:lang w:val="en-US" w:eastAsia="en-US" w:bidi="ar-SA"/>
                <w:rFonts w:ascii="Times New Roman" w:hAnsi="Times New Roman" w:eastAsia="Times New Roman" w:cs="Times New Roman"/>
                <w:sz w:val="24"/>
              </w:rPr>
              <w:t>6.9–28.4%*</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Coordination challenge endorsement (Stage 3)</w:t>
            </w:r>
          </w:p>
        </w:tc>
        <w:tc>
          <w:tcPr>
            <w:tcW w:w="1290" w:type="dxa"/>
          </w:tcPr>
          <w:p>
            <w:pPr>
              <w:pStyle w:val="Normal"/>
            </w:pPr>
            <w:r>
              <w:rPr>
                <w:sz w:val="24"/>
                <w:szCs w:val="22"/>
                <w:lang w:val="en-US" w:eastAsia="en-US" w:bidi="ar-SA"/>
                <w:rFonts w:ascii="Times New Roman" w:hAnsi="Times New Roman" w:eastAsia="Times New Roman" w:cs="Times New Roman"/>
                <w:b/>
              </w:rPr>
              <w:t>71.7%</w:t>
            </w:r>
          </w:p>
        </w:tc>
        <w:tc>
          <w:tcPr>
            <w:tcW w:w="1365" w:type="dxa"/>
          </w:tcPr>
          <w:p>
            <w:pPr>
              <w:pStyle w:val="Normal"/>
            </w:pPr>
            <w:r>
              <w:rPr>
                <w:sz w:val="24"/>
                <w:szCs w:val="22"/>
                <w:lang w:val="en-US" w:eastAsia="en-US" w:bidi="ar-SA"/>
                <w:rFonts w:ascii="Times New Roman" w:hAnsi="Times New Roman" w:eastAsia="Times New Roman" w:cs="Times New Roman"/>
                <w:b/>
              </w:rPr>
              <w:t>63.0–79.0%*</w:t>
            </w:r>
          </w:p>
        </w:tc>
        <w:tc>
          <w:tcPr>
            <w:tcW w:w="772" w:type="dxa"/>
          </w:tcPr>
          <w:p>
            <w:pPr>
              <w:pStyle w:val="Normal"/>
            </w:pPr>
            <w:r>
              <w:rPr>
                <w:sz w:val="24"/>
                <w:szCs w:val="22"/>
                <w:lang w:val="en-US" w:eastAsia="en-US" w:bidi="ar-SA"/>
                <w:rFonts w:ascii="Times New Roman" w:hAnsi="Times New Roman" w:eastAsia="Times New Roman" w:cs="Times New Roman"/>
                <w:b/>
              </w:rPr>
              <w:t>120</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b/>
              </w:rPr>
              <w:t>Regular-use intention, 65–80 band (Stage 3)</w:t>
            </w:r>
          </w:p>
        </w:tc>
        <w:tc>
          <w:tcPr>
            <w:tcW w:w="1290" w:type="dxa"/>
          </w:tcPr>
          <w:p>
            <w:pPr>
              <w:pStyle w:val="Normal"/>
            </w:pPr>
            <w:r>
              <w:rPr>
                <w:szCs w:val="22"/>
                <w:lang w:val="en-US" w:eastAsia="en-US" w:bidi="ar-SA"/>
                <w:rFonts w:ascii="Times New Roman" w:hAnsi="Times New Roman" w:eastAsia="Times New Roman" w:cs="Times New Roman"/>
                <w:sz w:val="24"/>
              </w:rPr>
              <w:t>56.1%</w:t>
            </w:r>
          </w:p>
        </w:tc>
        <w:tc>
          <w:tcPr>
            <w:tcW w:w="1365" w:type="dxa"/>
          </w:tcPr>
          <w:p>
            <w:pPr>
              <w:pStyle w:val="Normal"/>
            </w:pPr>
            <w:r>
              <w:rPr>
                <w:szCs w:val="22"/>
                <w:lang w:val="en-US" w:eastAsia="en-US" w:bidi="ar-SA"/>
                <w:rFonts w:ascii="Times New Roman" w:hAnsi="Times New Roman" w:eastAsia="Times New Roman" w:cs="Times New Roman"/>
                <w:sz w:val="24"/>
              </w:rPr>
              <w:t>41.0–70.1%*</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Descriptive continued-play–intention difference, 65–80 band (Stage 3)</w:t>
            </w:r>
          </w:p>
        </w:tc>
        <w:tc>
          <w:tcPr>
            <w:tcW w:w="1290" w:type="dxa"/>
          </w:tcPr>
          <w:p>
            <w:pPr>
              <w:pStyle w:val="Normal"/>
            </w:pPr>
            <w:r>
              <w:rPr>
                <w:szCs w:val="22"/>
                <w:lang w:val="en-US" w:eastAsia="en-US" w:bidi="ar-SA"/>
                <w:rFonts w:ascii="Times New Roman" w:hAnsi="Times New Roman" w:eastAsia="Times New Roman" w:cs="Times New Roman"/>
                <w:sz w:val="24"/>
              </w:rPr>
              <w:t>29.3 pp</w:t>
            </w:r>
          </w:p>
        </w:tc>
        <w:tc>
          <w:tcPr>
            <w:tcW w:w="1365" w:type="dxa"/>
          </w:tcPr>
          <w:p>
            <w:pPr>
              <w:pStyle w:val="Normal"/>
            </w:pPr>
            <w:r>
              <w:rPr>
                <w:sz w:val="24"/>
                <w:szCs w:val="22"/>
                <w:lang w:val="en-US" w:eastAsia="en-US" w:bidi="ar-SA"/>
                <w:rFonts w:ascii="Times New Roman" w:hAnsi="Times New Roman" w:eastAsia="Times New Roman" w:cs="Times New Roman"/>
                <w:b/>
              </w:rPr>
              <w:t>see note</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Cs w:val="22"/>
                <w:lang w:val="en-US" w:eastAsia="en-US" w:bidi="ar-SA"/>
                <w:rFonts w:ascii="Times New Roman" w:hAnsi="Times New Roman" w:eastAsia="Times New Roman" w:cs="Times New Roman"/>
                <w:sz w:val="24"/>
              </w:rPr>
              <w:t>Difference between distinct outcomes (85.4% continued or resumed play and 56.1% stated intention); §6.8</w:t>
            </w:r>
          </w:p>
        </w:tc>
      </w:tr>
    </w:tbl>
    <w:p>
      <w:pPr>
        <w:pStyle w:val="Normal"/>
        <w:jc w:val="both"/>
      </w:pPr>
      <w:r>
        <w:rPr>
          <w:szCs w:val="22"/>
          <w:lang w:val="en-US" w:eastAsia="en-US" w:bidi="ar-SA"/>
          <w:rFonts w:ascii="Times New Roman" w:hAnsi="Times New Roman" w:eastAsia="Times New Roman" w:cs="Times New Roman"/>
          <w:sz w:val="24"/>
        </w:rP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29.3-percentage-point difference between continued or resumed play and stated intention compares distinct marginal measures; no individual-level transition or paired-effect interval is inferred without their joint cross-tabulation. Wilson intervals quantify binomial sampling uncertainty conditional on the model, not uncertainty arising from recruitment, setting or confounding. The reported inferential tests are exploratory and unadjusted; paired t and Wilcoxon analyses describe the same observations under different assumptions, rather than independent replications. The sustained subgroup is selected by engagement, so its paired change is not an intervention effect for all participants; the full-cohort unstandardised change is the broader descriptive anchor. The earlier motivational-orientation odds ratio has been withdrawn (§5.5). The Stage-2 rows with n = 30 and n = 21 include the one record that failed verification (S2-P015, a single-session participant retained with a sensitivity note; §5.5); the n = 9 sustained-participant row does not include it.</w:t>
      </w:r>
    </w:p>
    <w:p>
      <w:pPr>
        <w:pStyle w:val="Normal"/>
        <w:spacing w:after="0" w:line="276" w:lineRule="auto"/>
        <w:rPr>
          <w:rFonts w:asciiTheme="majorHAnsi" w:eastAsiaTheme="majorEastAsia" w:hAnsiTheme="majorHAnsi" w:cstheme="majorBidi"/>
          <w:b/>
          <w:bCs/>
          <w:color w:val="000000"/>
          <w:sz w:val="32"/>
          <w:szCs w:val="28"/>
        </w:rPr>
      </w:pPr>
      <w:bookmarkStart w:id="111" w:name="_Toc232024600"/>
      <w:r>
        <w:rPr>
          <w:rFonts w:asciiTheme="majorHAnsi" w:eastAsiaTheme="majorEastAsia" w:hAnsiTheme="majorHAnsi" w:cstheme="majorBidi"/>
          <w:b/>
          <w:color w:val="000000"/>
          <w:sz w:val="2"/>
          <w:szCs w:val="28"/>
        </w:rPr>
      </w:r>
    </w:p>
    <w:p>
      <w:pPr>
        <w:pStyle w:val="Heading2"/>
      </w:pPr>
      <w:r>
        <w:rPr>
          <w:color w:val="000000"/>
        </w:rPr>
        <w:t>6.12 The Expert Consultation Panel (March–September 2026)</w:t>
      </w:r>
    </w:p>
    <w:p>
      <w:pPr>
        <w:jc w:val="both"/>
      </w:pPr>
      <w:r>
        <w:t>The programme's fourth evidence activity comprised four senior-practitioner and researcher consultations between March and August 2026, extended by a follow-up second consultation in September 2026 under the arrangements described in §3.2 (records: Appendix H.1–H.8). The series overlapped the Stage-3 period and continued after it, so the panel is not collectively described as a post-Stage-3 exercise. Dr Yuan's consultation on the difference between continued play and stated intention is reported in §6.8A; the panel-wide analysis below records convergence, divergence and silence in the interpretations and design appraisals offered.</w:t>
      </w:r>
    </w:p>
    <w:p>
      <w:pPr>
        <w:jc w:val="both"/>
      </w:pPr>
      <w:r>
        <w:t>Three further consultations extend the interpretive appraisal across clinical-practice standpoints; their full records are in Appendix H.6-H.8, and the analysis below reports convergence, divergence and silence rather than agreement alone. Dr Philip Choy, drawing on a caseload of more than a thousand older adults with chronic disease, was asked the programme's definitional question directly - is the operative failure the game's, or the health result's? He agreed that the game itself does not cause the abandonment syndrome: it arises mainly from users' concerns about their own health performance, a pattern he described as very common among older adults who have acknowledged a principal health condition. This is a practice-based interpretation consistent with the proposed attribution account. Because the consultation presented the study's problem and sought an explanation, agreement is informed interpretive convergence rather than independent replication of the mechanism. He further located the adopting demographic - educated, financially independent adults from roughly 65-70 upward, engaging only once a concrete benefit is identified - and judged token reward economies insufficient for that segment.</w:t>
      </w:r>
    </w:p>
    <w:p>
      <w:pPr>
        <w:jc w:val="both"/>
      </w:pPr>
      <w:r>
        <w:t>Expert P, the panel's physiotherapist, contributed an abandonment window of two weeks to two months from post-surgical rehabilitation caseloads - an adjacent, clinically supervised population, cited here as analogy rather than corroboration of the FRA timing - together with three design observations: some assessments (balance, fall risk, cognition) cannot be simplified, motivating the proposed balance between informative assessment and manageable engagement in Chapter 7; games pitched too simply read as childish to older players; and, most distinctively, that higher-educated patients who are observed failing will probably stop immediately - he viewed witnessed failure as a stronger stopping trigger than failure alone, motivating future evaluation of privacy and supervision as separate design factors. In a dated follow-up (5 August 2026) he played a later touch-input version of the decoupled game (v2.3, repository-dated 2 August 2026), which was not one of the two builds distributed in Stage 3A, and judged it suitable for fall-risk assessment, stating he would return to it regularly were it installed - an appraisal of the artefact's perceived suitability and a stated regular-use intention. Playing the build provides direct experience of its interface, but the stated intention is not observed repeated use or clinical validation.</w:t>
      </w:r>
    </w:p>
    <w:p>
      <w:pPr>
        <w:jc w:val="both"/>
      </w:pPr>
      <w:r>
        <w:t>Dr Gary Lau's consultation bears on the framework's costliest element: coaching. In his account, coaching is always the best and most direct approach to sustaining rehabilitation - and it cannot scale: family involvement carries too high a social cost, and professional therapist resources are scarce. Together, these observations motivate the framework's coaching layer and investigation of whether AI-assisted support can extend access within available resources; its affordability, effectiveness and limits require evaluation. His diagnosis that current health technology offers no progressive, positive signs across a long, boring and lonely journey grounds the visible-trajectory element; and his stated position that technology should be embraced but not over-relied upon - care remaining people-centred - independently states the boundary this thesis draws for AI.</w:t>
      </w:r>
    </w:p>
    <w:p>
      <w:pPr>
        <w:jc w:val="both"/>
      </w:pPr>
      <w:r>
        <w:rPr/>
        <w:t xml:space="preserve">A second consultation with Dr Lau followed in September 2026 (approximately thirty minutes, Cantonese and English, audio-recorded), joined by his doctoral researcher in rehabilitation technology. It extended the record on four fronts. First, both visitors described, from their own practice, the pattern this thesis reads as verdict fear: patients who decline even free assessments because they prefer not to know, and older adults who become anxious and score-focused the moment an activity is framed as being about their body - pressure created by the framing, not the task. Second, Dr Lau supplied design requirements from clinical experience: information overload is itself a barrier ('the simpler, the better'); reporting for older adults should say healthy-or-not and when to see a doctor rather than exposing indices ('less is more'); guidance must be actionable - dynamic risk with small achievable goals - and must come from a messenger the person trusts. He also pointed to a Hong Kong product screening cognition through mahjong and calligraphy as a strong exemplar of assessment embedded in culturally familiar play. Third, the doctoral researcher articulated, unprompted, the self-referenced baseline: with no pass/fail standard, the player measures progress against their own earlier play - an independent statement of the learning-trajectory appraisal this thesis formalises (§7.3) - while also insisting that game-derived assessment requires validation against therapist-administered instruments before any accuracy claim. Fourth, when the author relayed Dr Yuan's group-play observation (§6.8A), both visitors endorsed it from their own experience - a cross-panel convergence on group play as the stronger engagement form. </w:t>
      </w:r>
      <w:r>
        <w:rPr/>
        <w:t>Record status at 30 September 2026: the consultation is audio-recorded and transcribed (transcript dated 7 September 2026; Appendix H.6); a member-check form was issued on 7 September 2026 and no response was on file; the doctoral researcher is reported pseudonymously, no attribution election having been received; Dr Lau's remarks on a product under development are withheld in the absence of his sensitivity election; his own feedback from playing the game is not reported.</w:t>
      </w:r>
    </w:p>
    <w:p>
      <w:pPr>
        <w:jc w:val="both"/>
      </w:pPr>
      <w:r>
        <w:t>The analysis records its own limits. The explicit verdict-attribution interpretation rests on Dr Choy alone - the question was not put to the other experts. Dr Choy's and Expert P's observations share a private-practice sampling frame, and their convergence on the adopter demographic is weighted accordingly. Expert P's abandonment window derives from medically necessary, supervised rehabilitation rather than voluntary preventive assessment. And Dr Lau's honest uncertainty - whether games can change patients' minds and behaviour, he cannot yet be sure - is reported as his position, not resolved away. Expert views contextualise the behavioural evidence; they are not evidence for the hypotheses.</w:t>
      </w:r>
    </w:p>
    <w:p>
      <w:pPr>
        <w:pStyle w:val="Heading1"/>
        <w:pageBreakBefore/>
      </w:pPr>
      <w:bookmarkEnd w:id="111"/>
      <w:r>
        <w:rPr>
          <w:lang w:val="en-US" w:eastAsia="en-US" w:bidi="ar-SA"/>
          <w:color w:val="000000"/>
          <w:szCs w:val="22"/>
        </w:rPr>
        <w:t>Chapter 7 Discussion of Gamification and Adaptive Improvement</w:t>
      </w:r>
    </w:p>
    <w:p>
      <w:pPr>
        <w:pStyle w:val="Heading2"/>
      </w:pPr>
      <w:r>
        <w:rPr>
          <w:lang w:val="en-US" w:eastAsia="en-US" w:bidi="ar-SA"/>
          <w:color w:val="000000"/>
          <w:szCs w:val="22"/>
        </w:rPr>
        <w:t>7.1 From Engagement Difficulty to a Testable Adaptive Response</w:t>
      </w:r>
    </w:p>
    <w:p>
      <w:pPr>
        <w:pStyle w:val="Normal"/>
        <w:jc w:val="both"/>
      </w:pPr>
      <w:r>
        <w:rPr>
          <w:szCs w:val="22"/>
          <w:lang w:val="en-US" w:eastAsia="en-US" w:bidi="ar-SA"/>
          <w:rFonts w:ascii="Times New Roman" w:hAnsi="Times New Roman" w:eastAsia="Times New Roman" w:cs="Times New Roman"/>
          <w:sz w:val="24"/>
        </w:rPr>
        <w:t>The empirical programme exposed two practical difficulties: substantial non-return in the coupled deployment, and a difference between continued or resumed play and stated regular-use intention in the decoupled cohort. These observations identify unresolved design needs; they do not uniquely identify adaptive learning as the solution. The proposed response retains gamification as the setting for participation and feedback, while adding mechanisms for interpreting difficulty, adjusting the next task and evaluating whether the adjustment helps. Clinical reattachment remains a separate question because an engaging game is not automatically an acceptable or effective assessment service. This chapter therefore specifies a candidate adaptive response and the evidence required to judge improvement at both participant and system levels.</w:t>
      </w:r>
    </w:p>
    <w:p>
      <w:pPr>
        <w:pStyle w:val="Normal"/>
        <w:jc w:val="both"/>
      </w:pPr>
      <w:r>
        <w:rPr>
          <w:szCs w:val="22"/>
          <w:lang w:val="en-US" w:eastAsia="en-US" w:bidi="ar-SA"/>
          <w:rFonts w:ascii="Times New Roman" w:hAnsi="Times New Roman" w:eastAsia="Times New Roman" w:cs="Times New Roman"/>
          <w:sz w:val="24"/>
        </w:rPr>
        <w:t>The design argument proceeds from observation to proposition. First, the decoupling comparison motivates attention to the meaning participants attach to the activity, although it does not isolate a framing effect. Second, repeated-use intentions suggest that an acceptable encounter may still lack sufficient value for ongoing participation. Third, learning-oriented feedback and calibrated challenge offer a theoretically informed way to address that design problem. Their benefit must be tested against alternatives such as simpler tasks, social support, reduced burden or improved access. The framework is valuable only if it makes these claims more testable and its outcomes more interpretable.</w:t>
      </w:r>
    </w:p>
    <w:p>
      <w:pPr>
        <w:pStyle w:val="Heading2"/>
      </w:pPr>
      <w:bookmarkStart w:id="112" w:name="_Toc232024602"/>
      <w:r>
        <w:rPr>
          <w:lang w:val="en-US" w:eastAsia="en-US" w:bidi="ar-SA"/>
          <w:color w:val="000000"/>
          <w:szCs w:val="22"/>
        </w:rPr>
        <w:t>7.2 Adaptive Learning in the Gamification Literature</w:t>
      </w:r>
      <w:bookmarkEnd w:id="112"/>
    </w:p>
    <w:p>
      <w:pPr>
        <w:pStyle w:val="Normal"/>
        <w:jc w:val="both"/>
      </w:pPr>
      <w:r>
        <w:rPr>
          <w:szCs w:val="22"/>
          <w:lang w:val="en-US" w:eastAsia="en-US" w:bidi="ar-SA"/>
          <w:rFonts w:ascii="Times New Roman" w:hAnsi="Times New Roman" w:eastAsia="Times New Roman" w:cs="Times New Roman"/>
          <w:sz w:val="24"/>
        </w:rPr>
        <w:t>Adaptive learning is established in educational technology and intelligent tutoring systems (VanLehn, 2011). Ageing-HCI research highlights the importance of suitable interaction demands and support (Hawthorn, 2007; Lee &amp; Coughlin, 2015). Flow theory, scaffolded learning and productive failure provide reasons to examine challenge, feedback and opportunities to revisit difficulty (Csikszentmihalyi, 1990; Vygotsky, 1978; Kapur, 2008). These literatures motivate the present design; they do not demonstrate its effect in gamified FRA. Immediate performance under assistance must also be distinguished from learning that persists or transfers (Soderstrom &amp; Bjork, 2015). A credible trajectory can therefore include stable performance, setbacks and uncertain change, rather than a required upward curve.</w:t>
      </w:r>
    </w:p>
    <w:p>
      <w:pPr>
        <w:pStyle w:val="Normal"/>
        <w:jc w:val="both"/>
      </w:pPr>
      <w:r>
        <w:rPr>
          <w:szCs w:val="22"/>
          <w:lang w:val="en-US" w:eastAsia="en-US" w:bidi="ar-SA"/>
          <w:rFonts w:ascii="Times New Roman" w:hAnsi="Times New Roman" w:eastAsia="Times New Roman" w:cs="Times New Roman"/>
          <w:sz w:val="24"/>
        </w:rPr>
        <w:t>The Stage-2 description specifies a difficulty-adjustment loop (§5.3.5); its operational status in the deployed build is not documented in the retained record (Appendix G, item G.0A), and no operational claim is made for it. The 80%/40% rule is a design heuristic for changing challenge, not a validated measure that a participant remained in a flow state. Nor does the presence of that rule establish that the complete adaptive-learning framework was evaluated. The proposed trajectory layer adds an interpretive interface, while the prospective evaluation must separately examine adaptation fidelity, comprehension, task performance and subsequent voluntary use.</w:t>
      </w:r>
    </w:p>
    <w:p>
      <w:pPr>
        <w:pStyle w:val="Heading2"/>
      </w:pPr>
      <w:r>
        <w:rPr>
          <w:lang w:val="en-US" w:eastAsia="en-US" w:bidi="ar-SA"/>
          <w:color w:val="000000"/>
          <w:szCs w:val="22"/>
        </w:rPr>
        <w:t>7.3 Endowment-Protective and Learning-Trajectory Appraisals as Competing Design Regimes</w:t>
      </w:r>
    </w:p>
    <w:p>
      <w:pPr>
        <w:pStyle w:val="Normal"/>
        <w:jc w:val="both"/>
      </w:pPr>
      <w:r>
        <w:rPr>
          <w:szCs w:val="22"/>
          <w:lang w:val="en-US" w:eastAsia="en-US" w:bidi="ar-SA"/>
          <w:rFonts w:ascii="Times New Roman" w:hAnsi="Times New Roman" w:eastAsia="Times New Roman" w:cs="Times New Roman"/>
          <w:sz w:val="24"/>
        </w:rPr>
        <w:t>The thesis proposes that an identity-protective appraisal and a learning-oriented appraisal may give different meanings to an unfavourable result. The former may emphasise a threatened self-description; the latter may emphasise current task demands and possible next actions. These interpretations can coexist. The design objective is to support a credible learning interpretation without suppressing accurate information, meaningful challenge or user choice. Whether this changes appraisal and reduces non-return remains an empirical question for a controlled evaluation of the framework.</w:t>
      </w:r>
    </w:p>
    <w:p>
      <w:pPr>
        <w:pStyle w:val="Normal"/>
        <w:jc w:val="both"/>
      </w:pPr>
      <w:r>
        <w:rPr>
          <w:szCs w:val="22"/>
          <w:lang w:val="en-US" w:eastAsia="en-US" w:bidi="ar-SA"/>
          <w:rFonts w:ascii="Times New Roman" w:hAnsi="Times New Roman" w:eastAsia="Times New Roman" w:cs="Times New Roman"/>
          <w:sz w:val="24"/>
        </w:rP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pPr>
        <w:pStyle w:val="Heading2"/>
      </w:pPr>
      <w:bookmarkStart w:id="113" w:name="_Toc232024604"/>
      <w:bookmarkEnd w:id="113"/>
      <w:r>
        <w:rPr>
          <w:lang w:val="en-US" w:eastAsia="en-US" w:bidi="ar-SA"/>
          <w:color w:val="000000"/>
          <w:szCs w:val="22"/>
        </w:rPr>
        <w:t>7.4 Formalising the Proposed Adaptive Learning Framework</w:t>
      </w:r>
    </w:p>
    <w:p>
      <w:pPr>
        <w:pStyle w:val="Normal"/>
        <w:jc w:val="both"/>
      </w:pPr>
      <w:commentRangeStart w:id="3"/>
      <w:r>
        <w:rPr>
          <w:szCs w:val="22"/>
          <w:lang w:val="en-US" w:eastAsia="en-US" w:bidi="ar-SA"/>
          <w:rFonts w:ascii="Times New Roman" w:hAnsi="Times New Roman" w:eastAsia="Times New Roman" w:cs="Times New Roman"/>
          <w:sz w:val="24"/>
        </w:rPr>
        <w:t>The adaptive-learning framework translates the field observations and learning literature into three proposed design principles for gamified FRA. P1, Identity Disentanglement, reduces unnecessary evaluative cues while retaining accurate disclosure of purpose. P2, Trajectory Installation, presents interpretable change and the next task without requiring an upward trend. P3, Adaptive Calibration, adjusts challenge, feedback and pacing within defined limits. P1 is motivated by the Stage-3 association, not established as its cause. P2 responds to a need for credible continuing value, not a demonstrated cause of the difference between continued play and stated intention. P3 extends the partial difficulty adaptation described in Stage 2, whose independent effect was not tested. Non-terminal game states are a supporting design option: they can offer another action after difficulty without erasing failure or guaranteeing success.</w:t>
      </w:r>
      <w:commentRangeEnd w:id="3"/>
      <w:r>
        <w:rPr>
          <w:rStyle w:val="CommentReference"/>
        </w:rPr>
        <w:commentReference w:id="3"/>
      </w:r>
    </w:p>
    <w:p>
      <w:pPr>
        <w:pStyle w:val="Normal"/>
        <w:jc w:val="both"/>
      </w:pPr>
      <w:r>
        <w:rPr>
          <w:szCs w:val="22"/>
          <w:lang w:val="en-US" w:eastAsia="en-US" w:bidi="ar-SA"/>
          <w:rFonts w:ascii="Times New Roman" w:hAnsi="Times New Roman" w:eastAsia="Times New Roman" w:cs="Times New Roman"/>
          <w:sz w:val="24"/>
        </w:rPr>
        <w:t>These principles organise selected intervention points in a candidate appraisal process: task conditions influence the event encountered, feedback influences its interpretation, and framing may influence its personal significance. This is a useful design decomposition rather than proof that exactly three principles are necessary or sufficient. Social support, access, fatigue management and other factors may contribute independently or interact with them. The present evidence justifies evaluating these principles together and separately; it does not establish an exhaustive architecture or rule out a simpler response.</w:t>
      </w:r>
    </w:p>
    <w:p>
      <w:pPr>
        <w:jc w:val="both"/>
      </w:pPr>
      <w:r>
        <w:t>Why exactly three principles, and not two or four? The number and identity of the principles follow from the structure of the failure-appraisal chain that the FIAS account hypothesises, which is what makes them one framework rather than three recommendations. A failure event acquires behavioural force in three steps: an event is generated (a fall in the game, a low score); the event is read within a frame (as a verdict on a fixed state, or as a point on a moving curve); and the reading lands on a target (an identity-level asset, or a revisable skill estimate). Each principle intercepts exactly one link. Adaptive calibration (P3) governs the event link: it controls the rate, size and timing of failure events so that difficulty tracks capability. Trajectory installation (P2) governs the frame link: it supplies the moving-curve reading under which a failure is informative rather than conclusive. Identity disentanglement (P1) governs the target link: it detaches the reading from the identity-level asset that endowment protects. Fewer than three principles would leave a link untreated, and the field record is consistent with — though it cannot demonstrate — the cost of doing so: the Stage-2 build already specified a partial calibration rule (the 80%/40% heuristic, §5.3.5; its operational status in the deployed build is not documented, Appendix G, item G.0A), yet non-return occurred while the frame and target links were untreated; and the Stage-3 package addressed the target link — not alone, but within a multi-component redesign that simultaneously changed platform, setting, supervision and cohort (§6.3) — and was associated with observed post-failure return while leaving the commitment gap open. Neither observation isolates any single link's causal contribution. More than three could be adopted; in the decomposition adopted here the candidate additions the programme considered — zero-failure presentation, social scaffolding, reward scheduling — are treated as presentation-layer or parameter choices within the three links, which is why non-terminal (zero-failure) presentation is treated in this section as a supporting design option within the three principles (§2.6.2C) rather than as a fourth principle. This is a choice of organisation, not a demonstration that a further principle would be redundant: social support, for example, may change opportunity, practical assistance, enjoyment and appraisal at once, and a design that treats it as a fourth lever is compatible with the observations. The framework is offered as jointly covering the appraisal chain as this programme has mapped it - a design claim about coverage of the observed chain, not a claim of empirical exhaustiveness or unique necessity - with the principles individually non-redundant within that selected decomposition (a property of the chosen mapping, not an empirically demonstrated necessity), and anchored link by link to the observed failure modes.</w:t>
      </w:r>
    </w:p>
    <w:p>
      <w:pPr>
        <w:pStyle w:val="FigureCaption"/>
        <w:keepNext/>
        <w:keepLines/>
        <w:jc w:val="center"/>
      </w:pPr>
      <w:bookmarkStart w:id="114" w:name="_Toc232024705"/>
      <w:r>
        <w:rPr>
          <w:sz w:val="24"/>
          <w:szCs w:val="22"/>
          <w:lang w:val="en-US" w:eastAsia="en-US" w:bidi="ar-SA"/>
          <w:rFonts w:ascii="Times New Roman" w:hAnsi="Times New Roman" w:eastAsia="Times New Roman" w:cs="Times New Roman"/>
          <w:i/>
          <w:b/>
        </w:rPr>
        <w:t>Table 7.1. Adaptive-learning principles, function and empirical anchor.</w:t>
      </w:r>
      <w:bookmarkEnd w:id="114"/>
    </w:p>
    <w:tbl>
      <w:tblPr>
        <w:tblStyle w:val="TableGrid"/>
        <w:tblW w:w="8505" w:type="dxa"/>
        <w:jc w:val="center"/>
        <w:tblLayout w:type="fixed"/>
        <w:tblLook w:val="04A0" w:firstRow="1" w:lastRow="0" w:firstColumn="1" w:lastColumn="0" w:noHBand="0" w:noVBand="1"/>
      </w:tblPr>
      <w:tblGrid>
        <w:gridCol w:w="1909"/>
        <w:gridCol w:w="3313"/>
        <w:gridCol w:w="3283"/>
      </w:tblGrid>
      <w:tr>
        <w:trPr>
          <w:jc w:val="center"/>
          <w:tblHeader/>
          <w:cantSplit/>
        </w:trPr>
        <w:tc>
          <w:tcPr>
            <w:tcW w:w="1909"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3313" w:type="dxa"/>
          </w:tcPr>
          <w:p>
            <w:pPr>
              <w:pStyle w:val="Normal"/>
              <w:keepNext w:val="0"/>
              <w:keepLines/>
            </w:pPr>
            <w:r>
              <w:rPr>
                <w:b/>
                <w:sz w:val="18"/>
                <w:szCs w:val="22"/>
                <w:lang w:val="en-US" w:eastAsia="en-US" w:bidi="ar-SA"/>
                <w:rFonts w:ascii="Times New Roman" w:hAnsi="Times New Roman" w:eastAsia="Times New Roman" w:cs="Times New Roman"/>
              </w:rPr>
              <w:t>Proposed function</w:t>
            </w:r>
          </w:p>
        </w:tc>
        <w:tc>
          <w:tcPr>
            <w:tcW w:w="3283" w:type="dxa"/>
          </w:tcPr>
          <w:p>
            <w:pPr>
              <w:pStyle w:val="Normal"/>
              <w:keepNext w:val="0"/>
              <w:keepLines/>
            </w:pPr>
            <w:r>
              <w:rPr>
                <w:b/>
                <w:sz w:val="18"/>
                <w:szCs w:val="22"/>
                <w:lang w:val="en-US" w:eastAsia="en-US" w:bidi="ar-SA"/>
                <w:rFonts w:ascii="Times New Roman" w:hAnsi="Times New Roman" w:eastAsia="Times New Roman" w:cs="Times New Roman"/>
              </w:rPr>
              <w:t>Rationale and evidential status</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P1 Identity Disentanglement</w:t>
            </w:r>
          </w:p>
        </w:tc>
        <w:tc>
          <w:tcPr>
            <w:tcW w:w="3313" w:type="dxa"/>
          </w:tcPr>
          <w:p>
            <w:pPr>
              <w:pStyle w:val="Normal"/>
            </w:pPr>
            <w:r>
              <w:rPr>
                <w:sz w:val="24"/>
                <w:szCs w:val="22"/>
                <w:lang w:val="en-US" w:eastAsia="en-US" w:bidi="ar-SA"/>
                <w:rFonts w:ascii="Times New Roman" w:hAnsi="Times New Roman" w:eastAsia="Times New Roman" w:cs="Times New Roman"/>
              </w:rPr>
              <w:t>Reduce unnecessary verdict-like cues while preserving truthful clinical information</w:t>
            </w:r>
          </w:p>
        </w:tc>
        <w:tc>
          <w:tcPr>
            <w:tcW w:w="3283" w:type="dxa"/>
          </w:tcPr>
          <w:p>
            <w:pPr>
              <w:pStyle w:val="Normal"/>
            </w:pPr>
            <w:r>
              <w:rPr>
                <w:szCs w:val="22"/>
                <w:lang w:val="en-US" w:eastAsia="en-US" w:bidi="ar-SA"/>
                <w:rFonts w:ascii="Times New Roman" w:hAnsi="Times New Roman" w:eastAsia="Times New Roman" w:cs="Times New Roman"/>
                <w:sz w:val="24"/>
              </w:rPr>
              <w:t>Motivated by the separate Stage-3 package/context comparison; framing effect not isolated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P2 Trajectory Installation</w:t>
            </w:r>
          </w:p>
        </w:tc>
        <w:tc>
          <w:tcPr>
            <w:tcW w:w="3313" w:type="dxa"/>
          </w:tcPr>
          <w:p>
            <w:pPr>
              <w:pStyle w:val="Normal"/>
            </w:pPr>
            <w:r>
              <w:rPr>
                <w:sz w:val="24"/>
                <w:szCs w:val="22"/>
                <w:lang w:val="en-US" w:eastAsia="en-US" w:bidi="ar-SA"/>
                <w:rFonts w:ascii="Times New Roman" w:hAnsi="Times New Roman" w:eastAsia="Times New Roman" w:cs="Times New Roman"/>
              </w:rPr>
              <w:t>Display participation and condition-specific performance separately; support comparison only where justified</w:t>
            </w:r>
          </w:p>
        </w:tc>
        <w:tc>
          <w:tcPr>
            <w:tcW w:w="3283" w:type="dxa"/>
          </w:tcPr>
          <w:p>
            <w:pPr>
              <w:pStyle w:val="Normal"/>
            </w:pPr>
            <w:r>
              <w:rPr>
                <w:szCs w:val="22"/>
                <w:lang w:val="en-US" w:eastAsia="en-US" w:bidi="ar-SA"/>
                <w:rFonts w:ascii="Times New Roman" w:hAnsi="Times New Roman" w:eastAsia="Times New Roman" w:cs="Times New Roman"/>
                <w:sz w:val="24"/>
              </w:rPr>
              <w:t>Motivated by the descriptive difference between continued play and stated intention and learning literature; effect untested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P3 Adaptive Calibration</w:t>
            </w:r>
          </w:p>
        </w:tc>
        <w:tc>
          <w:tcPr>
            <w:tcW w:w="3313" w:type="dxa"/>
          </w:tcPr>
          <w:p>
            <w:pPr>
              <w:pStyle w:val="Normal"/>
            </w:pPr>
            <w:r>
              <w:rPr>
                <w:sz w:val="24"/>
                <w:szCs w:val="22"/>
                <w:lang w:val="en-US" w:eastAsia="en-US" w:bidi="ar-SA"/>
                <w:rFonts w:ascii="Times New Roman" w:hAnsi="Times New Roman" w:eastAsia="Times New Roman" w:cs="Times New Roman"/>
              </w:rPr>
              <w:t>Adjust challenge, support and pacing within defined limits while recording each change</w:t>
            </w:r>
          </w:p>
        </w:tc>
        <w:tc>
          <w:tcPr>
            <w:tcW w:w="3283" w:type="dxa"/>
          </w:tcPr>
          <w:p>
            <w:pPr>
              <w:pStyle w:val="Normal"/>
            </w:pPr>
            <w:r>
              <w:rPr>
                <w:szCs w:val="22"/>
                <w:lang w:val="en-US" w:eastAsia="en-US" w:bidi="ar-SA"/>
                <w:rFonts w:ascii="Times New Roman" w:hAnsi="Times New Roman" w:eastAsia="Times New Roman" w:cs="Times New Roman"/>
                <w:sz w:val="24"/>
              </w:rPr>
              <w:t>Partial difficulty adaptation specified for Stage 2 (operational status per build in item G.0A); Stage-3B adaptive arm fielded as a support package (difficulty plus coaching) and reported descriptively (§8.8); complete principle untested</w:t>
            </w:r>
          </w:p>
        </w:tc>
      </w:tr>
    </w:tbl>
    <w:p>
      <w:pPr>
        <w:pStyle w:val="Normal"/>
        <w:spacing w:after="40"/>
        <w:jc w:val="both"/>
      </w:pPr>
      <w:r>
        <w:rPr>
          <w:szCs w:val="22"/>
          <w:lang w:val="en-US" w:eastAsia="en-US" w:bidi="ar-SA"/>
          <w:rFonts w:ascii="Times New Roman" w:hAnsi="Times New Roman" w:eastAsia="Times New Roman" w:cs="Times New Roman"/>
          <w:sz w:val="24"/>
        </w:rPr>
        <w:t>Status of the framework: The adaptive-learning framework is an engineering specification derived from the empirical programme and relevant learning theory. It should be evaluated as a package and by component in a publicly preregistered, within-cohort trial with common follow-up, process measures and implementation-fidelity checks. The Stage-3B component study (§8.8) was pre-specified (repository-dated 8–9 August 2026) and fielded as a first step in that direction; to the 30 September 2026 cut-off it is reported as a descriptive record and is not used as a test of the framework, because the learning measurement carried in its build was not articulated to the adaptive-learning construct: immediate task performance under assistance is not durable learning.</w:t>
      </w:r>
    </w:p>
    <w:p>
      <w:pPr>
        <w:pStyle w:val="Heading2"/>
      </w:pPr>
      <w:bookmarkStart w:id="115" w:name="_Toc232024605"/>
      <w:bookmarkEnd w:id="115"/>
      <w:r>
        <w:rPr>
          <w:lang w:val="en-US" w:eastAsia="en-US" w:bidi="ar-SA"/>
          <w:color w:val="000000"/>
          <w:szCs w:val="22"/>
        </w:rPr>
        <w:t>7.5 Proposed Reference Architecture and Progress Representation</w:t>
      </w:r>
    </w:p>
    <w:p>
      <w:pPr>
        <w:pStyle w:val="Normal"/>
        <w:jc w:val="both"/>
      </w:pPr>
      <w:r>
        <w:rPr>
          <w:szCs w:val="22"/>
          <w:lang w:val="en-US" w:eastAsia="en-US" w:bidi="ar-SA"/>
          <w:rFonts w:ascii="Times New Roman" w:hAnsi="Times New Roman" w:eastAsia="Times New Roman" w:cs="Times New Roman"/>
          <w:sz w:val="24"/>
        </w:rPr>
        <w:t>The reference architecture specifies how a future implementation could connect the gamified activity, bounded adaptation, truthful feedback and evaluation. It draws on the Stage-2 system description but is a prospective configuration, not a retrospective claim that every component was deployed or logged. Table 7.2 describes functional responsibilities. Implementation-specific provenance — dates, code version, hardware, input devices, adaptation mechanism and logging capability versus retained logs for each build generation — is stated in the build-lineage matrix (Appendix G, item G.0A); Table 7.2 states prospective implementation requirements only and makes no hardware claim for any deployed build.</w:t>
      </w:r>
    </w:p>
    <w:p>
      <w:pPr>
        <w:pStyle w:val="Heading3"/>
      </w:pPr>
      <w:bookmarkStart w:id="116" w:name="_Toc232024606"/>
      <w:r>
        <w:rPr>
          <w:color w:val="000000"/>
          <w:szCs w:val="26"/>
          <w:lang w:val="en-US" w:eastAsia="en-US" w:bidi="ar-SA"/>
        </w:rPr>
        <w:t>7.5.1 Reference Stack</w:t>
      </w:r>
      <w:bookmarkEnd w:id="116"/>
    </w:p>
    <w:p>
      <w:pPr>
        <w:pStyle w:val="FigureCaption"/>
        <w:keepNext/>
        <w:keepLines/>
        <w:jc w:val="center"/>
      </w:pPr>
      <w:bookmarkStart w:id="117" w:name="_Toc232024706"/>
      <w:r>
        <w:rPr>
          <w:sz w:val="24"/>
          <w:szCs w:val="22"/>
          <w:lang w:val="en-US" w:eastAsia="en-US" w:bidi="ar-SA"/>
          <w:rFonts w:ascii="Times New Roman" w:hAnsi="Times New Roman" w:eastAsia="Times New Roman" w:cs="Times New Roman"/>
          <w:i/>
          <w:b/>
        </w:rPr>
        <w:t>Table 7.2. Adaptive-learning reference stack (L0–L7) mapped to adaptive-learning principles.</w:t>
      </w:r>
      <w:bookmarkEnd w:id="117"/>
    </w:p>
    <w:tbl>
      <w:tblPr>
        <w:tblStyle w:val="TableGrid"/>
        <w:tblW w:w="8505" w:type="dxa"/>
        <w:jc w:val="center"/>
        <w:tblLayout w:type="fixed"/>
        <w:tblLook w:val="04A0" w:firstRow="1" w:lastRow="0" w:firstColumn="1" w:lastColumn="0" w:noHBand="0" w:noVBand="1"/>
      </w:tblPr>
      <w:tblGrid>
        <w:gridCol w:w="1629"/>
        <w:gridCol w:w="3111"/>
        <w:gridCol w:w="1086"/>
        <w:gridCol w:w="2679"/>
      </w:tblGrid>
      <w:tr w:rsidR="0062437E" w14:paraId="092B7E61" w14:textId="77777777" w:rsidTr="00FD5D21">
        <w:trPr>
          <w:jc w:val="center"/>
          <w:tblHeader/>
          <w:cantSplit/>
        </w:trPr>
        <w:tc>
          <w:tcPr>
            <w:tcW w:w="1629" w:type="dxa"/>
          </w:tcPr>
          <w:p>
            <w:pPr>
              <w:pStyle w:val="Normal"/>
              <w:keepNext w:val="0"/>
              <w:keepLines/>
            </w:pPr>
            <w:r>
              <w:rPr>
                <w:szCs w:val="22"/>
                <w:lang w:val="en-US" w:eastAsia="en-US" w:bidi="ar-SA"/>
                <w:rFonts w:ascii="Times New Roman" w:hAnsi="Times New Roman" w:eastAsia="Times New Roman" w:cs="Times New Roman"/>
                <w:b/>
                <w:sz w:val="18"/>
              </w:rPr>
              <w:t>Layer</w:t>
            </w:r>
          </w:p>
        </w:tc>
        <w:tc>
          <w:tcPr>
            <w:tcW w:w="3111" w:type="dxa"/>
          </w:tcPr>
          <w:p>
            <w:pPr>
              <w:pStyle w:val="Normal"/>
              <w:keepNext w:val="0"/>
              <w:keepLines/>
            </w:pPr>
            <w:r>
              <w:rPr>
                <w:b/>
                <w:sz w:val="18"/>
                <w:szCs w:val="22"/>
                <w:lang w:val="en-US" w:eastAsia="en-US" w:bidi="ar-SA"/>
                <w:rFonts w:ascii="Times New Roman" w:hAnsi="Times New Roman" w:eastAsia="Times New Roman" w:cs="Times New Roman"/>
              </w:rPr>
              <w:t>Proposed component</w:t>
            </w:r>
          </w:p>
        </w:tc>
        <w:tc>
          <w:tcPr>
            <w:tcW w:w="1086"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2679" w:type="dxa"/>
          </w:tcPr>
          <w:p>
            <w:pPr>
              <w:pStyle w:val="Normal"/>
              <w:keepNext w:val="0"/>
              <w:keepLines/>
            </w:pPr>
            <w:r>
              <w:rPr>
                <w:b/>
                <w:sz w:val="18"/>
                <w:szCs w:val="22"/>
                <w:lang w:val="en-US" w:eastAsia="en-US" w:bidi="ar-SA"/>
                <w:rFonts w:ascii="Times New Roman" w:hAnsi="Times New Roman" w:eastAsia="Times New Roman" w:cs="Times New Roman"/>
              </w:rPr>
              <w:t>Prospective implementation requirement</w:t>
            </w:r>
          </w:p>
        </w:tc>
      </w:tr>
      <w:tr w:rsidR="0062437E" w14:paraId="15D407AF"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L0 Input</w:t>
            </w:r>
          </w:p>
        </w:tc>
        <w:tc>
          <w:tcPr>
            <w:tcW w:w="3111" w:type="dxa"/>
          </w:tcPr>
          <w:p>
            <w:pPr>
              <w:pStyle w:val="Normal"/>
            </w:pPr>
            <w:r>
              <w:rPr>
                <w:sz w:val="20"/>
                <w:szCs w:val="22"/>
                <w:lang w:val="en-US" w:eastAsia="en-US" w:bidi="ar-SA"/>
                <w:rFonts w:ascii="Times New Roman" w:hAnsi="Times New Roman" w:eastAsia="Times New Roman" w:cs="Times New Roman"/>
              </w:rPr>
              <w:t>Validated input appropriate to the deployment</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Specify modality; do not treat Stage-2 and Stage-3 inputs as identical.</w:t>
            </w:r>
          </w:p>
        </w:tc>
      </w:tr>
      <w:tr w:rsidR="0062437E" w14:paraId="4A27D47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L1 Game</w:t>
            </w:r>
          </w:p>
        </w:tc>
        <w:tc>
          <w:tcPr>
            <w:tcW w:w="3111" w:type="dxa"/>
          </w:tcPr>
          <w:p>
            <w:pPr>
              <w:pStyle w:val="Normal"/>
            </w:pPr>
            <w:r>
              <w:rPr>
                <w:sz w:val="20"/>
                <w:szCs w:val="22"/>
                <w:lang w:val="en-US" w:eastAsia="en-US" w:bidi="ar-SA"/>
                <w:rFonts w:ascii="Times New Roman" w:hAnsi="Times New Roman" w:eastAsia="Times New Roman" w:cs="Times New Roman"/>
              </w:rPr>
              <w:t>Versioned task and scoring rules</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Retain the configuration needed to interpret each performance observation.</w:t>
            </w:r>
          </w:p>
        </w:tc>
      </w:tr>
      <w:tr w:rsidR="0062437E" w14:paraId="6EA12EA5"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L2 Adaptation</w:t>
            </w:r>
          </w:p>
        </w:tc>
        <w:tc>
          <w:tcPr>
            <w:tcW w:w="3111" w:type="dxa"/>
          </w:tcPr>
          <w:p>
            <w:pPr>
              <w:pStyle w:val="Normal"/>
            </w:pPr>
            <w:r>
              <w:rPr>
                <w:sz w:val="20"/>
                <w:szCs w:val="22"/>
                <w:lang w:val="en-US" w:eastAsia="en-US" w:bidi="ar-SA"/>
                <w:rFonts w:ascii="Times New Roman" w:hAnsi="Times New Roman" w:eastAsia="Times New Roman" w:cs="Times New Roman"/>
              </w:rPr>
              <w:t>Bounded challenge, pacing and assistance policy</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Log decisions and limits; verify fallback behaviour and fidelity.</w:t>
            </w:r>
          </w:p>
        </w:tc>
      </w:tr>
      <w:tr w:rsidR="0062437E" w14:paraId="09D406A7"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L3 Records</w:t>
            </w:r>
          </w:p>
        </w:tc>
        <w:tc>
          <w:tcPr>
            <w:tcW w:w="3111" w:type="dxa"/>
          </w:tcPr>
          <w:p>
            <w:pPr>
              <w:pStyle w:val="Normal"/>
            </w:pPr>
            <w:r>
              <w:rPr>
                <w:sz w:val="20"/>
                <w:szCs w:val="22"/>
                <w:lang w:val="en-US" w:eastAsia="en-US" w:bidi="ar-SA"/>
                <w:rFonts w:ascii="Times New Roman" w:hAnsi="Times New Roman" w:eastAsia="Times New Roman" w:cs="Times New Roman"/>
              </w:rPr>
              <w:t>Task conditions, assistance, version and outcomes</w:t>
            </w:r>
          </w:p>
        </w:tc>
        <w:tc>
          <w:tcPr>
            <w:tcW w:w="1086" w:type="dxa"/>
          </w:tcPr>
          <w:p>
            <w:pPr>
              <w:pStyle w:val="Normal"/>
            </w:pPr>
            <w:r>
              <w:rPr>
                <w:sz w:val="20"/>
                <w:szCs w:val="22"/>
                <w:lang w:val="en-US" w:eastAsia="en-US" w:bidi="ar-SA"/>
                <w:rFonts w:ascii="Times New Roman" w:hAnsi="Times New Roman" w:eastAsia="Times New Roman" w:cs="Times New Roman"/>
              </w:rPr>
              <w:t>P2/P3</w:t>
            </w:r>
          </w:p>
        </w:tc>
        <w:tc>
          <w:tcPr>
            <w:tcW w:w="2679" w:type="dxa"/>
          </w:tcPr>
          <w:p>
            <w:pPr>
              <w:pStyle w:val="Normal"/>
            </w:pPr>
            <w:r>
              <w:rPr>
                <w:sz w:val="20"/>
                <w:szCs w:val="22"/>
                <w:lang w:val="en-US" w:eastAsia="en-US" w:bidi="ar-SA"/>
                <w:rFonts w:ascii="Times New Roman" w:hAnsi="Times New Roman" w:eastAsia="Times New Roman" w:cs="Times New Roman"/>
              </w:rPr>
              <w:t>Separate required records from logs actually retained in earlier builds.</w:t>
            </w:r>
          </w:p>
        </w:tc>
      </w:tr>
      <w:tr w:rsidR="0062437E" w14:paraId="559E62E6"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L4 Clinical interpretation</w:t>
            </w:r>
          </w:p>
        </w:tc>
        <w:tc>
          <w:tcPr>
            <w:tcW w:w="3111" w:type="dxa"/>
          </w:tcPr>
          <w:p>
            <w:pPr>
              <w:pStyle w:val="Normal"/>
            </w:pPr>
            <w:r>
              <w:rPr>
                <w:sz w:val="20"/>
                <w:szCs w:val="22"/>
                <w:lang w:val="en-US" w:eastAsia="en-US" w:bidi="ar-SA"/>
                <w:rFonts w:ascii="Times New Roman" w:hAnsi="Times New Roman" w:eastAsia="Times New Roman" w:cs="Times New Roman"/>
              </w:rPr>
              <w:t>Clinically appropriate measurement and reporting</w:t>
            </w:r>
          </w:p>
        </w:tc>
        <w:tc>
          <w:tcPr>
            <w:tcW w:w="1086" w:type="dxa"/>
          </w:tcPr>
          <w:p>
            <w:pPr>
              <w:pStyle w:val="Normal"/>
            </w:pPr>
            <w:r>
              <w:rPr>
                <w:sz w:val="20"/>
                <w:szCs w:val="22"/>
                <w:lang w:val="en-US" w:eastAsia="en-US" w:bidi="ar-SA"/>
                <w:rFonts w:ascii="Times New Roman" w:hAnsi="Times New Roman" w:eastAsia="Times New Roman" w:cs="Times New Roman"/>
              </w:rPr>
              <w:t>P1</w:t>
            </w:r>
          </w:p>
        </w:tc>
        <w:tc>
          <w:tcPr>
            <w:tcW w:w="2679" w:type="dxa"/>
          </w:tcPr>
          <w:p>
            <w:pPr>
              <w:pStyle w:val="Normal"/>
            </w:pPr>
            <w:r>
              <w:rPr>
                <w:sz w:val="20"/>
                <w:szCs w:val="22"/>
                <w:lang w:val="en-US" w:eastAsia="en-US" w:bidi="ar-SA"/>
                <w:rFonts w:ascii="Times New Roman" w:hAnsi="Times New Roman" w:eastAsia="Times New Roman" w:cs="Times New Roman"/>
              </w:rPr>
              <w:t>Disclose purpose accurately; preserve access to relevant results.</w:t>
            </w:r>
          </w:p>
        </w:tc>
      </w:tr>
      <w:tr w:rsidR="0062437E" w14:paraId="4C2EBEA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L5 Progress display</w:t>
            </w:r>
          </w:p>
        </w:tc>
        <w:tc>
          <w:tcPr>
            <w:tcW w:w="3111" w:type="dxa"/>
          </w:tcPr>
          <w:p>
            <w:pPr>
              <w:pStyle w:val="Normal"/>
            </w:pPr>
            <w:r>
              <w:rPr>
                <w:sz w:val="20"/>
                <w:szCs w:val="22"/>
                <w:lang w:val="en-US" w:eastAsia="en-US" w:bidi="ar-SA"/>
                <w:rFonts w:ascii="Times New Roman" w:hAnsi="Times New Roman" w:eastAsia="Times New Roman" w:cs="Times New Roman"/>
              </w:rPr>
              <w:t>Practice, comparable checks and phase changes</w:t>
            </w:r>
          </w:p>
        </w:tc>
        <w:tc>
          <w:tcPr>
            <w:tcW w:w="1086" w:type="dxa"/>
          </w:tcPr>
          <w:p>
            <w:pPr>
              <w:pStyle w:val="Normal"/>
            </w:pPr>
            <w:r>
              <w:rPr>
                <w:sz w:val="20"/>
                <w:szCs w:val="22"/>
                <w:lang w:val="en-US" w:eastAsia="en-US" w:bidi="ar-SA"/>
                <w:rFonts w:ascii="Times New Roman" w:hAnsi="Times New Roman" w:eastAsia="Times New Roman" w:cs="Times New Roman"/>
              </w:rPr>
              <w:t>P2</w:t>
            </w:r>
          </w:p>
        </w:tc>
        <w:tc>
          <w:tcPr>
            <w:tcW w:w="2679" w:type="dxa"/>
          </w:tcPr>
          <w:p>
            <w:pPr>
              <w:pStyle w:val="Normal"/>
            </w:pPr>
            <w:r>
              <w:rPr>
                <w:sz w:val="20"/>
                <w:szCs w:val="22"/>
                <w:lang w:val="en-US" w:eastAsia="en-US" w:bidi="ar-SA"/>
                <w:rFonts w:ascii="Times New Roman" w:hAnsi="Times New Roman" w:eastAsia="Times New Roman" w:cs="Times New Roman"/>
              </w:rPr>
              <w:t>Distinguish participation from capability; retain setbacks and uncertainty.</w:t>
            </w:r>
          </w:p>
        </w:tc>
      </w:tr>
      <w:tr w:rsidR="0062437E" w14:paraId="0C1FEED8"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L6 Coaching</w:t>
            </w:r>
          </w:p>
        </w:tc>
        <w:tc>
          <w:tcPr>
            <w:tcW w:w="3111" w:type="dxa"/>
          </w:tcPr>
          <w:p>
            <w:pPr>
              <w:pStyle w:val="Normal"/>
            </w:pPr>
            <w:r>
              <w:rPr>
                <w:sz w:val="20"/>
                <w:szCs w:val="22"/>
                <w:lang w:val="en-US" w:eastAsia="en-US" w:bidi="ar-SA"/>
                <w:rFonts w:ascii="Times New Roman" w:hAnsi="Times New Roman" w:eastAsia="Times New Roman" w:cs="Times New Roman"/>
              </w:rPr>
              <w:t>Process-focused explanation and support</w:t>
            </w:r>
          </w:p>
        </w:tc>
        <w:tc>
          <w:tcPr>
            <w:tcW w:w="1086" w:type="dxa"/>
          </w:tcPr>
          <w:p>
            <w:pPr>
              <w:pStyle w:val="Normal"/>
            </w:pPr>
            <w:r>
              <w:rPr>
                <w:sz w:val="20"/>
                <w:szCs w:val="22"/>
                <w:lang w:val="en-US" w:eastAsia="en-US" w:bidi="ar-SA"/>
                <w:rFonts w:ascii="Times New Roman" w:hAnsi="Times New Roman" w:eastAsia="Times New Roman" w:cs="Times New Roman"/>
              </w:rPr>
              <w:t>P1/P2</w:t>
            </w:r>
          </w:p>
        </w:tc>
        <w:tc>
          <w:tcPr>
            <w:tcW w:w="2679" w:type="dxa"/>
          </w:tcPr>
          <w:p>
            <w:pPr>
              <w:pStyle w:val="Normal"/>
            </w:pPr>
            <w:r>
              <w:rPr>
                <w:sz w:val="20"/>
                <w:szCs w:val="22"/>
                <w:lang w:val="en-US" w:eastAsia="en-US" w:bidi="ar-SA"/>
                <w:rFonts w:ascii="Times New Roman" w:hAnsi="Times New Roman" w:eastAsia="Times New Roman" w:cs="Times New Roman"/>
              </w:rPr>
              <w:t>Standardise scripts; disclose adjustments and respect a decision to stop.</w:t>
            </w:r>
          </w:p>
        </w:tc>
      </w:tr>
      <w:tr w:rsidR="0062437E" w14:paraId="05267031"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L7 Evaluation</w:t>
            </w:r>
          </w:p>
        </w:tc>
        <w:tc>
          <w:tcPr>
            <w:tcW w:w="3111" w:type="dxa"/>
          </w:tcPr>
          <w:p>
            <w:pPr>
              <w:pStyle w:val="Normal"/>
            </w:pPr>
            <w:r>
              <w:rPr>
                <w:sz w:val="20"/>
                <w:szCs w:val="22"/>
                <w:lang w:val="en-US" w:eastAsia="en-US" w:bidi="ar-SA"/>
                <w:rFonts w:ascii="Times New Roman" w:hAnsi="Times New Roman" w:eastAsia="Times New Roman" w:cs="Times New Roman"/>
              </w:rPr>
              <w:t>Comprehension, burden, return and process measures</w:t>
            </w:r>
          </w:p>
        </w:tc>
        <w:tc>
          <w:tcPr>
            <w:tcW w:w="1086" w:type="dxa"/>
          </w:tcPr>
          <w:p>
            <w:pPr>
              <w:pStyle w:val="Normal"/>
            </w:pPr>
            <w:r>
              <w:rPr>
                <w:sz w:val="20"/>
                <w:szCs w:val="22"/>
                <w:lang w:val="en-US" w:eastAsia="en-US" w:bidi="ar-SA"/>
                <w:rFonts w:ascii="Times New Roman" w:hAnsi="Times New Roman" w:eastAsia="Times New Roman" w:cs="Times New Roman"/>
              </w:rPr>
              <w:t>All</w:t>
            </w:r>
          </w:p>
        </w:tc>
        <w:tc>
          <w:tcPr>
            <w:tcW w:w="2679" w:type="dxa"/>
          </w:tcPr>
          <w:p>
            <w:pPr>
              <w:pStyle w:val="Normal"/>
            </w:pPr>
            <w:r>
              <w:rPr>
                <w:sz w:val="20"/>
                <w:szCs w:val="22"/>
                <w:lang w:val="en-US" w:eastAsia="en-US" w:bidi="ar-SA"/>
                <w:rFonts w:ascii="Times New Roman" w:hAnsi="Times New Roman" w:eastAsia="Times New Roman" w:cs="Times New Roman"/>
              </w:rPr>
              <w:t>Predefine outcomes; measure candidate appraisals instead of inferring them.</w:t>
            </w:r>
          </w:p>
        </w:tc>
      </w:tr>
    </w:tbl>
    <w:p>
      <w:pPr>
        <w:pStyle w:val="Normal"/>
        <w:spacing w:after="40"/>
      </w:pPr>
    </w:p>
    <w:p>
      <w:pPr>
        <w:pStyle w:val="Normal"/>
        <w:keepNext/>
        <w:spacing w:before="160" w:after="40"/>
        <w:jc w:val="center"/>
      </w:pPr>
      <w:r>
        <w:drawing>
          <wp:inline>
            <wp:extent cx="5358384" cy="3257874"/>
            <wp:docPr id="37" name="Picture 37" descr="Figure 7.1. Proposed adaptive reference architecture."/>
            <wp:cNvGraphicFramePr>
              <a:graphicFrameLocks noChangeAspect="1"/>
            </wp:cNvGraphicFramePr>
            <a:graphic>
              <a:graphicData uri="http://schemas.openxmlformats.org/drawingml/2006/picture">
                <pic:pic>
                  <pic:nvPicPr>
                    <pic:cNvPr id="0" name="figure_P0684.png"/>
                    <pic:cNvPicPr/>
                  </pic:nvPicPr>
                  <pic:blipFill>
                    <a:blip r:embed="rId46"/>
                    <a:stretch>
                      <a:fillRect/>
                    </a:stretch>
                  </pic:blipFill>
                  <pic:spPr>
                    <a:xfrm>
                      <a:off x="0" y="0"/>
                      <a:ext cx="5358384" cy="3257874"/>
                    </a:xfrm>
                    <a:prstGeom prst="rect"/>
                  </pic:spPr>
                </pic:pic>
              </a:graphicData>
            </a:graphic>
          </wp:inline>
        </w:drawing>
      </w:r>
    </w:p>
    <w:p>
      <w:pPr>
        <w:pStyle w:val="FigureCaption"/>
        <w:keepLines/>
        <w:jc w:val="center"/>
      </w:pPr>
      <w:bookmarkStart w:id="118" w:name="_Toc232024692"/>
      <w:bookmarkEnd w:id="118"/>
      <w:r>
        <w:rPr>
          <w:sz w:val="24"/>
          <w:szCs w:val="22"/>
          <w:lang w:val="en-US" w:eastAsia="en-US" w:bidi="ar-SA"/>
          <w:rFonts w:ascii="Times New Roman" w:hAnsi="Times New Roman" w:eastAsia="Times New Roman" w:cs="Times New Roman"/>
          <w:i/>
          <w:b/>
        </w:rPr>
        <w:t>Figure 7.1. Proposed adaptive reference architecture. Task conditions and outcomes inform bounded adaptation and interpretable feedback. Practice rewards, comparable performance checks and clinical interpretation serve different purposes and must not be collapsed into one score. The complete architecture has not been evaluated.</w:t>
      </w:r>
    </w:p>
    <w:p>
      <w:pPr>
        <w:pStyle w:val="Heading3"/>
      </w:pPr>
      <w:bookmarkStart w:id="119" w:name="_Toc232024607"/>
      <w:bookmarkEnd w:id="119"/>
      <w:r>
        <w:rPr>
          <w:color w:val="000000"/>
          <w:szCs w:val="26"/>
          <w:lang w:val="en-US" w:eastAsia="en-US" w:bidi="ar-SA"/>
        </w:rPr>
        <w:t>7.5.2 Credible Progress Under Changing Task Conditions</w:t>
      </w:r>
    </w:p>
    <w:p>
      <w:pPr>
        <w:pStyle w:val="Normal"/>
        <w:jc w:val="both"/>
      </w:pPr>
      <w:commentRangeStart w:id="4"/>
      <w:r>
        <w:rPr>
          <w:szCs w:val="22"/>
          <w:lang w:val="en-US" w:eastAsia="en-US" w:bidi="ar-SA"/>
          <w:rFonts w:ascii="Times New Roman" w:hAnsi="Times New Roman" w:eastAsia="Times New Roman" w:cs="Times New Roman"/>
          <w:sz w:val="24"/>
        </w:rPr>
        <w:t>An adaptive system can change the conditions that generate its own scores. A higher score may reflect learning, an easier task, greater assistance, a different control method or a revised scoring rule. The proposed trajectory display must therefore state what improved and under which conditions. It should support understanding of an imperfect learning process, not manufacture reassurance through a continuously rising line. The distinction between observable performance and durable learning is central to this requirement (Soderstrom &amp; Bjork, 2015).</w:t>
      </w:r>
      <w:commentRangeEnd w:id="4"/>
      <w:r>
        <w:rPr>
          <w:rStyle w:val="CommentReference"/>
        </w:rPr>
        <w:commentReference w:id="4"/>
      </w:r>
    </w:p>
    <w:p>
      <w:pPr/>
      <w:r>
        <w:t>The display should separate four outcomes. Participation includes attendance, retries and completed practice; it can be acknowledged without implying learning. Condition-specific performance describes what a person achieved with a stated task, difficulty and level of support. Learning requires evidence that a capability persists or transfers beyond the immediately assisted encounter. Clinical change requires a valid clinical measure and an appropriate interpretation of its uncertainty and significance. A composite engagement score should not stand in for these distinct outcomes.</w:t>
      </w:r>
    </w:p>
    <w:p>
      <w:pPr/>
      <w:r>
        <w:t>Each prospective performance observation should retain the task and scoring version, difficulty parameters, input modality, assistance provided and relevant session context. Practice scores may be compared within sufficiently similar conditions, with those conditions visible in plain language. Where adaptation prevents such comparison, the display should describe the supported achievement and the adjustment itself. It should not relabel an improvement in accessibility or comfort as an increase in independent capability.</w:t>
      </w:r>
    </w:p>
    <w:p>
      <w:pPr/>
      <w:r>
        <w:t>A future evaluation should include brief, safe reference tasks under predefined comparable conditions, alongside adaptive practice. These reference checks would provide a basis for assessing change without continuously moving the measurement conditions. A fixed-course check intended as such a reference task was carried in the Stage-3B Pro v4.1 build and exercised only in the Pro v4.1 record labelled researcher self-test (played, by the author's account, by volunteers and their families or friends), near ceiling and on course forms whose equivalence was not established (§8.8; Appendix I.5–I.6); that record documents the mechanism and establishes nothing about durable learning. The reliability, tolerability and sensitivity of such reference checks must be established for the intended population before firm conclusions are drawn. Delayed checks and suitably chosen transfer tasks are needed for claims of durable or generalisable learning; repeated success in the training game alone is insufficient (Soderstrom &amp; Bjork, 2015).</w:t>
      </w:r>
    </w:p>
    <w:p>
      <w:pPr/>
      <w:r>
        <w:t>When a new version changes the task or scoring rule, the display should mark a phase boundary and preserve the earlier history. A continuous comparison across versions requires a justified linking procedure or overlapping reference observations; otherwise the two phases should be reported separately. A fresh baseline can describe the revised task, but it must not erase prior difficulty or imply that the earlier intervention succeeded. Uncertainty, plateaus and deterioration should remain visible, with an explanation of the next available action.</w:t>
      </w:r>
    </w:p>
    <w:p>
      <w:pPr/>
      <w:r>
        <w:t>For example, consider an illustrative participant who completes more obstacles after the system slows the game and adds steering assistance. The accurate message is that the participant completed more of a slower, assisted task. If a later reference check shows similar performance with less assistance, the system may report reduced support needs on that task. Neither observation alone warrants a claim of improved balance or reduced fall risk. This example specifies prospective feedback logic; it is not a reconstruction of the Stage-2 data.</w:t>
      </w:r>
    </w:p>
    <w:p>
      <w:pPr/>
      <w:r>
        <w:t>The same discipline applies when innovation encounters difficulty. If a revised interface reduces confusion or fatigue but reference-task performance remains stable, the service may have improved in usability or burden. If only the scoring rule changes, a higher score supplies no evidence of benefit. If outcomes worsen or users find the feedback misleading, the revision should be reconsidered or reversed. The progress display should allow these outcomes to be understood without portraying every design change as a success.</w:t>
      </w:r>
    </w:p>
    <w:p>
      <w:pPr/>
      <w:r>
        <w:t>Validation of the display should test whether participants can distinguish an easier task from improved capability, identify a change in assistance or version, and understand stable or declining results without false reassurance. These comprehension checks should accompany behavioural follow-up and measures of burden, competence and safety. Improvement is credible when the claim, comparison and measure agree; an appealing trajectory is not sufficient evidence.</w:t>
      </w:r>
    </w:p>
    <w:p>
      <w:pPr>
        <w:pStyle w:val="FigureCaption"/>
        <w:keepNext/>
        <w:keepLines/>
      </w:pPr>
      <w:r>
        <w:t>Table 7.3. Interpreting progress when an adaptive task changes. These examples are prospective design rules, not observations from the field studies.</w:t>
      </w:r>
    </w:p>
    <w:tbl>
      <w:tblPr>
        <w:tblStyle w:val="TableGrid"/>
        <w:tblW w:type="auto" w:w="0"/>
        <w:jc w:val="center"/>
        <w:tblLayout w:type="fixed"/>
        <w:tblLook w:firstColumn="1" w:firstRow="1" w:lastColumn="0" w:lastRow="0" w:noHBand="0" w:noVBand="1" w:val="04A0"/>
      </w:tblPr>
      <w:tblGrid>
        <w:gridCol w:w="2520"/>
        <w:gridCol w:w="3053"/>
        <w:gridCol w:w="2923"/>
      </w:tblGrid>
      <w:tr>
        <w:trPr>
          <w:cantSplit/>
          <w:tblHeader/>
        </w:trPr>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Observed change</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Defensible interpretation</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Evidence still required</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Higher practice score after easier settings</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More success under easier conditions</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Comparable reference check for a capability claim</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Similar performance with less assistance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Reduced support on the specified task</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Repeated or delayed checks for retained learning</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Lower confusion or burden after redesign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Improved usability or experience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Common comparison; sustained use assessed separately</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New task or scoring version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A new performance phase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Justified linking before comparing across versions</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Stable or declining reference performance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No demonstrated capability gain</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Further observation; reconsider the response</w:t>
            </w:r>
          </w:p>
        </w:tc>
      </w:tr>
    </w:tbl>
    <w:p>
      <w:pPr>
        <w:pStyle w:val="Heading3"/>
      </w:pPr>
      <w:bookmarkStart w:id="120" w:name="_Toc232024608"/>
      <w:r>
        <w:rPr>
          <w:color w:val="000000"/>
          <w:szCs w:val="26"/>
          <w:lang w:val="en-US" w:eastAsia="en-US" w:bidi="ar-SA"/>
        </w:rPr>
        <w:t>7.5.3 Coaching Protocol Specification</w:t>
      </w:r>
      <w:bookmarkEnd w:id="120"/>
    </w:p>
    <w:p>
      <w:pPr>
        <w:pStyle w:val="Normal"/>
        <w:jc w:val="both"/>
      </w:pPr>
      <w:r>
        <w:rPr>
          <w:szCs w:val="22"/>
          <w:lang w:val="en-US" w:eastAsia="en-US" w:bidi="ar-SA"/>
          <w:rFonts w:ascii="Times New Roman" w:hAnsi="Times New Roman" w:eastAsia="Times New Roman" w:cs="Times New Roman"/>
          <w:sz w:val="24"/>
        </w:rPr>
        <w:t>The proposed coaching protocol uses an accurate opening explanation, specific in-session feedback and a closing summary. The summary identifies what changed, what remains challenging and what assistance was provided. It should describe an easier task as an adjustment and should acknowledge uncertainty when a capability gain has not been established. Clinical purposes and relevant results remain accurately disclosed. Scripts require cultural adaptation, standardisation and fidelity checks, while preserving the participant’s right to stop. The expert consultation in §6.8A supplies practice-based reasons to examine coaching and group support; it does not independently demonstrate that either converts dropout into continued participation.</w:t>
      </w:r>
    </w:p>
    <w:p>
      <w:pPr>
        <w:pStyle w:val="Heading2"/>
      </w:pPr>
      <w:r>
        <w:rPr>
          <w:lang w:val="en-US" w:eastAsia="en-US" w:bidi="ar-SA"/>
          <w:color w:val="000000"/>
          <w:szCs w:val="22"/>
        </w:rPr>
        <w:t>7.5A Relationships Among the Phenomenon, Principles and Engine</w:t>
      </w:r>
    </w:p>
    <w:p>
      <w:pPr>
        <w:pStyle w:val="Normal"/>
        <w:jc w:val="both"/>
      </w:pPr>
      <w:r>
        <w:rPr>
          <w:szCs w:val="22"/>
          <w:lang w:val="en-US" w:eastAsia="en-US" w:bidi="ar-SA"/>
          <w:rFonts w:ascii="Times New Roman" w:hAnsi="Times New Roman" w:eastAsia="Times New Roman" w:cs="Times New Roman"/>
          <w:sz w:val="24"/>
        </w:rPr>
        <w:t>The programme links three kinds of output. FIAS names a provisional behavioural pattern and organises candidate explanations for failure-associated non-return. The adaptive-learning principles translate that problem into proposed changes to framing, feedback and challenge. The dynamic game-state engine specifies one possible implementation of those changes. A fourth requirement connects them to the thesis title: an evaluation record must show whether the response improves a defined participant or service outcome. Neither a plausible explanation nor a functioning controller is sufficient evidence that the intervention prevents abandonment. The Stage-3B record (§8.8) is the programme's first fielded step towards such a record; it is descriptive at its cut-off and supplies no such evidence.</w:t>
      </w:r>
    </w:p>
    <w:p>
      <w:pPr>
        <w:pStyle w:val="Normal"/>
        <w:jc w:val="both"/>
      </w:pPr>
      <w:r>
        <w:rPr>
          <w:szCs w:val="22"/>
          <w:lang w:val="en-US" w:eastAsia="en-US" w:bidi="ar-SA"/>
          <w:rFonts w:ascii="Times New Roman" w:hAnsi="Times New Roman" w:eastAsia="Times New Roman" w:cs="Times New Roman"/>
          <w:sz w:val="24"/>
        </w:rPr>
        <w:t>The evidential status differs across these outputs. The reported field observations anchor the behavioural pattern; the between-cohort comparison motivates, but does not isolate, frame sensitivity. The principles are derived from that record and relevant theory. The engine and progress display require fidelity, usability and outcome evaluation as a complete configuration. Bringing them into one architecture clarifies the path from problem to testable intervention without raising the evidential status of any individual claim.</w:t>
      </w:r>
    </w:p>
    <w:p>
      <w:pPr>
        <w:pStyle w:val="Heading2"/>
      </w:pPr>
      <w:bookmarkStart w:id="121" w:name="_Toc232024609"/>
      <w:r>
        <w:rPr>
          <w:lang w:val="en-US" w:eastAsia="en-US" w:bidi="ar-SA"/>
          <w:color w:val="000000"/>
          <w:szCs w:val="22"/>
        </w:rPr>
        <w:t>7.6 Applied Case Studies</w:t>
      </w:r>
      <w:bookmarkEnd w:id="121"/>
    </w:p>
    <w:p>
      <w:pPr>
        <w:pStyle w:val="Heading3"/>
      </w:pPr>
      <w:bookmarkStart w:id="122" w:name="_Toc232024610"/>
      <w:r>
        <w:rPr>
          <w:color w:val="000000"/>
          <w:szCs w:val="26"/>
          <w:lang w:val="en-US" w:eastAsia="en-US" w:bidi="ar-SA"/>
        </w:rPr>
        <w:t>7.6.1 Case Study A — FRA Reaction Mode (proposed)</w:t>
      </w:r>
      <w:bookmarkEnd w:id="122"/>
    </w:p>
    <w:p>
      <w:pPr>
        <w:pStyle w:val="Normal"/>
        <w:jc w:val="both"/>
      </w:pPr>
      <w:r>
        <w:rPr>
          <w:szCs w:val="22"/>
          <w:lang w:val="en-US" w:eastAsia="en-US" w:bidi="ar-SA"/>
          <w:rFonts w:ascii="Times New Roman" w:hAnsi="Times New Roman" w:eastAsia="Times New Roman" w:cs="Times New Roman"/>
          <w:sz w:val="24"/>
        </w:rP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Point targets of below 6% non-return and above 65% regular-use intention, if adopted for this case study, should be treated as design aspirations, not evidence-based efficacy thresholds, until a pilot establishes feasible effect sizes.</w:t>
      </w:r>
    </w:p>
    <w:p>
      <w:pPr>
        <w:pStyle w:val="Heading3"/>
      </w:pPr>
      <w:bookmarkStart w:id="123" w:name="_Toc232024611"/>
      <w:r>
        <w:rPr>
          <w:color w:val="000000"/>
          <w:szCs w:val="26"/>
          <w:lang w:val="en-US" w:eastAsia="en-US" w:bidi="ar-SA"/>
        </w:rPr>
        <w:t>7.6.2 Case Study B — Continuous Glucose Monitoring (CGM) reframed as a Streak Companion (illustrative)</w:t>
      </w:r>
      <w:bookmarkEnd w:id="123"/>
    </w:p>
    <w:p>
      <w:pPr>
        <w:pStyle w:val="Normal"/>
        <w:jc w:val="both"/>
      </w:pPr>
      <w:r>
        <w:rPr>
          <w:szCs w:val="22"/>
          <w:lang w:val="en-US" w:eastAsia="en-US" w:bidi="ar-SA"/>
          <w:rFonts w:ascii="Times New Roman" w:hAnsi="Times New Roman" w:eastAsia="Times New Roman" w:cs="Times New Roman"/>
          <w:sz w:val="24"/>
        </w:rP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pPr>
        <w:pStyle w:val="Heading3"/>
      </w:pPr>
      <w:bookmarkStart w:id="124" w:name="_Toc232024612"/>
      <w:r>
        <w:rPr>
          <w:color w:val="000000"/>
          <w:szCs w:val="26"/>
          <w:lang w:val="en-US" w:eastAsia="en-US" w:bidi="ar-SA"/>
        </w:rPr>
        <w:t>7.6.3 Case Study C — Sleep Tracker reframed as an Adventure Log (illustrative)</w:t>
      </w:r>
      <w:bookmarkEnd w:id="124"/>
    </w:p>
    <w:p>
      <w:pPr>
        <w:pStyle w:val="Normal"/>
        <w:jc w:val="both"/>
      </w:pPr>
      <w:r>
        <w:rPr>
          <w:szCs w:val="22"/>
          <w:lang w:val="en-US" w:eastAsia="en-US" w:bidi="ar-SA"/>
          <w:rFonts w:ascii="Times New Roman" w:hAnsi="Times New Roman" w:eastAsia="Times New Roman" w:cs="Times New Roman"/>
          <w:sz w:val="24"/>
        </w:rP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pPr>
        <w:pStyle w:val="Heading3"/>
      </w:pPr>
      <w:bookmarkStart w:id="125" w:name="_Toc232024613"/>
      <w:r>
        <w:rPr>
          <w:color w:val="000000"/>
          <w:szCs w:val="26"/>
          <w:lang w:val="en-US" w:eastAsia="en-US" w:bidi="ar-SA"/>
        </w:rPr>
        <w:t>7.6.4 Cross-Case Synthesis</w:t>
      </w:r>
      <w:bookmarkEnd w:id="125"/>
    </w:p>
    <w:p>
      <w:pPr>
        <w:pStyle w:val="Normal"/>
        <w:jc w:val="both"/>
      </w:pPr>
      <w:r>
        <w:rPr>
          <w:szCs w:val="22"/>
          <w:lang w:val="en-US" w:eastAsia="en-US" w:bidi="ar-SA"/>
          <w:rFonts w:ascii="Times New Roman" w:hAnsi="Times New Roman" w:eastAsia="Times New Roman" w:cs="Times New Roman"/>
          <w:sz w:val="24"/>
        </w:rP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pPr>
        <w:pStyle w:val="Heading2"/>
      </w:pPr>
      <w:bookmarkStart w:id="126" w:name="_Toc232024614"/>
      <w:bookmarkEnd w:id="126"/>
      <w:r>
        <w:rPr>
          <w:lang w:val="en-US" w:eastAsia="en-US" w:bidi="ar-SA"/>
          <w:color w:val="000000"/>
          <w:szCs w:val="22"/>
        </w:rPr>
        <w:t>7.6A Dynamic Game States as Responses to Difficulty</w:t>
      </w:r>
    </w:p>
    <w:p>
      <w:pPr>
        <w:pStyle w:val="Normal"/>
        <w:jc w:val="both"/>
      </w:pPr>
      <w:r>
        <w:rPr>
          <w:szCs w:val="22"/>
          <w:lang w:val="en-US" w:eastAsia="en-US" w:bidi="ar-SA"/>
          <w:rFonts w:ascii="Times New Roman" w:hAnsi="Times New Roman" w:eastAsia="Times New Roman" w:cs="Times New Roman"/>
          <w:sz w:val="24"/>
        </w:rP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pPr>
        <w:pStyle w:val="Normal"/>
        <w:jc w:val="both"/>
      </w:pPr>
      <w:r>
        <w:rPr>
          <w:szCs w:val="22"/>
          <w:lang w:val="en-US" w:eastAsia="en-US" w:bidi="ar-SA"/>
          <w:rFonts w:ascii="Times New Roman" w:hAnsi="Times New Roman" w:eastAsia="Times New Roman" w:cs="Times New Roman"/>
          <w:sz w:val="24"/>
        </w:rP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pPr>
        <w:pStyle w:val="Normal"/>
        <w:jc w:val="both"/>
      </w:pPr>
      <w:r>
        <w:rPr>
          <w:szCs w:val="22"/>
          <w:lang w:val="en-US" w:eastAsia="en-US" w:bidi="ar-SA"/>
          <w:rFonts w:ascii="Times New Roman" w:hAnsi="Times New Roman" w:eastAsia="Times New Roman" w:cs="Times New Roman"/>
          <w:sz w:val="24"/>
        </w:rPr>
        <w:t>The dynamic-state design is a secondary proposal, and the observed between-cohort association is not a test of its effects. A future evaluation can compare a specified state policy with a common reference configuration, holding the assessment protocol and follow-up constant. The policy must constrain assistance, challenge and safety-relevant actions; record each change; and distinguish successful execution from beneficial outcomes. Excessive assistance may improve practice scores while reducing the information available about independent performance. An AI-enabled controller also requires reproducible decision records and appropriate fallback behaviour. Its presence cannot substitute for evidence that participants understood the feedback or chose to return.</w:t>
      </w:r>
    </w:p>
    <w:p>
      <w:pPr>
        <w:pStyle w:val="Heading2"/>
      </w:pPr>
      <w:bookmarkStart w:id="127" w:name="_Toc232024615"/>
      <w:r>
        <w:rPr>
          <w:lang w:val="en-US" w:eastAsia="en-US" w:bidi="ar-SA"/>
          <w:color w:val="000000"/>
          <w:szCs w:val="22"/>
        </w:rPr>
        <w:t>7.7 Boundary Conditions and Risks</w:t>
      </w:r>
      <w:bookmarkEnd w:id="127"/>
    </w:p>
    <w:p>
      <w:pPr>
        <w:pStyle w:val="Normal"/>
        <w:jc w:val="both"/>
      </w:pPr>
      <w:r>
        <w:rPr>
          <w:szCs w:val="22"/>
          <w:lang w:val="en-US" w:eastAsia="en-US" w:bidi="ar-SA"/>
          <w:rFonts w:ascii="Times New Roman" w:hAnsi="Times New Roman" w:eastAsia="Times New Roman" w:cs="Times New Roman"/>
          <w:sz w:val="24"/>
        </w:rPr>
        <w:t>The framework has several plausible risks. Excessive adaptation may remove meaningful challenge or make scores difficult to interpret. Inconsistent explanations by the interface and staff may undermine understanding and trust. A trajectory metaphor may be less useful for some users than a simple account of the current task and available support. These are testable possibilities, not universal responses or established cultural differences. Usability work should include participants who struggle, decline assistance or decide not to continue, rather than assessing the display only among successful users.</w:t>
      </w:r>
    </w:p>
    <w:p>
      <w:pPr>
        <w:pStyle w:val="Normal"/>
        <w:jc w:val="both"/>
      </w:pPr>
      <w:r>
        <w:rPr>
          <w:szCs w:val="22"/>
          <w:lang w:val="en-US" w:eastAsia="en-US" w:bidi="ar-SA"/>
          <w:rFonts w:ascii="Times New Roman" w:hAnsi="Times New Roman" w:eastAsia="Times New Roman" w:cs="Times New Roman"/>
          <w:sz w:val="24"/>
        </w:rP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executed, the generalisability of the framework beyond Chinese-cultural settings is an argued expectation, not a demonstrated result.</w:t>
      </w:r>
    </w:p>
    <w:p>
      <w:pPr>
        <w:pStyle w:val="Heading2"/>
      </w:pPr>
      <w:bookmarkStart w:id="128" w:name="_Toc232024616"/>
      <w:r>
        <w:rPr>
          <w:lang w:val="en-US" w:eastAsia="en-US" w:bidi="ar-SA"/>
          <w:color w:val="000000"/>
          <w:szCs w:val="22"/>
        </w:rPr>
        <w:t>7.8 Sequencing of the Three Principles</w:t>
      </w:r>
      <w:bookmarkEnd w:id="128"/>
    </w:p>
    <w:p>
      <w:pPr>
        <w:pStyle w:val="Normal"/>
        <w:jc w:val="both"/>
      </w:pPr>
      <w:r>
        <w:rPr>
          <w:szCs w:val="22"/>
          <w:lang w:val="en-US" w:eastAsia="en-US" w:bidi="ar-SA"/>
          <w:rFonts w:ascii="Times New Roman" w:hAnsi="Times New Roman" w:eastAsia="Times New Roman" w:cs="Times New Roman"/>
          <w:sz w:val="24"/>
        </w:rPr>
        <w:t>The principles can be introduced in a planned sequence, but neither the order nor their joint sufficiency is established. P1 addresses evaluative cues; P2 addresses interpretable feedback; P3 addresses challenge and support. A factorial or staged comparison could examine their independent and combined effects, including burdens or harms. The Stage-3 association gives P1 an empirical motivation, not the status of a necessary precondition. P2 and P3 should not assume that adaptation produces learning or that a displayed curve produces commitment.</w:t>
      </w:r>
    </w:p>
    <w:p>
      <w:pPr>
        <w:pStyle w:val="Heading2"/>
      </w:pPr>
      <w:bookmarkStart w:id="129" w:name="_Toc232024617"/>
      <w:bookmarkEnd w:id="129"/>
      <w:r>
        <w:rPr>
          <w:lang w:val="en-US" w:eastAsia="en-US" w:bidi="ar-SA"/>
          <w:color w:val="000000"/>
          <w:szCs w:val="22"/>
        </w:rPr>
        <w:t>7.9 Gamification, Continuous Improvement and Innovation Enhancement</w:t>
      </w:r>
    </w:p>
    <w:p>
      <w:pPr>
        <w:pStyle w:val="Normal"/>
        <w:jc w:val="both"/>
      </w:pPr>
      <w:commentRangeStart w:id="5"/>
      <w:r>
        <w:rPr>
          <w:szCs w:val="22"/>
          <w:lang w:val="en-US" w:eastAsia="en-US" w:bidi="ar-SA"/>
          <w:rFonts w:ascii="Times New Roman" w:hAnsi="Times New Roman" w:eastAsia="Times New Roman" w:cs="Times New Roman"/>
          <w:sz w:val="24"/>
        </w:rPr>
        <w:t>The thesis title specifies the purpose of the work: to examine gamification as a proactive approach for continuous improvement and innovation enhancement. The adaptive system is a proposed means of pursuing that purpose within the FRA service. Gamification creates opportunities for voluntary participation, meaningful feedback and repeated encounters with a task. Adaptation uses information from those encounters to select a possible next response. Evaluation determines whether that response improves a defined outcome. This separation prevents the circular claim that a system improves simply because it adapts.</w:t>
      </w:r>
      <w:commentRangeEnd w:id="5"/>
      <w:r>
        <w:rPr>
          <w:rStyle w:val="CommentReference"/>
        </w:rPr>
      </w:r>
    </w:p>
    <w:p>
      <w:pPr>
        <w:jc w:val="both"/>
      </w:pPr>
      <w:r>
        <w:t>The adaptive-learning proposition is where the thesis and its topic meet: adaptive learning, as proposed here, would be continuous improvement operating at the level of the individual user. In the proposed loop each session would update the challenge and each failure would be information for the next iteration; whether the user's capability is thereby improved is the untested question, and the user's own trajectory, recorded under stated task conditions, is the proposed control chart. The same loop appears at two other levels of the programme - the researcher's action-research cycles (§3.1) and the artefact's AI-assisted build iterations (§5.3.9) - so the thesis practises at the researcher and artefact levels the principle it proposes, but has not evaluated, at the level of its users.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pPr>
        <w:pStyle w:val="Normal"/>
        <w:jc w:val="both"/>
      </w:pPr>
      <w:r>
        <w:rPr>
          <w:szCs w:val="22"/>
          <w:lang w:val="en-US" w:eastAsia="en-US" w:bidi="ar-SA"/>
          <w:rFonts w:ascii="Times New Roman" w:hAnsi="Times New Roman" w:eastAsia="Times New Roman" w:cs="Times New Roman"/>
          <w:sz w:val="24"/>
        </w:rPr>
        <w:t>The proactive proposition concerns timing. Support can be offered at first contact and when difficulty emerges, before a pattern of non-use becomes established. The present programme motivates those intervention points but does not establish the optimum timing or efficacy of the proposed response. The objective is sustained voluntary participation with truthful understanding, acceptable burden and appropriate clinical safeguards. A decision not to return remains an outcome to understand and respect, rather than an error that the controller must eliminate.</w:t>
      </w:r>
    </w:p>
    <w:p>
      <w:pPr>
        <w:pStyle w:val="Normal"/>
        <w:jc w:val="both"/>
      </w:pPr>
      <w:r>
        <w:rPr>
          <w:szCs w:val="22"/>
          <w:lang w:val="en-US" w:eastAsia="en-US" w:bidi="ar-SA"/>
          <w:rFonts w:ascii="Times New Roman" w:hAnsi="Times New Roman" w:eastAsia="Times New Roman" w:cs="Times New Roman"/>
          <w:sz w:val="24"/>
        </w:rPr>
        <w:t>Two linked cycles give this proposition an engineering form. The participant-support cycle observes a task encounter, offers a bounded adjustment or feedback, and checks the next experience. The system-improvement cycle examines recurring difficulty, formulates a redesign hypothesis, implements a documented change and evaluates its consequences. The first concerns a person’s interaction under a particular configuration; the second concerns the quality of the service and its design. Both can generate useful learning, but a gain in one does not establish a gain in the other. Figure 7.2 represents their relationship.</w:t>
      </w:r>
    </w:p>
    <w:p>
      <w:pPr>
        <w:jc w:val="both"/>
      </w:pPr>
      <w:commentRangeStart w:id="6"/>
      <w:r>
        <w:t>Innovation enhancement means improving the process by which a candidate design is developed, implemented and assessed. In the Oslo Manual, innovation concerns an implemented product or process that differs significantly from its predecessors; implementation and novelty do not by themselves establish effectiveness (OECD/Eurostat, 2018). For this thesis, the defensible achieved contribution is the progression from an observed service difficulty to revised problem understanding and a testable design specification. The complete adaptive framework remains a proposed extension whose benefits have yet to be evaluated. Describing unsuccessful iterations honestly strengthens that contribution because it makes the grounds for changing the design inspectable.</w:t>
      </w:r>
      <w:commentRangeEnd w:id="6"/>
      <w:r>
        <w:rPr>
          <w:rStyle w:val="CommentReference"/>
        </w:rPr>
        <w:commentReference w:id="6"/>
      </w:r>
    </w:p>
    <w:p>
      <w:pPr>
        <w:jc w:val="both"/>
      </w:pPr>
      <w:r>
        <w:t>Learning from an unsuccessful intervention requires more than changing the software. A revision should state the problem it addresses, the explanation being tested, the component changed and the intended outcome. Evaluation criteria should be set before examining the new results, with a common comparison wherever feasible. Small iterative tests can inform a decision to retain, modify or reverse a change, consistent with the Plan–Do–Study–Act approach to service improvement (Institute for Healthcare Improvement, n.d.). Such cycles support local learning; a causal effectiveness claim still depends on the design and quality of the comparison.</w:t>
      </w:r>
    </w:p>
    <w:p>
      <w:pPr>
        <w:jc w:val="both"/>
      </w:pPr>
      <w:r>
        <w:t>Applied to this programme, the Stage-2 difficulty justified reconsidering the interaction and examining a decoupled configuration. Stage 3 then supplied an encouraging engagement pattern alongside unresolved confounding by cohort, setting, delivery and input modality. The resulting innovation learning is that decoupling is a candidate design direction worth testing under common conditions. It is not evidence that a clinically attached adaptive service has already achieved sustained improvement. The Stage-3B component study extends the same chain (§8.8): on review of its first round, the learning measurement carried in the build was not articulated to the adaptive-learning construct, so the study is retained as a descriptive record at its cut-off and the adaptive-learning question is carried forward as a specified future study rather than reported as a result. Subsequent iterations should preserve that distinction: an unsuccessful feature may yield a more precise requirement, an accessible revision may lower burden without increasing capability, and a capability gain may occur without greater willingness to return. Each result has value when it is reported against its own criterion rather than combined into an unqualified claim of improvement.</w:t>
      </w:r>
    </w:p>
    <w:p>
      <w:pPr>
        <w:keepNext/>
        <w:jc w:val="center"/>
      </w:pPr>
      <w:r>
        <w:drawing>
          <wp:inline>
            <wp:extent cx="5358384" cy="3748786"/>
            <wp:docPr id="38" name="Picture 38" descr="Figure 7.2. Two linked improvement cycles proposed for the gamified service."/>
            <wp:cNvGraphicFramePr>
              <a:graphicFrameLocks noChangeAspect="1"/>
            </wp:cNvGraphicFramePr>
            <a:graphic>
              <a:graphicData uri="http://schemas.openxmlformats.org/drawingml/2006/picture">
                <pic:pic>
                  <pic:nvPicPr>
                    <pic:cNvPr id="0" name="figure_P0718.png"/>
                    <pic:cNvPicPr/>
                  </pic:nvPicPr>
                  <pic:blipFill>
                    <a:blip r:embed="rId47"/>
                    <a:stretch>
                      <a:fillRect/>
                    </a:stretch>
                  </pic:blipFill>
                  <pic:spPr>
                    <a:xfrm>
                      <a:off x="0" y="0"/>
                      <a:ext cx="5358384" cy="3748786"/>
                    </a:xfrm>
                    <a:prstGeom prst="rect"/>
                  </pic:spPr>
                </pic:pic>
              </a:graphicData>
            </a:graphic>
          </wp:inline>
        </w:drawing>
      </w:r>
    </w:p>
    <w:p>
      <w:pPr>
        <w:pStyle w:val="FigureCaption"/>
        <w:keepLines/>
        <w:jc w:val="center"/>
      </w:pPr>
      <w:r>
        <w:t>Figure 7.2. Two linked improvement cycles proposed for the gamified service. Participant support responds to an encounter with difficulty; system improvement evaluates a documented redesign. Records of task conditions, assistance and version changes preserve the meaning of reported progress. The figure is a prospective design proposition, not an evaluated outcome model.</w:t>
      </w:r>
    </w:p>
    <w:p>
      <w:pPr>
        <w:pStyle w:val="Normal"/>
        <w:spacing w:after="200" w:line="276" w:lineRule="auto"/>
        <w:rPr>
          <w:rFonts w:asciiTheme="majorHAnsi" w:eastAsiaTheme="majorEastAsia" w:hAnsiTheme="majorHAnsi" w:cstheme="majorBidi"/>
          <w:b/>
          <w:bCs/>
          <w:color w:val="000000"/>
          <w:sz w:val="32"/>
          <w:szCs w:val="28"/>
        </w:rPr>
      </w:pPr>
      <w:bookmarkStart w:id="130" w:name="_Toc232024618"/>
      <w:r>
        <w:rPr>
          <w:rFonts w:asciiTheme="majorHAnsi" w:eastAsiaTheme="majorEastAsia" w:hAnsiTheme="majorHAnsi" w:cstheme="majorBidi"/>
          <w:b/>
          <w:color w:val="000000"/>
          <w:sz w:val="32"/>
          <w:szCs w:val="28"/>
        </w:rPr>
        <w:br w:type="page"/>
      </w:r>
    </w:p>
    <w:p>
      <w:pPr>
        <w:jc w:val="both"/>
      </w:pPr>
      <w:r>
        <w:t>A commercial cross-reference suggests the market has independently converged on parts of this design space. GrandPad — a purpose-built tablet for older adults, sold in the United States on a subscription basis on the order of US$500 per year, with cellular connectivity built in so that no home broadband or technical set-up is required — packages games, video calling and photo sharing behind a radically simplified interface, with family members and a human support service connected around the user (GrandPad, n.d.). Peer-reviewed evaluations of its deployments report high perceived ease of use and connectedness among predominantly homebound users where the device filled a genuine access gap, and markedly weaker adoption where mainstream alternatives already existed — implementation context, not device quality, decided uptake (Perissinotto et al., 2019; Tha et al., 2025); adjacent trials of supported tablet onboarding for homebound older adults likewise report increased technology use and directional loneliness reductions when a human scaffold accompanies the device (Gadbois et al., 2022). Three features of the model align with this programme's findings: access and set-up barriers are engineered away wholesale, consistent with the Stage-1 observation that their absence alone does not secure engagement; the games are framed as leisure and connection rather than as assessment; and the engagement scaffold is explicitly social, anticipating the group-dynamics mechanism raised in the §6.8A consultation. What the comparison must not become, however, is a dichotomy, because the product line is not measurement-free: GrandPad's own enterprise materials describe connected-device data collection with abnormal-range alerts, and its Element Care case material describes remote monitoring within a supervised care programme (GrandPad, 2020, 2021). The defensible comparison is configuration-specific, on the dimensions a service comparison requires — population, functions, supervision, clinical purpose, follow-up and evidence of repeated use. The engagement evidence cited above comes from supported telehealth and care deployments — home primary and palliative care and a dementia clinic (Tha et al., 2025) and telemedicine visits (Perissinotto et al., 2019) — among predominantly homebound populations, with leisure and connection functions and a family-and-support scaffold; whether any adverse assessment feedback reached users in those deployments is not reported in the sources, so verdict exposure is recorded here as unknown rather than absent. The enterprise configuration adds monitoring functions, but the vendor material identifies those functions without establishing engagement outcomes, follow-up or repeated voluntary use under an assessment frame, and does not establish a solution to this programme's FRA problem. On the available material, neither configuration documents the combination the FRA service requires — user-facing clinical assessment sustained voluntarily over time. The comparator therefore marks a boundary in the documented design space rather than a solved-versus-unsolved split: sustained engagement is documented in configurations whose verdict exposure is not reported; none of the cited sources estimates return after adverse FRA feedback under conditions comparable to this thesis, and a technology that delivers its measurement to the user while remaining bearable and returnable-to has no documented exemplar in this comparison, and that configuration is the design target the adaptive-learning framework addresses.</w:t>
      </w:r>
    </w:p>
    <w:p>
      <w:pPr>
        <w:jc w:val="both"/>
      </w:pPr>
      <w:r>
        <w:t>The comparator also points to a forward extension of the adaptive-learning proposition itself: from sustaining engagement within one health technology to supporting the acquisition of new technological skills in later life. The learning literature supports the premise that older adults acquire demanding new skills when challenge is sustained and scaffolded: the Synapse Project found that three months of sustained engagement in cognitively demanding novel skills improved episodic memory relative to controls (D. C. Park et al., 2014); the PRISM randomised trial showed that a purpose-designed computer system with training reduced loneliness and increased perceived social support among older adults at risk of isolation (Czaja et al., 2018); and within this programme's own research lineage, gamified learning systems have improved older adults' technology adoption and knowledge transfer in mobile payments and mobile navigation (An et al., 2024, 2025). Read with the model of selective optimisation with compensation (Baltes &amp; Baltes, 1990), these results frame later-life technology learning as an adaptive process that succeeds when tasks are selected, challenge is optimised and support compensates — the same regime the adaptive-learning framework specifies through calibrated challenge, a visible personal trajectory and a coaching scaffold (§7.5). A platform of GrandPad's class — subscription-funded, barrier-free and socially scaffolded — is therefore a plausible carrier for the framework beyond FRA: a curriculum of adaptively calibrated games through which an older user builds the generic capabilities (touch interaction, menu navigation, confidence under initial failure) that transfer to new health technologies. This is stated as a design hypothesis, not a finding: the framework's mechanism-level claims remain untested — the Stage-3B component study is on record as a descriptive account at its stated cut-off and is not used as their test (§8.8) — and any such deployment would need the same measurement-bearability discipline this thesis develops. But it locates the contribution's growth path — adaptive learning not only as a mechanism for sustaining engagement with one clinical device, but as a general onboarding pathway by which older adults learn their way into technologies that benefit their lives.</w:t>
      </w:r>
    </w:p>
    <w:p>
      <w:pPr>
        <w:jc w:val="both"/>
      </w:pPr>
      <w:r>
        <w:t>Read as a boundary case, the comparator also sharpens what commercial gerontechnology has so far left unaddressed, and locates this programme's contribution to gerontology as AI-enabled health technology arrives. Three omissions matter. First, the sparsely documented middle: in the material compared here, the clinical instrument carried user-facing measurement but recorded non-use and early disengagement (the FRA of Chapter 4), while the consumer configurations with documented sustained engagement do not report whether any assessment verdict reaches the user (the GrandPad class as evaluated; the enterprise configuration adds monitoring functions without documented engagement under an assessment frame); the technologies that population ageing actually requires — instruments that assess fall risk, cognition and function, repeatedly and acceptably — sit in a middle for which this comparison finds no documented exemplar. Second, the missing failure model: GrandPad-class design treats disengagement as a usability and access problem and answers it by minimising occasions for failure; it carries no account of what an adverse result does to an older user's self-concept; in the enterprise configuration the vendor material describes out-of-range readings transmitted to remote caregivers (GrandPad, 2020), and whether any reading is also presented to the user is not reported. Curated ease may also cap challenge, and with it the mastery experiences that learning and flow theories associate with development (Csikszentmihalyi, 1990; Vygotsky, 1978); this is an inference from the design, not a documented outcome. Third, personalisation without adaptation: content is personalised — family, photographs, curated games — but challenge is not calibrated to the individual and does not move with them, so there is no rising trajectory for the user to read. The arrival of AI raises the stakes on all three counts at once. Adaptive models may make individually calibrated challenge easier to implement at scale — the enabling technology for the Chapter 7 framework — but the same wave is filling gerontechnology with continuous monitoring, risk scores and predictions: more verdicts about ageing bodies, delivered more often, to the population this programme's record indicates may respond to unfavourable verdicts by leaving without observed return. Without a behavioural layer, AI-era gerontechnology risks industrialising the non-return pattern documented here. The programme's contribution to gerontology is that layer: FIAS names the failure mode that verdict-bearing technology must design against; the Stage-3 frame-sensitivity evidence indicates where the leverage may lie; and the adaptive-learning framework specifies how a measuring technology can remain bearable — challenge calibrated to the person, results presented as a trajectory, coaching absorbing the failure moment. The gamified FRA is the programme's working case that the middle ground can be entered at the artefact level: one physical action that plays and measures (§5.2A); whether such an artefact becomes returnable-to by design is the question the empirical stages examined and the adaptive-learning framework proposes to answer. In an AI decade, that is the difference between health technologies older adults live with and health technologies that fall silent (§8.6B). Figure 7.3 maps this design space.</w:t>
      </w:r>
    </w:p>
    <w:p>
      <w:pPr>
        <w:keepNext/>
        <w:jc w:val="center"/>
      </w:pPr>
      <w:r>
        <w:drawing>
          <wp:inline>
            <wp:extent cx="5120640" cy="3995517"/>
            <wp:docPr id="39" name="Picture 39" descr="Figure 7.3. The gerontechnology design space as documented in this programme and the cited material."/>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120640" cy="3995517"/>
                    </a:xfrm>
                    <a:prstGeom prst="rect"/>
                  </pic:spPr>
                </pic:pic>
              </a:graphicData>
            </a:graphic>
          </wp:inline>
        </w:drawing>
      </w:r>
    </w:p>
    <w:p>
      <w:pPr>
        <w:pStyle w:val="FigureCaption"/>
      </w:pPr>
      <w:r>
        <w:t>Figure 7.3. The gerontechnology design space as documented in this programme and the cited material. Consumer platforms of the GrandPad class document sustained engagement in supported telehealth and care configurations; whether an assessment verdict reaches the user is not reported in the cited sources; the enterprise configuration adds connected-device data collection with abnormal-range alerts, identified from vendor material that describes functions rather than outcomes (GrandPad, 2020, 2021). The clinical FRA as deployed carried full user-facing measurement, with non-use and early disengagement recorded and no return observed within the window (Chapters 4–5). The upper right is the intended design target, not a demonstrated position: the gamified FRA and the adaptive-learning framework are proposed to measure while remaining bearable and returnable-to for older users, and their combined evaluation remains future work (Chapters 5–7, §8.6, §8.8).</w:t>
      </w:r>
    </w:p>
    <w:p>
      <w:pPr>
        <w:pStyle w:val="Heading1"/>
        <w:pageBreakBefore/>
      </w:pPr>
      <w:r>
        <w:rPr>
          <w:lang w:val="en-US" w:eastAsia="en-US" w:bidi="ar-SA"/>
          <w:color w:val="000000"/>
          <w:szCs w:val="22"/>
        </w:rPr>
        <w:t>Chapter 8 Contributions, Alternative Explanations, Limitations and Ethics</w:t>
      </w:r>
      <w:bookmarkEnd w:id="130"/>
    </w:p>
    <w:p>
      <w:pPr>
        <w:pStyle w:val="Normal"/>
        <w:jc w:val="both"/>
      </w:pPr>
      <w:r>
        <w:rPr>
          <w:szCs w:val="22"/>
          <w:lang w:val="en-US" w:eastAsia="en-US" w:bidi="ar-SA"/>
          <w:rFonts w:ascii="Times New Roman" w:hAnsi="Times New Roman" w:eastAsia="Times New Roman" w:cs="Times New Roman"/>
          <w:sz w:val="24"/>
        </w:rPr>
        <w:t>This chapter distinguishes four contribution registers: engineering, empirical and theoretical, industrial, and methodological. The principal contribution is a domain-specific engineering synthesis that translates observed disengagement into a testable adaptive-learning specification. Its empirical foundation comprises the bounded findings from the completed stages; its psychological interpretation remains provisional. Industrial usefulness depends on whether the specification supports better deployment decisions, while methodological usefulness depends on whether the research and design procedures can be reused. Table 8.0 maps these contributions and their evidential status. The organising question is how gamification can support proactive, continuous improvement when a health-technology innovation encounters difficulty and requires revision.</w:t>
      </w:r>
    </w:p>
    <w:p>
      <w:pPr>
        <w:pStyle w:val="FigureCaption"/>
        <w:keepNext/>
        <w:keepLines/>
        <w:jc w:val="center"/>
      </w:pPr>
      <w:r>
        <w:rPr>
          <w:sz w:val="20"/>
          <w:szCs w:val="22"/>
          <w:lang w:val="en-US" w:eastAsia="en-US" w:bidi="ar-SA"/>
          <w:rFonts w:ascii="Times New Roman" w:hAnsi="Times New Roman" w:eastAsia="Times New Roman" w:cs="Times New Roman"/>
          <w:i/>
        </w:rPr>
        <w:t>Table 8.0. The four contribution registers and where each is stated.</w:t>
      </w:r>
    </w:p>
    <w:tbl>
      <w:tblPr>
        <w:tblStyle w:val="TableGrid"/>
        <w:tblW w:type="dxa" w:w="8505"/>
        <w:tblLayout w:type="fixed"/>
        <w:tblLook w:firstColumn="1" w:firstRow="1" w:lastColumn="0" w:lastRow="0" w:noHBand="0" w:noVBand="1" w:val="04A0"/>
      </w:tblPr>
      <w:tblGrid>
        <w:gridCol w:w="1472"/>
        <w:gridCol w:w="5179"/>
        <w:gridCol w:w="1854"/>
      </w:tblGrid>
      <w:tr>
        <w:trPr>
          <w:tblHeader/>
          <w:cantSplit/>
        </w:trPr>
        <w:tc>
          <w:tcPr>
            <w:tcW w:type="dxa" w:w="1472"/>
          </w:tcPr>
          <w:p>
            <w:pPr>
              <w:pStyle w:val="Normal"/>
              <w:keepNext w:val="0"/>
              <w:keepLines/>
            </w:pPr>
            <w:r>
              <w:rPr>
                <w:b/>
                <w:sz w:val="18"/>
                <w:szCs w:val="22"/>
                <w:lang w:val="en-US" w:eastAsia="en-US" w:bidi="ar-SA"/>
                <w:rFonts w:ascii="Times New Roman" w:hAnsi="Times New Roman" w:eastAsia="Times New Roman" w:cs="Times New Roman"/>
              </w:rPr>
              <w:t>Register</w:t>
            </w:r>
          </w:p>
        </w:tc>
        <w:tc>
          <w:tcPr>
            <w:tcW w:type="dxa" w:w="5179"/>
          </w:tcPr>
          <w:p>
            <w:pPr>
              <w:pStyle w:val="Normal"/>
              <w:keepNext w:val="0"/>
              <w:keepLines/>
            </w:pPr>
            <w:r>
              <w:rPr>
                <w:b/>
                <w:sz w:val="18"/>
                <w:szCs w:val="22"/>
                <w:lang w:val="en-US" w:eastAsia="en-US" w:bidi="ar-SA"/>
                <w:rFonts w:ascii="Times New Roman" w:hAnsi="Times New Roman" w:eastAsia="Times New Roman" w:cs="Times New Roman"/>
              </w:rPr>
              <w:t>Contribution</w:t>
            </w:r>
          </w:p>
        </w:tc>
        <w:tc>
          <w:tcPr>
            <w:tcW w:type="dxa" w:w="1854"/>
          </w:tcPr>
          <w:p>
            <w:pPr>
              <w:pStyle w:val="Normal"/>
              <w:keepNext w:val="0"/>
              <w:keepLines/>
            </w:pPr>
            <w:r>
              <w:rPr>
                <w:b/>
                <w:sz w:val="18"/>
                <w:szCs w:val="22"/>
                <w:lang w:val="en-US" w:eastAsia="en-US" w:bidi="ar-SA"/>
                <w:rFonts w:ascii="Times New Roman" w:hAnsi="Times New Roman" w:eastAsia="Times New Roman" w:cs="Times New Roman"/>
              </w:rPr>
              <w:t>Stated in</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Empirical and theoretical</w:t>
            </w:r>
          </w:p>
        </w:tc>
        <w:tc>
          <w:tcPr>
            <w:tcW w:type="dxa" w:w="5179"/>
          </w:tcPr>
          <w:p>
            <w:pPr>
              <w:pStyle w:val="Normal"/>
            </w:pPr>
            <w:r>
              <w:rPr>
                <w:sz w:val="24"/>
                <w:szCs w:val="22"/>
                <w:lang w:val="en-US" w:eastAsia="en-US" w:bidi="ar-SA"/>
                <w:rFonts w:ascii="Times New Roman" w:hAnsi="Times New Roman" w:eastAsia="Times New Roman" w:cs="Times New Roman"/>
              </w:rPr>
              <w:t>Provisional FIAS descriptor; candidate frame-sensitive appraisal account; bounded deployment findings and alternative explanations</w:t>
            </w:r>
          </w:p>
        </w:tc>
        <w:tc>
          <w:tcPr>
            <w:tcW w:type="dxa" w:w="1854"/>
          </w:tcPr>
          <w:p>
            <w:pPr>
              <w:pStyle w:val="Normal"/>
            </w:pPr>
            <w:r>
              <w:rPr>
                <w:sz w:val="24"/>
                <w:szCs w:val="22"/>
                <w:lang w:val="en-US" w:eastAsia="en-US" w:bidi="ar-SA"/>
                <w:rFonts w:ascii="Times New Roman" w:hAnsi="Times New Roman" w:eastAsia="Times New Roman" w:cs="Times New Roman"/>
              </w:rPr>
              <w:t>§8.1, §8.3; Chs 2, 9</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Engineering</w:t>
            </w:r>
          </w:p>
        </w:tc>
        <w:tc>
          <w:tcPr>
            <w:tcW w:type="dxa" w:w="5179"/>
          </w:tcPr>
          <w:p>
            <w:pPr>
              <w:pStyle w:val="Normal"/>
            </w:pPr>
            <w:r>
              <w:rPr>
                <w:sz w:val="24"/>
                <w:szCs w:val="22"/>
                <w:lang w:val="en-US" w:eastAsia="en-US" w:bidi="ar-SA"/>
                <w:rFonts w:ascii="Times New Roman" w:hAnsi="Times New Roman" w:eastAsia="Times New Roman" w:cs="Times New Roman"/>
              </w:rPr>
              <w:t>Domain-specific adaptive-learning synthesis; proposed dynamic-state architecture and credible-progress specification for participant support and system redesign</w:t>
            </w:r>
          </w:p>
        </w:tc>
        <w:tc>
          <w:tcPr>
            <w:tcW w:type="dxa" w:w="1854"/>
          </w:tcPr>
          <w:p>
            <w:pPr>
              <w:pStyle w:val="Normal"/>
            </w:pPr>
            <w:r>
              <w:rPr>
                <w:sz w:val="24"/>
                <w:szCs w:val="22"/>
                <w:lang w:val="en-US" w:eastAsia="en-US" w:bidi="ar-SA"/>
                <w:rFonts w:ascii="Times New Roman" w:hAnsi="Times New Roman" w:eastAsia="Times New Roman" w:cs="Times New Roman"/>
              </w:rPr>
              <w:t>Ch 7 (§7.4, §7.5, §7.5A); §8.4</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Industrial</w:t>
            </w:r>
          </w:p>
        </w:tc>
        <w:tc>
          <w:tcPr>
            <w:tcW w:type="dxa" w:w="5179"/>
          </w:tcPr>
          <w:p>
            <w:pPr>
              <w:pStyle w:val="Normal"/>
            </w:pPr>
            <w:r>
              <w:rPr>
                <w:sz w:val="24"/>
                <w:szCs w:val="22"/>
                <w:lang w:val="en-US" w:eastAsia="en-US" w:bidi="ar-SA"/>
                <w:rFonts w:ascii="Times New Roman" w:hAnsi="Times New Roman" w:eastAsia="Times New Roman" w:cs="Times New Roman"/>
              </w:rPr>
              <w:t>Proposed service-design specification for existing FRA infrastructure, with evaluation criteria for appropriate use, credible progress, burden and cost</w:t>
            </w:r>
          </w:p>
        </w:tc>
        <w:tc>
          <w:tcPr>
            <w:tcW w:type="dxa" w:w="1854"/>
          </w:tcPr>
          <w:p>
            <w:pPr>
              <w:pStyle w:val="Normal"/>
            </w:pPr>
            <w:r>
              <w:rPr>
                <w:sz w:val="24"/>
                <w:szCs w:val="22"/>
                <w:lang w:val="en-US" w:eastAsia="en-US" w:bidi="ar-SA"/>
                <w:rFonts w:ascii="Times New Roman" w:hAnsi="Times New Roman" w:eastAsia="Times New Roman" w:cs="Times New Roman"/>
              </w:rPr>
              <w:t>§8.4; §9.8</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Methodological</w:t>
            </w:r>
          </w:p>
        </w:tc>
        <w:tc>
          <w:tcPr>
            <w:tcW w:type="dxa" w:w="5179"/>
          </w:tcPr>
          <w:p>
            <w:pPr>
              <w:pStyle w:val="Normal"/>
            </w:pPr>
            <w:r>
              <w:rPr>
                <w:sz w:val="24"/>
                <w:szCs w:val="22"/>
                <w:lang w:val="en-US" w:eastAsia="en-US" w:bidi="ar-SA"/>
                <w:rFonts w:ascii="Times New Roman" w:hAnsi="Times New Roman" w:eastAsia="Times New Roman" w:cs="Times New Roman"/>
              </w:rPr>
              <w:t>Sequential exploratory action research; dual-purpose mechanic; QFD evidence-to-design pipeline; descriptive separation of participation and intended regular use</w:t>
            </w:r>
          </w:p>
        </w:tc>
        <w:tc>
          <w:tcPr>
            <w:tcW w:type="dxa" w:w="1854"/>
          </w:tcPr>
          <w:p>
            <w:pPr>
              <w:pStyle w:val="Normal"/>
            </w:pPr>
            <w:r>
              <w:rPr>
                <w:sz w:val="24"/>
                <w:szCs w:val="22"/>
                <w:lang w:val="en-US" w:eastAsia="en-US" w:bidi="ar-SA"/>
                <w:rFonts w:ascii="Times New Roman" w:hAnsi="Times New Roman" w:eastAsia="Times New Roman" w:cs="Times New Roman"/>
              </w:rPr>
              <w:t>§8.2; Table 3.1</w:t>
            </w:r>
          </w:p>
        </w:tc>
      </w:tr>
    </w:tbl>
    <w:p>
      <w:pPr>
        <w:pStyle w:val="Heading2"/>
      </w:pPr>
      <w:bookmarkStart w:id="131" w:name="_Toc232024619"/>
      <w:r>
        <w:rPr>
          <w:lang w:val="en-US" w:eastAsia="en-US" w:bidi="ar-SA"/>
          <w:color w:val="000000"/>
          <w:szCs w:val="22"/>
        </w:rPr>
        <w:t>8.1 Theoretical Contributions</w:t>
      </w:r>
      <w:bookmarkEnd w:id="131"/>
    </w:p>
    <w:p>
      <w:pPr>
        <w:pStyle w:val="Normal"/>
        <w:jc w:val="both"/>
      </w:pPr>
      <w:r>
        <w:rPr>
          <w:i w:val="0"/>
          <w:szCs w:val="22"/>
          <w:lang w:val="en-US" w:eastAsia="en-US" w:bidi="ar-SA"/>
          <w:rFonts w:ascii="Times New Roman" w:hAnsi="Times New Roman" w:eastAsia="Times New Roman" w:cs="Times New Roman"/>
          <w:sz w:val="24"/>
        </w:rPr>
        <w:t>The theoretical contribution is a contextual problem formulation that supports the engineering synthesis. First, FIAS is advanced as a provisional, non-diagnostic descriptor of failure-associated non-return; it does not itself establish an intention to avoid the device or a psychological cause. Second, the contrast between the studied deployments motivates a candidate boundary to the transfer of selected acceptance and gamification design principles into clinically consequential assessment. Clinical framing is one possible contributor, alongside input modality, setting, recruitment, burden and practical consequences; the comparison does not identify a universal boundary of gamification theory. Third, identity-related appraisal is specified as a candidate account whose proposed operators—loss aversion, endowment protection, mental accounting and stereotype threat—require distinct measures and discriminating predictions (Table 2.1). The account must demonstrate explanatory value beyond perceived competence, satisfaction, continuance and medical-information avoidance, rather than claim that these literatures cannot accommodate the observations (Bandura, 1997; Bhattacherjee, 2001; Howell &amp; Shepperd, 2012). Fourth, the thesis integrates these questions with an adaptive-learning response comprising identity disentanglement, trajectory feedback and adaptive calibration. Adaptive learning is established prior work; the proposed originality is its specification for this dual-purpose assessment context and its connection to credible progress under changing task and system conditions (Chapter 7). The completed programme motivates this synthesis but does not establish its effectiveness or necessity.</w:t>
      </w:r>
    </w:p>
    <w:p>
      <w:pPr>
        <w:pStyle w:val="Heading2"/>
      </w:pPr>
      <w:bookmarkStart w:id="132" w:name="_Toc232024620"/>
      <w:r>
        <w:rPr>
          <w:lang w:val="en-US" w:eastAsia="en-US" w:bidi="ar-SA"/>
          <w:color w:val="000000"/>
          <w:szCs w:val="22"/>
        </w:rPr>
        <w:t>8.2 Methodological Contributions</w:t>
      </w:r>
      <w:bookmarkEnd w:id="132"/>
    </w:p>
    <w:p>
      <w:pPr>
        <w:pStyle w:val="Normal"/>
        <w:jc w:val="both"/>
      </w:pPr>
      <w:r>
        <w:rPr>
          <w:szCs w:val="22"/>
          <w:lang w:val="en-US" w:eastAsia="en-US" w:bidi="ar-SA"/>
          <w:rFonts w:ascii="Times New Roman" w:hAnsi="Times New Roman" w:eastAsia="Times New Roman" w:cs="Times New Roman"/>
          <w:sz w:val="24"/>
        </w:rPr>
        <w:t>The methodological contribution lies in the combination and documentation of sequential exploratory action research: an initial theory-informed design expectation, prospective field observation, a subsequent between-cohort comparison, and explicit revision of the resulting explanation and design requirements (Table 3.1). The unfulfilled design expectation is not a statistical falsification of TAM, STAM or gamification research, and Stage 3 is neither a positive control nor an isolated attribution experiment. Reusable elements include the dual-purpose mechanic linking gameplay with a measurement pathway, the QFD evidence-to-design pipeline (§5.5A), the documented AI-assisted development workflow (§5.3.9), and the descriptive separation of immediate participation from future-use intention. Their value is practical traceability from observation to engineering decision, rather than a newly validated causal-identification method. The proposed continuous-improvement process extends that traceability to future changes in task, controller and interface by requiring their rationale, version and evaluation conditions to be retained (Chapter 7).</w:t>
      </w:r>
    </w:p>
    <w:p>
      <w:pPr>
        <w:pStyle w:val="Heading2"/>
      </w:pPr>
      <w:bookmarkStart w:id="133" w:name="_Toc232024621"/>
      <w:r>
        <w:rPr>
          <w:lang w:val="en-US" w:eastAsia="en-US" w:bidi="ar-SA"/>
          <w:color w:val="000000"/>
          <w:szCs w:val="22"/>
        </w:rPr>
        <w:t>8.3 Empirical Contributions</w:t>
      </w:r>
      <w:bookmarkEnd w:id="133"/>
    </w:p>
    <w:p>
      <w:pPr>
        <w:pStyle w:val="Normal"/>
        <w:jc w:val="both"/>
      </w:pPr>
      <w:r>
        <w:rPr>
          <w:szCs w:val="22"/>
          <w:lang w:val="en-US" w:eastAsia="en-US" w:bidi="ar-SA"/>
          <w:rFonts w:ascii="Times New Roman" w:hAnsi="Times New Roman" w:eastAsia="Times New Roman" w:cs="Times New Roman"/>
          <w:sz w:val="24"/>
        </w:rP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an association (exploratory, unadjusted) between satisfaction and sustained engagement (Fisher's exact p = 0.013); the documented withdrawal (§5.5) of an earlier exploratory motivational-orientation classification whose coding records could not be produced; recorded-index increase with a therapist-reported entry of no symptom improvement in three of the eight single-session participants (joint count read from the archived per-participant record, Appendix G item G.2; two of seven excluding the unverified record), with no return among any of the eight; 65.2% return among Stage-3 initial dropouts overall and 62.5% in the 65–80 band, reported from the Stage-3 aggregate record (§6.4); 71.7% positive responses to the coordination-related item (a positive-coded response; not a manipulation check); 63.3% regular-use intention overall; and a descriptive 29.3-percentage-point difference between continued or resumed play and regular-use intention in the 65–80 band. These results do not constitute a direct correlation across stages because the participants and measures differ.</w:t>
      </w:r>
    </w:p>
    <w:p>
      <w:pPr>
        <w:pStyle w:val="Heading2"/>
      </w:pPr>
      <w:bookmarkStart w:id="134" w:name="_Toc232024622"/>
      <w:r>
        <w:rPr>
          <w:lang w:val="en-US" w:eastAsia="en-US" w:bidi="ar-SA"/>
          <w:color w:val="000000"/>
          <w:szCs w:val="22"/>
        </w:rPr>
        <w:t>8.4 Industrial and Practical Contributions</w:t>
      </w:r>
      <w:bookmarkEnd w:id="134"/>
    </w:p>
    <w:p>
      <w:pPr>
        <w:pStyle w:val="Normal"/>
        <w:jc w:val="both"/>
      </w:pPr>
      <w:r>
        <w:rPr>
          <w:szCs w:val="22"/>
          <w:lang w:val="en-US" w:eastAsia="en-US" w:bidi="ar-SA"/>
          <w:rFonts w:ascii="Times New Roman" w:hAnsi="Times New Roman" w:eastAsia="Times New Roman" w:cs="Times New Roman"/>
          <w:sz w:val="24"/>
        </w:rPr>
        <w:t>The practical contribution is a proposed implementation specification for supporting voluntary engagement with an existing assessment technology. It brings together participant-facing framing, condition-specific progress feedback, staff coaching and adaptive challenge. Under the stated thesis title, the proactive point of intervention is an emerging difficulty or adverse experience; continuous improvement concerns both the participant's opportunity to learn and the engineering team's revision of an unsatisfactory design. Neither a higher adaptive-game score nor a new software version is sufficient evidence of improvement. The proposed evaluation therefore separates participation, performance under stated conditions, retention and transfer of learning, and service outcomes, while documenting the changes that may affect comparability (Chapter 7; Soderstrom &amp; Bjork, 2015). The framework is informed by field evidence and learning theory, but requires controlled evaluation, implementation-fidelity assessment, usability testing, longitudinal follow-up and cost analysis before effectiveness or industrial benefit can be claimed.</w:t>
      </w:r>
    </w:p>
    <w:p>
      <w:pPr>
        <w:pStyle w:val="Heading2"/>
      </w:pPr>
      <w:bookmarkStart w:id="135" w:name="_Toc232024623"/>
      <w:bookmarkEnd w:id="135"/>
      <w:r>
        <w:rPr>
          <w:lang w:val="en-US" w:eastAsia="en-US" w:bidi="ar-SA"/>
          <w:color w:val="000000"/>
          <w:szCs w:val="22"/>
        </w:rPr>
        <w:t>8.4A A Forward-Looking Contribution: Sensing and Person-Conditioned Adaptation</w:t>
      </w:r>
    </w:p>
    <w:p>
      <w:pPr>
        <w:pStyle w:val="Normal"/>
        <w:jc w:val="both"/>
      </w:pPr>
      <w:r>
        <w:rPr>
          <w:szCs w:val="22"/>
          <w:lang w:val="en-US" w:eastAsia="en-US" w:bidi="ar-SA"/>
          <w:rFonts w:ascii="Times New Roman" w:hAnsi="Times New Roman" w:eastAsia="Times New Roman" w:cs="Times New Roman"/>
          <w:sz w:val="24"/>
        </w:rP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The thesis therefore proposes an engineering extension — add ethically justified, consented and validated real-time signals, update a person-specific state estimate, and evaluate whether safe, pre-specified interventions improve retry and return without reducing challenge or obscuring important information (§9.8C) — and states the evidential boundary of that extension at §8.6A. This is a limitation of the sensing and control configuration used in the study; it should not be generalised into a claim about language models in general or about artificial general intelligence.</w:t>
      </w:r>
    </w:p>
    <w:p>
      <w:pPr>
        <w:pStyle w:val="Heading2"/>
      </w:pPr>
      <w:bookmarkStart w:id="136" w:name="_Toc232024624"/>
      <w:r>
        <w:rPr>
          <w:lang w:val="en-US" w:eastAsia="en-US" w:bidi="ar-SA"/>
          <w:color w:val="000000"/>
          <w:szCs w:val="22"/>
        </w:rPr>
        <w:t>8.5 Alternative Explanations</w:t>
      </w:r>
      <w:bookmarkEnd w:id="136"/>
    </w:p>
    <w:p>
      <w:pPr>
        <w:pStyle w:val="Normal"/>
        <w:jc w:val="both"/>
      </w:pPr>
      <w:r>
        <w:rPr>
          <w:szCs w:val="22"/>
          <w:lang w:val="en-US" w:eastAsia="en-US" w:bidi="ar-SA"/>
          <w:rFonts w:ascii="Times New Roman" w:hAnsi="Times New Roman" w:eastAsia="Times New Roman" w:cs="Times New Roman"/>
          <w:sz w:val="24"/>
        </w:rPr>
        <w:t>The credibility of the frame-sensitive account depends on examining alternatives. Ten are considered below, and several remain viable because the comparison is between cohorts and deployment contexts. The expert consultation of §6.8A contributes an interpretive perspective compatible with clinical avoidance and identifies group and coach support as candidate moderators. Consultation does not establish the cause of the observed behaviour. A future within-cohort study should record and, where feasible, standardise these contextual influences.</w:t>
      </w:r>
    </w:p>
    <w:p>
      <w:pPr>
        <w:pStyle w:val="Heading3"/>
      </w:pPr>
      <w:bookmarkStart w:id="137" w:name="_Toc232024625"/>
      <w:r>
        <w:rPr>
          <w:color w:val="000000"/>
          <w:szCs w:val="26"/>
          <w:lang w:val="en-US" w:eastAsia="en-US" w:bidi="ar-SA"/>
        </w:rPr>
        <w:t>8.5.1 Cohort Self-Selection</w:t>
      </w:r>
      <w:bookmarkEnd w:id="137"/>
    </w:p>
    <w:p>
      <w:pPr>
        <w:pStyle w:val="Normal"/>
        <w:jc w:val="both"/>
      </w:pPr>
      <w:r>
        <w:rPr>
          <w:szCs w:val="22"/>
          <w:lang w:val="en-US" w:eastAsia="en-US" w:bidi="ar-SA"/>
          <w:rFonts w:ascii="Times New Roman" w:hAnsi="Times New Roman" w:eastAsia="Times New Roman" w:cs="Times New Roman"/>
          <w:sz w:val="24"/>
        </w:rPr>
        <w:t>Concern: Stage-2 and Stage-3 participants may differ because of volunteer selection, residential status, health, education, technology familiarity or recruitment channel. Response: the Stage-3 return result in the 65–80 band remains substantially different from the Stage-2 observation and is therefore difficult to ignore. However, the natural comparable pair - the Stage-2 re-engagement outcome (0 of 21) and the Stage-3 return-after-dropout outcome (15 of 23) - spans non-equivalent cohorts and conditions, so it cannot quantify the size of selection bias, and the present data cannot show that cohort differences are too small to explain part of the effect. Randomisation within one recruited cohort is required.</w:t>
      </w:r>
    </w:p>
    <w:p>
      <w:pPr>
        <w:pStyle w:val="Heading3"/>
      </w:pPr>
      <w:bookmarkStart w:id="138" w:name="_Toc232024626"/>
      <w:r>
        <w:rPr>
          <w:color w:val="000000"/>
          <w:szCs w:val="26"/>
          <w:lang w:val="en-US" w:eastAsia="en-US" w:bidi="ar-SA"/>
        </w:rPr>
        <w:t>8.5.2 Novelty Effect</w:t>
      </w:r>
      <w:bookmarkEnd w:id="138"/>
    </w:p>
    <w:p>
      <w:pPr>
        <w:pStyle w:val="Normal"/>
        <w:jc w:val="both"/>
      </w:pPr>
      <w:r>
        <w:rPr>
          <w:szCs w:val="22"/>
          <w:lang w:val="en-US" w:eastAsia="en-US" w:bidi="ar-SA"/>
          <w:rFonts w:ascii="Times New Roman" w:hAnsi="Times New Roman" w:eastAsia="Times New Roman" w:cs="Times New Roman"/>
          <w:sz w:val="24"/>
        </w:rP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pPr>
        <w:pStyle w:val="Heading3"/>
      </w:pPr>
      <w:bookmarkStart w:id="139" w:name="_Toc232024627"/>
      <w:r>
        <w:rPr>
          <w:color w:val="000000"/>
          <w:szCs w:val="26"/>
          <w:lang w:val="en-US" w:eastAsia="en-US" w:bidi="ar-SA"/>
        </w:rPr>
        <w:t>8.5.3 Demand Characteristics and Hawthorne Effect</w:t>
      </w:r>
      <w:bookmarkEnd w:id="139"/>
    </w:p>
    <w:p>
      <w:pPr>
        <w:pStyle w:val="Normal"/>
        <w:jc w:val="both"/>
      </w:pPr>
      <w:r>
        <w:rPr>
          <w:szCs w:val="22"/>
          <w:lang w:val="en-US" w:eastAsia="en-US" w:bidi="ar-SA"/>
          <w:rFonts w:ascii="Times New Roman" w:hAnsi="Times New Roman" w:eastAsia="Times New Roman" w:cs="Times New Roman"/>
          <w:sz w:val="24"/>
        </w:rP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pPr>
        <w:pStyle w:val="Heading3"/>
      </w:pPr>
      <w:bookmarkStart w:id="140" w:name="_Toc232024628"/>
      <w:r>
        <w:rPr>
          <w:color w:val="000000"/>
          <w:szCs w:val="26"/>
          <w:lang w:val="en-US" w:eastAsia="en-US" w:bidi="ar-SA"/>
        </w:rPr>
        <w:t>8.5.4 Regression to the Mean</w:t>
      </w:r>
      <w:bookmarkEnd w:id="140"/>
    </w:p>
    <w:p>
      <w:pPr>
        <w:pStyle w:val="Normal"/>
        <w:jc w:val="both"/>
      </w:pPr>
      <w:r>
        <w:rPr>
          <w:szCs w:val="22"/>
          <w:lang w:val="en-US" w:eastAsia="en-US" w:bidi="ar-SA"/>
          <w:rFonts w:ascii="Times New Roman" w:hAnsi="Times New Roman" w:eastAsia="Times New Roman" w:cs="Times New Roman"/>
          <w:sz w:val="24"/>
        </w:rP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pPr>
        <w:pStyle w:val="Heading3"/>
      </w:pPr>
      <w:bookmarkStart w:id="141" w:name="_Toc232024629"/>
      <w:r>
        <w:rPr>
          <w:color w:val="000000"/>
          <w:szCs w:val="26"/>
          <w:lang w:val="en-US" w:eastAsia="en-US" w:bidi="ar-SA"/>
        </w:rPr>
        <w:t>8.5.5 Physical Fatigue and Motor-Learning Limits</w:t>
      </w:r>
      <w:bookmarkEnd w:id="141"/>
    </w:p>
    <w:p>
      <w:pPr>
        <w:pStyle w:val="Normal"/>
        <w:jc w:val="both"/>
      </w:pPr>
      <w:r>
        <w:rPr>
          <w:szCs w:val="22"/>
          <w:lang w:val="en-US" w:eastAsia="en-US" w:bidi="ar-SA"/>
          <w:rFonts w:ascii="Times New Roman" w:hAnsi="Times New Roman" w:eastAsia="Times New Roman" w:cs="Times New Roman"/>
          <w:sz w:val="24"/>
        </w:rPr>
        <w:t>Concern: age-linked fatigue, balance limitation or motor-learning difficulty may explain some Stage-3 non-return and some of the gap between continued or resumed play and regular-use intention. Response: this explanation remains plausible and should be measured directly rather than assigned only to a residual subgroup.</w:t>
      </w:r>
    </w:p>
    <w:p>
      <w:pPr>
        <w:pStyle w:val="Heading3"/>
      </w:pPr>
      <w:bookmarkStart w:id="142" w:name="_Toc232024630"/>
      <w:r>
        <w:rPr>
          <w:color w:val="000000"/>
          <w:szCs w:val="26"/>
          <w:lang w:val="en-US" w:eastAsia="en-US" w:bidi="ar-SA"/>
        </w:rPr>
        <w:t>8.5.6 Language and Literacy Confounds</w:t>
      </w:r>
      <w:bookmarkEnd w:id="142"/>
    </w:p>
    <w:p>
      <w:pPr>
        <w:pStyle w:val="Normal"/>
        <w:jc w:val="both"/>
      </w:pPr>
      <w:r>
        <w:rPr>
          <w:szCs w:val="22"/>
          <w:lang w:val="en-US" w:eastAsia="en-US" w:bidi="ar-SA"/>
          <w:rFonts w:ascii="Times New Roman" w:hAnsi="Times New Roman" w:eastAsia="Times New Roman" w:cs="Times New Roman"/>
          <w:sz w:val="24"/>
        </w:rPr>
        <w:t>Concern: the Stage-3 pattern may reflect terminology or other changes in presentation rather than a specific psychological mechanism. Response: terminology is one component of participant-facing framing, but Stage 3 changed lexical, procedural, interface and recruitment cues together with the deployment context. The observed contrast concerns that combined package and context; it does not estimate an isolated framing effect. Future component testing is required to identify which elements contribute, under which conditions, and whether they interact.</w:t>
      </w:r>
    </w:p>
    <w:p>
      <w:pPr>
        <w:pStyle w:val="Heading3"/>
      </w:pPr>
      <w:bookmarkStart w:id="143" w:name="_Toc232024631"/>
      <w:r>
        <w:rPr>
          <w:color w:val="000000"/>
          <w:szCs w:val="26"/>
          <w:lang w:val="en-US" w:eastAsia="en-US" w:bidi="ar-SA"/>
        </w:rPr>
        <w:t>8.5.7 Mechanism-Aspecific Just-Better-Design Alternative</w:t>
      </w:r>
      <w:bookmarkEnd w:id="143"/>
    </w:p>
    <w:p>
      <w:pPr>
        <w:pStyle w:val="Normal"/>
        <w:jc w:val="both"/>
      </w:pPr>
      <w:r>
        <w:rPr>
          <w:szCs w:val="22"/>
          <w:lang w:val="en-US" w:eastAsia="en-US" w:bidi="ar-SA"/>
          <w:rFonts w:ascii="Times New Roman" w:hAnsi="Times New Roman" w:eastAsia="Times New Roman" w:cs="Times New Roman"/>
          <w:sz w:val="24"/>
        </w:rPr>
        <w:t>Concern: Stage 3 may have produced better outcomes because the overall experience was simply better in ways not captured by the protocol. Response: the game mechanic and session structure were carried into the separately built Stage-3 HTML build, but the platform, input device, setting, supervision, interface, pre-session procedure and recruitment all differed — Stage 3 was played remotely — mostly on participants' own computers and, for some older participants, on a prepared iPad with a research assistant beside them (§6.4) — rather than on the therapist-supervised pressure-panel station. "Just better design" and "just a lighter context" therefore remain viable mechanism-aspecific alternatives. Detailed implementation-fidelity records and within-cohort randomisation are required.</w:t>
      </w:r>
    </w:p>
    <w:p>
      <w:pPr>
        <w:pStyle w:val="Heading3"/>
      </w:pPr>
      <w:r>
        <w:rPr>
          <w:color w:val="000000"/>
          <w:szCs w:val="26"/>
          <w:lang w:val="en-US" w:eastAsia="en-US" w:bidi="ar-SA"/>
        </w:rPr>
        <w:t>8.5.8 Input Modality and Embodied Exposure</w:t>
      </w:r>
    </w:p>
    <w:p>
      <w:pPr>
        <w:pStyle w:val="Normal"/>
        <w:jc w:val="both"/>
      </w:pPr>
      <w:r>
        <w:rPr>
          <w:szCs w:val="22"/>
          <w:lang w:val="en-US" w:eastAsia="en-US" w:bidi="ar-SA"/>
          <w:rFonts w:ascii="Times New Roman" w:hAnsi="Times New Roman" w:eastAsia="Times New Roman" w:cs="Times New Roman"/>
          <w:sz w:val="24"/>
        </w:rPr>
        <w:t>Concern: in Stage 2, participants controlled play through weight shifts on a foot pad resting on the pressure-panel footplate, whereas in Stage 3 participants steered with arrow keys or a foot-pad sensor where one was available, and which device each participant used was not recorded (§6.4). The contrast may therefore reflect the physical demands and perceived meaning of the input device as well as clinical framing: difficulty involving balance may be interpreted differently from difficulty involving finger control. Response: this is a viable alternative that the present comparison cannot separate from framing. Technical coupling to a measurement pathway, participant-facing clinical meaning, and embodied task demand should remain distinct design dimensions; combining them under one explanatory label would prevent their contributions from being tested separately. The proposed coupled-versus-decoupled comparison holds input modality constant, while a separately designed modality comparison would be needed to estimate embodiment effects.</w:t>
      </w:r>
    </w:p>
    <w:p>
      <w:pPr>
        <w:jc w:val="both"/>
      </w:pPr>
      <w:r>
        <w:t>Stage 3B adds a touch-input component study — recorded to its 30 September 2026 cut-off in §8.8 and Appendix I, and no longer used as the test of adaptive learning — to a programme that has used standing whole-body input and remote seated hand input. Its adaptive-versus-static and zero-failure-versus-game-over contrasts address presentation components within its study context; clinical framing is not a factor in that design. Consequently, Stage 3B cannot by itself identify the clinical-framing effect or separate framing from embodiment across the earlier stages. A graduated route from seated play to standing-panel interaction may be worth testing as a design proposition, but the present observations do not show that input modality functions as an identity-exposure scale, that confidence accumulates along that route, or that clinical reattachment is successful. Those outcomes require their own measures and comparison conditions.</w:t>
      </w:r>
    </w:p>
    <w:p>
      <w:pPr>
        <w:pStyle w:val="Heading3"/>
      </w:pPr>
      <w:r>
        <w:rPr>
          <w:color w:val="000000"/>
        </w:rPr>
        <w:t>8.5.9 Ordinary Discontinuance and Non-Usage Attrition</w:t>
      </w:r>
    </w:p>
    <w:p>
      <w:pPr>
        <w:jc w:val="both"/>
      </w:pPr>
      <w:r>
        <w:t>Concern: the observed non-return may represent ordinary discontinuance related to dissatisfaction, burden, boredom, limited relevance, competing priorities or changing opportunity. Response: non-usage attrition describes an outcome requiring explanation; it does not necessarily predict gradual decline, occasional return or indifference to context (Eysenbach, 2005). Improving recorded performance can coexist with boredom, low perceived competence or an unsatisfactory experience, so the score–return divergence does not rule these explanations out. The thesis's satisfaction–engagement association makes satisfaction-based continuance a particularly relevant rival (Bhattacherjee, 2001). The concentration of exits early in Stage 2 identifies a useful intervention point, but does not by itself discriminate among these accounts. Likewise, changes in burden, enjoyment and opportunity across the Stage-3 package and context could affect return. A future study should compare explicitly specified predictors and appraisals, including satisfaction, perceived competence, expected benefit, burden and identity relevance. FIAS would add explanatory value only if its proposed account predicts something beyond those alternatives. The retrieved observation sequence of §5.6 adds a further observation, though not a discriminating one: the field notes record players who acknowledged the system's benefits and were recording index gains, yet gave up after recurring in-game failures across their second and third cycles - a profile that boredom, limited-relevance and competing-priority accounts do not obviously predict, although none of them is excluded by it. That reading is an interpretation of retrospective field notes rather than a measured discrimination: acknowledging benefit while stopping is also compatible with dissatisfaction, burden or competing priorities, so it does not by itself weigh against these ordinary-attrition explanations, which remain live rivals to be carried as comparators into the future study specified above. Observations that would distinguish the accounts prospectively include measured appraisal at the failure moment, stated reasons for stopping collected from non-returners, and whether return differs when verdict cues are removed while burden, enjoyment and opportunity are held constant.</w:t>
      </w:r>
    </w:p>
    <w:p>
      <w:pPr>
        <w:pStyle w:val="Heading3"/>
      </w:pPr>
      <w:r>
        <w:rPr>
          <w:color w:val="000000"/>
        </w:rPr>
        <w:t>8.5.10 Rational Consequence-Avoidance</w:t>
      </w:r>
    </w:p>
    <w:p>
      <w:pPr>
        <w:jc w:val="both"/>
      </w:pPr>
      <w:r>
        <w:t>Concern: the operating practice described in §4.1A gives an adverse FRA verdict real consequences - prescribed balance training and recommendations against walking alone and freely - so avoidance could be a rational response to those consequences rather than an identity-level appraisal: a resident may stay away simply because a bad result costs freedom and time, no psychology of self-concept required. Response: this rival is conceded as live and unmeasured, and it is partly complementary rather than fully displacing - the consequence pathway still runs through the verdict and its frame, not through difficulty or game design, so it shares the coupling structure of the account this thesis proposes while differing on the mechanism inside it. The present data cannot separate the two: Stage 3 removed the verdict and its practical consequences together, so the between-cohort difference is equally consistent with either reading. Distinguishing them requires instrumentation the confirmatory study should carry - measured perception of consequence risk alongside identity-threat measures - and until then the thesis's mechanism language remains at the candidate level (§6.7).</w:t>
      </w:r>
    </w:p>
    <w:p>
      <w:pPr>
        <w:pStyle w:val="Heading2"/>
      </w:pPr>
      <w:bookmarkStart w:id="144" w:name="_Toc232024632"/>
      <w:r>
        <w:rPr>
          <w:lang w:val="en-US" w:eastAsia="en-US" w:bidi="ar-SA"/>
          <w:color w:val="000000"/>
          <w:szCs w:val="22"/>
        </w:rPr>
        <w:t>8.6 Limitations</w:t>
      </w:r>
      <w:bookmarkEnd w:id="144"/>
    </w:p>
    <w:p>
      <w:pPr>
        <w:pStyle w:val="Normal"/>
        <w:jc w:val="both"/>
      </w:pPr>
      <w:r>
        <w:rPr>
          <w:szCs w:val="22"/>
          <w:lang w:val="en-US" w:eastAsia="en-US" w:bidi="ar-SA"/>
          <w:rFonts w:ascii="Times New Roman" w:hAnsi="Times New Roman" w:eastAsia="Times New Roman" w:cs="Times New Roman"/>
          <w:sz w:val="24"/>
        </w:rPr>
        <w:t>The principal limitations are as follows. The Stage-2-versus-Stage-3 comparison is between-cycle and between-cohort; the Stage-3 decoupling package contains multiple changes, including a change of platform, input device, setting and supervision (a remotely played HTML build rather than the supervised pressure-panel station);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 Chapter-7 adaptive-learning framework remains untested in the field: the Stage-3B component study is reported as a descriptive record to its 30 September 2026 cut-off (§8.8; Appendix I) and is not used as a test of adaptive learning, because the learning measurement it carried was not articulated to the adaptive-learning construct — immediate task performance is not durable learning, and the adaptive arm was a support package of difficulty adjustment with coaching rather than difficulty adjustment alone. These limitations narrow the claims but do not remove the practical importance of the observed failure-return patterns.</w:t>
      </w:r>
    </w:p>
    <w:p>
      <w:pPr>
        <w:pStyle w:val="Heading2"/>
      </w:pPr>
      <w:bookmarkStart w:id="145" w:name="_Toc232024633"/>
      <w:bookmarkEnd w:id="145"/>
      <w:r>
        <w:rPr>
          <w:lang w:val="en-US" w:eastAsia="en-US" w:bidi="ar-SA"/>
          <w:color w:val="000000"/>
          <w:szCs w:val="22"/>
        </w:rPr>
        <w:t>8.6A A Further Limitation: The Deployed Sensing and Adaptation Configuration</w:t>
      </w:r>
    </w:p>
    <w:p>
      <w:pPr>
        <w:pStyle w:val="Normal"/>
        <w:jc w:val="both"/>
      </w:pPr>
      <w:r>
        <w:rPr>
          <w:szCs w:val="22"/>
          <w:lang w:val="en-US" w:eastAsia="en-US" w:bidi="ar-SA"/>
          <w:rFonts w:ascii="Times New Roman" w:hAnsi="Times New Roman" w:eastAsia="Times New Roman" w:cs="Times New Roman"/>
          <w:sz w:val="24"/>
        </w:rP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pPr>
        <w:pStyle w:val="Normal"/>
        <w:jc w:val="both"/>
      </w:pPr>
      <w:r>
        <w:rPr>
          <w:szCs w:val="22"/>
          <w:lang w:val="en-US" w:eastAsia="en-US" w:bidi="ar-SA"/>
          <w:rFonts w:ascii="Times New Roman" w:hAnsi="Times New Roman" w:eastAsia="Times New Roman" w:cs="Times New Roman"/>
          <w:sz w:val="24"/>
        </w:rP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pPr>
        <w:pStyle w:val="Normal"/>
        <w:jc w:val="both"/>
      </w:pPr>
      <w:r>
        <w:rPr>
          <w:szCs w:val="22"/>
          <w:lang w:val="en-US" w:eastAsia="en-US" w:bidi="ar-SA"/>
          <w:rFonts w:ascii="Times New Roman" w:hAnsi="Times New Roman" w:eastAsia="Times New Roman" w:cs="Times New Roman"/>
          <w:sz w:val="24"/>
        </w:rP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pPr>
        <w:pStyle w:val="Heading2"/>
      </w:pPr>
      <w:r>
        <w:rPr>
          <w:lang w:val="en-US" w:eastAsia="en-US" w:bidi="ar-SA"/>
          <w:color w:val="000000"/>
          <w:szCs w:val="22"/>
        </w:rPr>
        <w:t>8.6B Extending the Unit of Analysis: Abandonment as a Three-Party Decision</w:t>
      </w:r>
    </w:p>
    <w:p>
      <w:pPr>
        <w:pStyle w:val="Normal"/>
        <w:jc w:val="both"/>
      </w:pPr>
      <w:r>
        <w:rPr>
          <w:szCs w:val="22"/>
          <w:lang w:val="en-US" w:eastAsia="en-US" w:bidi="ar-SA"/>
          <w:rFonts w:ascii="Times New Roman" w:hAnsi="Times New Roman" w:eastAsia="Times New Roman" w:cs="Times New Roman"/>
          <w:sz w:val="24"/>
        </w:rPr>
        <w:t>The empirical stages principally examine the older user's engagement. A wider unit of analysis is nevertheless plausible: the user, family and care staff may each influence opportunities and reasons to return. A user may be concerned about capability, discomfort, time or autonomy; family members may interpret the experience as helpful or distressing; care staff may weigh clinical value against practical workload. These possibilities are hypotheses about the setting, not findings about measured family or clinician decisions. They extend the question from an individual's appraisal to how support, burden and interpretation may be distributed across the care relationship (Greenhalgh et al., 2017).</w:t>
      </w:r>
    </w:p>
    <w:p>
      <w:pPr>
        <w:pStyle w:val="Normal"/>
        <w:jc w:val="both"/>
      </w:pPr>
      <w:r>
        <w:rPr>
          <w:szCs w:val="22"/>
          <w:lang w:val="en-US" w:eastAsia="en-US" w:bidi="ar-SA"/>
          <w:rFonts w:ascii="Times New Roman" w:hAnsi="Times New Roman" w:eastAsia="Times New Roman" w:cs="Times New Roman"/>
          <w:sz w:val="24"/>
        </w:rPr>
        <w:t>On this wider reading, non-use may be sustained by interacting decisions and constraints rather than one person's appraisal alone. The study does not establish that all three parties must withdraw support, that an identity appraisal initiates the process, or that these interactions explain the Stage-2 pattern. A prospective adaptive-learning intervention could examine whether truthful progress information, acceptable participation demands and a shared support plan help users and care partners decide whether continued use is worthwhile. Such information must include plateaus, deterioration and uncertainty where present; a rising display cannot be presumed. Measuring the parties' appraisals and interactions would connect the next study to the adopter-system concerns of NASSS while testing the specific relationships proposed here (Greenhalgh et al., 2017).</w:t>
      </w:r>
    </w:p>
    <w:p>
      <w:pPr>
        <w:jc w:val="both"/>
      </w:pPr>
      <w:r>
        <w:t>A related alternative, raised by the industrial partner during draft review, is a shared narrative about the station. Residents, families or staff might circulate interpretations of assessment that influence non-use, including among people without direct experience. The programme collected no sociometric or narrative-circulation data, so it cannot determine the source, content or causal role of such narratives. They might arise from an adverse encounter, institutional practice, general beliefs about ageing or other sources; individual FIAS events are not a necessary starting point. One strand of the account is nonetheless anchored in the deployment record: the researcher's field notes record that, as dropouts accumulated, remaining players saw that many peers had stopped attending, and that further abandonment followed that visible thinning — an observed co-occurrence that the researcher interpreted at the time as contributory (§5.6). This is a field-note observation of within-deployment dropout visibility, not sociometric or narrative-circulation data; it documents a social channel operating, while leaving the source, content and causal role of any circulating narrative unmeasured. The next programme could combine interviews and observations across the care network with a carefully specified group-level support intervention. Any group response should be evaluated alongside individual appraisals, rather than assumed to confirm or remedy the proposed identity mechanism.</w:t>
      </w:r>
    </w:p>
    <w:p>
      <w:pPr>
        <w:pStyle w:val="Heading2"/>
      </w:pPr>
      <w:bookmarkStart w:id="146" w:name="_Toc232024634"/>
      <w:r>
        <w:rPr>
          <w:lang w:val="en-US" w:eastAsia="en-US" w:bidi="ar-SA"/>
          <w:color w:val="000000"/>
          <w:szCs w:val="22"/>
        </w:rPr>
        <w:t>8.7 Ethical Considerations</w:t>
      </w:r>
      <w:bookmarkEnd w:id="146"/>
    </w:p>
    <w:p>
      <w:pPr>
        <w:jc w:val="both"/>
      </w:pPr>
      <w:commentRangeStart w:id="7"/>
      <w:r>
        <w:t>This study examines the assessment phase of an assess-then-train product model and does not evaluate the training phase. An underused assessment station is an important service-design problem because it may limit opportunities to offer subsequent support. The proposed framework could be extended to repeated training encounters, but the present research does not establish that the same appraisal processes operate there or that assessment engagement produces training benefit. A training extension would require its own task specification, supervision, outcome measures and longitudinal evaluation. In particular, calibrated training performance must be distinguished from retained capability and clinical benefit; the future programme in §8.8 provides a route to examine these questions.</w:t>
      </w:r>
      <w:commentRangeEnd w:id="7"/>
      <w:r>
        <w:rPr>
          <w:rStyle w:val="CommentReference"/>
        </w:rPr>
        <w:commentReference w:id="7"/>
      </w:r>
    </w:p>
    <w:p>
      <w:pPr>
        <w:pStyle w:val="Normal"/>
        <w:jc w:val="both"/>
      </w:pPr>
      <w:r>
        <w:rPr>
          <w:szCs w:val="22"/>
          <w:lang w:val="en-US" w:eastAsia="en-US" w:bidi="ar-SA"/>
          <w:rFonts w:ascii="Times New Roman" w:hAnsi="Times New Roman" w:eastAsia="Times New Roman" w:cs="Times New Roman"/>
          <w:sz w:val="24"/>
        </w:rPr>
        <w:t>The programme involves a vulnerable population, an embedded researcher, and a frame manipulation — decoupling — that intentionally changes how participants interpret the activity they are engaging with. The ethical framework has five components.</w:t>
      </w:r>
    </w:p>
    <w:p>
      <w:pPr>
        <w:pStyle w:val="Heading3"/>
      </w:pPr>
      <w:bookmarkStart w:id="147" w:name="_Toc232024635"/>
      <w:r>
        <w:rPr>
          <w:color w:val="000000"/>
          <w:szCs w:val="26"/>
          <w:lang w:val="en-US" w:eastAsia="en-US" w:bidi="ar-SA"/>
        </w:rPr>
        <w:t>8.7.1 Vulnerability of Frail Older Adults</w:t>
      </w:r>
      <w:bookmarkEnd w:id="147"/>
    </w:p>
    <w:p>
      <w:pPr>
        <w:pStyle w:val="Normal"/>
        <w:jc w:val="both"/>
      </w:pPr>
      <w:r>
        <w:rPr>
          <w:szCs w:val="22"/>
          <w:lang w:val="en-US" w:eastAsia="en-US" w:bidi="ar-SA"/>
          <w:rFonts w:ascii="Times New Roman" w:hAnsi="Times New Roman" w:eastAsia="Times New Roman" w:cs="Times New Roman"/>
          <w:sz w:val="24"/>
        </w:rPr>
        <w:t>Older adults in residential care are vulnerable in several distinct senses: physical, cognitive, social, and identity. The safeguards on record are those stated in §3.4, §5.4 and §6.4: in Stage 2, the facility's gatekeeper arrangement, therapist supervision of every session, voluntary participation free of charge with no consequence for refusal, and pseudonymisation at collection; in Stage 3, voluntary unpaid participation that could be declined by not taking part, no clinical telemetry or health verdict, and no recording of names or e-mail addresses as data. No exclusion criteria, stoppage rules, information sheets or difficulty-calibration records for Stages 2 and 3 are on file, and none is claimed here.</w:t>
      </w:r>
    </w:p>
    <w:p>
      <w:pPr>
        <w:pStyle w:val="Heading3"/>
      </w:pPr>
      <w:bookmarkStart w:id="148" w:name="_Toc232024636"/>
      <w:r>
        <w:rPr>
          <w:color w:val="000000"/>
          <w:szCs w:val="26"/>
          <w:lang w:val="en-US" w:eastAsia="en-US" w:bidi="ar-SA"/>
        </w:rPr>
        <w:t>8.7.2 Decoupling and the Deception Question</w:t>
      </w:r>
      <w:bookmarkEnd w:id="148"/>
    </w:p>
    <w:p>
      <w:pPr>
        <w:pStyle w:val="Normal"/>
        <w:jc w:val="both"/>
      </w:pPr>
      <w:r>
        <w:rPr>
          <w:szCs w:val="22"/>
          <w:lang w:val="en-US" w:eastAsia="en-US" w:bidi="ar-SA"/>
          <w:rFonts w:ascii="Times New Roman" w:hAnsi="Times New Roman" w:eastAsia="Times New Roman" w:cs="Times New Roman"/>
          <w:sz w:val="24"/>
        </w:rP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 In the completed programme the disclosure question arose in Stage 2, which operated with incomplete disclosure: participants were not told during the deployment that play formed part of a research project, consent was given by the facility as gatekeeper at research start, and written consent was obtained retrospectively from the nine sustained participants only; the twenty-one who dropped out did not sign, and their symptom entries are therapist observations compiled by the researcher (§3.4). The rationale was that announcing a fall-risk study would re-impose the frame under study. The limitations are that the disclosure decision was the researcher's rather than a prior committee determination, that the non-signing participants' aggregated data are used without their written consent, and that an itemised institutional determination on these arrangements is not part of the record at 30 September 2026 (§3.4); the thesis reports the arrangements as they operated and does not present them as a model for future deployments.</w:t>
      </w:r>
    </w:p>
    <w:p>
      <w:pPr>
        <w:pStyle w:val="Heading3"/>
      </w:pPr>
      <w:bookmarkStart w:id="149" w:name="_Toc232024637"/>
      <w:r>
        <w:rPr>
          <w:color w:val="000000"/>
          <w:szCs w:val="26"/>
          <w:lang w:val="en-US" w:eastAsia="en-US" w:bidi="ar-SA"/>
        </w:rPr>
        <w:t>8.7.3 Autonomy, Dignity and the Right Not to Engage</w:t>
      </w:r>
      <w:bookmarkEnd w:id="149"/>
    </w:p>
    <w:p>
      <w:pPr>
        <w:pStyle w:val="Normal"/>
        <w:jc w:val="both"/>
      </w:pPr>
      <w:r>
        <w:rPr>
          <w:szCs w:val="22"/>
          <w:lang w:val="en-US" w:eastAsia="en-US" w:bidi="ar-SA"/>
          <w:rFonts w:ascii="Times New Roman" w:hAnsi="Times New Roman" w:eastAsia="Times New Roman" w:cs="Times New Roman"/>
          <w:sz w:val="24"/>
        </w:rPr>
        <w:t>The intervention is targeted at the gap between the user's stated intent and the user's subsequent behaviour, not at users who have decided that the technology is not for them. Staff training in any deployment of the adaptive-learning framework must include explicit guidance not to use coaching to override a clearly stated preference for non-engagement.</w:t>
      </w:r>
    </w:p>
    <w:p>
      <w:pPr>
        <w:pStyle w:val="Heading3"/>
      </w:pPr>
      <w:bookmarkStart w:id="150" w:name="_Toc232024638"/>
      <w:r>
        <w:rPr>
          <w:color w:val="000000"/>
          <w:szCs w:val="26"/>
          <w:lang w:val="en-US" w:eastAsia="en-US" w:bidi="ar-SA"/>
        </w:rPr>
        <w:t>8.7.4 Equity, Access and Deployment Risks</w:t>
      </w:r>
      <w:bookmarkEnd w:id="150"/>
    </w:p>
    <w:p>
      <w:pPr>
        <w:pStyle w:val="Normal"/>
        <w:jc w:val="both"/>
      </w:pPr>
      <w:r>
        <w:rPr>
          <w:szCs w:val="22"/>
          <w:lang w:val="en-US" w:eastAsia="en-US" w:bidi="ar-SA"/>
          <w:rFonts w:ascii="Times New Roman" w:hAnsi="Times New Roman" w:eastAsia="Times New Roman" w:cs="Times New Roman"/>
          <w:sz w:val="24"/>
        </w:rPr>
        <w:t>Three risks are flagged: equity (the adaptive-learning framework requires staff training that may not be available in lower-resource settings); paternalism (a system that adapts and reframes can shade into a system that decides for the user what their experience means); surveillance (the clinical instrument measuring alongside play records continuous telemetry). PIPL governance and a participant-accessible data policy are the operational answers; the cost-effectiveness work of the proposed confirmatory programme should specify minimum staff-training intensity.</w:t>
      </w:r>
    </w:p>
    <w:p>
      <w:pPr>
        <w:pStyle w:val="Heading3"/>
      </w:pPr>
      <w:bookmarkStart w:id="151" w:name="_Toc232024639"/>
      <w:r>
        <w:rPr>
          <w:color w:val="000000"/>
          <w:szCs w:val="26"/>
          <w:lang w:val="en-US" w:eastAsia="en-US" w:bidi="ar-SA"/>
        </w:rPr>
        <w:t>8.7.5 Embedded Researcher Bias</w:t>
      </w:r>
      <w:bookmarkEnd w:id="151"/>
    </w:p>
    <w:p>
      <w:pPr>
        <w:pStyle w:val="Normal"/>
        <w:jc w:val="both"/>
      </w:pPr>
      <w:r>
        <w:rPr>
          <w:szCs w:val="22"/>
          <w:lang w:val="en-US" w:eastAsia="en-US" w:bidi="ar-SA"/>
          <w:rFonts w:ascii="Times New Roman" w:hAnsi="Times New Roman" w:eastAsia="Times New Roman" w:cs="Times New Roman"/>
          <w:sz w:val="24"/>
        </w:rP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pPr>
        <w:pStyle w:val="Heading2"/>
      </w:pPr>
      <w:bookmarkStart w:id="152" w:name="_Toc232024640"/>
      <w:r>
        <w:rPr>
          <w:lang w:val="en-US" w:eastAsia="en-US" w:bidi="ar-SA"/>
          <w:color w:val="000000"/>
          <w:szCs w:val="22"/>
        </w:rPr>
        <w:t>8.8 Future Research</w:t>
      </w:r>
      <w:bookmarkEnd w:id="152"/>
    </w:p>
    <w:p>
      <w:pPr>
        <w:jc w:val="both"/>
      </w:pPr>
      <w:r>
        <w:t>Stage 3B was designed after the Stage-3A results were in hand. The decoupled package recorded continued or resumed play in most of its cohort (§6.4), but it does not deliver the FRA measurement to the users who need it, and the Chapter-7 adaptive framework remained untested in the field; Stage 3B was designed as the response to that limitation — retrospectively motivated by the Stage-3A result, prospectively specified before recruitment (the protocol and the pre-specified analysis hierarchy are repository-dated 8–9 August 2026). It is a 2×2 component experiment in a new, remotely recruited cohort, crossing adaptive support (rule-agent difficulty adjustment with coaching) against static presentation (fixed pace with coaching suppressed) and zero-failure (ZF) against game-over (GO) failure modes, with assignment drawn at random per participant at first enrolment and persisted in the browser (effectively per browser profile); the adaptive arm is therefore a support package rather than difficulty adjustment alone. Consent in Stage 3B is recorded in-build: the protocol specifies a consent screen stating the research purpose, voluntariness, anonymity and data use and requiring an explicit tap or click before play, with the consent event written into each participant's export — an upgrade of Stage 3's implied-consent model — and the participant-facing game description and recruitment instructions describe the same consent page. The achieved record is stated at a cut-off of 30 September 2026 and compiled in Appendix I; the frozen edition's clean-run window runs to 15 October 2026, and returns received after 30 September 2026 are archived as received and are not entered in this thesis. The 9 August 2026 build (commit 59b7881) was distributed on 10–12 August through five device-tagged files (DEV1–DEV5); a 13 August revision (a1afc42) added run-level input-mode logging; and a frozen study edition (build stamp Alpine_Coordination_Game_v3.1s_Stage3B_FROZEN20260915; twenty distributor-tagged copies D01–D20, hosted on GitHub Pages) opened a clean-run window on 15 September 2026. Returns on record at the cut-off are one verified return (code B9V8YA, received 15 August 2026 from the participant's own e-mail address); five returns received on 15 September 2026, excluded because they were played on the 13-August edition rather than the deployed build, were researcher-solicited plays made within about twenty minutes on one device copy, and all fell in the adaptive arm; and, from the frozen edition, five clean-run returns: one played on 16 September 2026 on distributor copy D13 and received on 30 September, and four played on 29 September 2026 on copy D01 (four in the static arm and one in the adaptive arm; three in game-over mode and two in zero-failure mode; three single 30-second sessions, one return of two sessions and one of three); a further file (code BYXXMT), whose consent and export stamps are dated 13 August 2026 and which names device copy DEV1 on the v3.0 build string, was archived as received on 30 September 2026 pending an author statement of who played it and how it reached the author (Appendix I.7); it is not counted in any category and no outcome values are reported. After this initial round, the measurement of learning was found not to be articulated to the adaptive-learning construct set out in Chapter 7: the outcomes on record are a willingness item (D2) with sessions played as a co-primary outcome and, in the separate Pro v4.1 self-test, immediate fixed-course clearance near ceiling on non-equivalent course forms, whereas the framework's claim concerns durable learning that is credible under changing task conditions; the adaptive arm is a support package (difficulty adjustment with coaching) whose components cannot be attributed; assignment persisted per browser profile and the first-exposure build differed between the verified return and the excluded returns; and the record holds no retention or transfer measure. By the author's decision of 26 September 2026 (decision record, Appendix G, item G.12), Stage 3B is no longer used to determine whether an adaptive-learning process occurs in the AI-enabled zero-failure game mechanism. Its results form no part of the evidence presented in this thesis, and no confirmatory analysis is reported; by the author's amendment of 29 September 2026 and decision of 2 October 2026 (Appendix G, item G.12) the record is stated at 30 September 2026. The thesis concludes on the record of Stages 1–3A, and adaptive learning is carried forward as a design direction for discussion and future study. The design as specified could test the component contrasts in a future, adequately powered run; any interaction claim would require adequate sample size and precision. Because clinical framing is not independently varied, this experiment is distinct from the coupled-versus-decoupled study proposed below. Its learning-theory context includes errorless learning in memory-impaired populations, low-consequence failure in game-based learning and dynamic difficulty adjustment (Baddeley &amp; Wilson, 1994; Plass et al., 2015; Zohaib, 2018). These traditions motivate alternative hypotheses; they do not establish that preventing errors is universally preferable for older adults or that the present design reconciles their effects. Assessment of progress under the component conditions should follow the comparability requirements in Chapter 7.</w:t>
      </w:r>
    </w:p>
    <w:p>
      <w:pPr>
        <w:jc w:val="both"/>
      </w:pPr>
      <w:r>
        <w:t>The described Stage-3B score economy provides a useful distinction between participation incentives and improvement evidence. The earlier builds used distance and coins; the richer economy implemented in the 13 August 2026 scoring revision (commit 923a25e; Appendix I) includes a combo multiplier, skill-dodge bonuses, collection rate and a persistent experience total with skier levels. A reset multiplier reduces future earning opportunities without subtracting accumulated points. That design choice may change the experience of a setback, but the thesis does not establish that opportunity costs are psychologically harmless or that banked points produce a learning-trajectory appraisal. A persistent experience total principally records rewarded participation: it can increase when capability is unchanged or when challenge has been reduced. It should therefore be displayed as activity or experience earned, separately from condition-specific performance and comparable anchor checks. The stated use of the same scoring formula across the experimental conditions helps define the intervention, but it does not make raw scores comparable when task demands, assistance or exposure differ. This distinction protects the motivational purpose of the economy while preventing accumulated rewards from being presented as evidence of learning (Soderstrom &amp; Bjork, 2015).</w:t>
      </w:r>
    </w:p>
    <w:p>
      <w:pPr>
        <w:jc w:val="both"/>
      </w:pPr>
      <w:r>
        <w:rPr/>
        <w:t>A separate Stage-3B Pro v4.1 researcher self-test batch (Batch 01, 19–20 September 2026) is also on record and is reported in Appendix I as a development record, not as evidence. The Pro v4.1 edition adds a feedback-conditioned practice-proposal policy: after each practice run the player may report difficulty, feeling and reason, and local rules combine that report with performance counts to propose the next practice, which the player accepts or overrides. Its optional external-judgment step was not used in any recorded session; the policy does not train any model's weights, so it is neither reinforcement learning from human feedback nor a comparable training method. The record comprises seven stored player codes (ten exports from five codes summarised in the Batch 01 reports, and two exports received later), all labelled researcher self-test by the software and played, by the author's account, by volunteers and their families or friends recruited for selected age groups; it documents a traceable feedback-to-decision-to-settings mechanism and six paired opening–closing fixed-course checks within visits (across five codes), near ceiling on non-equivalent course forms. The batch's own reports state that it does not establish durable learning, reduced abandonment or the FIAS mechanism, and the descriptive tables and exploratory statistics are confined to Appendix I.</w:t>
      </w:r>
    </w:p>
    <w:p>
      <w:pPr>
        <w:jc w:val="both"/>
      </w:pPr>
      <w:r>
        <w:rPr/>
        <w:t>A future test of adaptive learning in the AI-enabled zero-failure mechanism would need to close the measurement and design gaps that this record exposes. Its learning outcome would be articulated to durable learning rather than immediate task performance: retention or transfer checks on equivalent course forms, taken after a delay and away from ceiling. Difficulty adjustment would be separated from coaching, so that an adaptive arm is not a support package whose components cannot be attributed. Assignment would be randomised per participant on a single frozen study edition, with the first-exposure build version recorded, and every return would carry verified participant provenance. Until such a study is run, the adaptive-learning claim remains a design proposition (Chapter 7).</w:t>
      </w:r>
    </w:p>
    <w:p>
      <w:pPr>
        <w:jc w:val="both"/>
      </w:pPr>
      <w:r>
        <w:rPr/>
        <w:t>The two remote deployments also yield a practical lesson about capturing field data, drawn from how the records arrived rather than from any Stage-3B result. The Stage-3A build saved nothing automatically and asked its questions outside the game, so returns arrived in mixed formats - exported files or copied text in e-mails - and could not later be compiled participant by participant (§6.4). The Stage-3B builds recorded an in-game consent event, asked the questionnaire inside the game immediately after play, and exported the runs, the assigned condition and the answers in one structured file, so each Stage-3B return on record could be checked for build, condition, timing and score arithmetic (Appendix I.4). Embedding consent, an immediate post-play questionnaire and a structured export in the game itself therefore improved the completeness and checkability of each return. It did not by itself secure returns: Stage 3B still depended on the player sending the file, few returns arrived, and one reached the author only as a converted copy. A future field study should capture feedback inside the game immediately after play and, with ethics approval and the participant's consent, transmit it automatically rather than rely on manual export.</w:t>
      </w:r>
    </w:p>
    <w:p>
      <w:pPr>
        <w:pStyle w:val="Normal"/>
        <w:jc w:val="both"/>
      </w:pPr>
      <w:r>
        <w:rPr>
          <w:i w:val="0"/>
          <w:szCs w:val="22"/>
          <w:lang w:val="en-US" w:eastAsia="en-US" w:bidi="ar-SA"/>
          <w:rFonts w:ascii="Times New Roman" w:hAnsi="Times New Roman" w:eastAsia="Times New Roman" w:cs="Times New Roman"/>
          <w:sz w:val="24"/>
        </w:rPr>
        <w:t>The priority extensions are ordered by the questions they can resolve. A within-cohort randomised comparison of coupled and participant-facing decoupled conditions should harmonise recruitment, eligibility, staff scripts, software, input modality and follow-up. Longitudinal evaluation should then assess repeated voluntary use and retained or transferred learning. Direct measures of appraisal, self-efficacy, identity relevance, affect and willingness to continue are needed to test the proposed explanation, together with independent reliability and construct-validation work. Intervention components can be specified using the Behaviour Change Wheel to support replication (Michie et al., 2011). Evaluation of the adaptive-learning framework must additionally retain task and controller versions, distinguish participation rewards from performance, and use comparable checks or explicitly report discontinuity when a redesign changes what can be measured (Chapter 7). Cross-cultural and cross-domain studies should follow from these foundations. The three-party extension of §8.6B adds a further question: whether measuring and supporting the user, family and clinician perspectives improves appropriate return beyond an individual intervention.</w:t>
      </w:r>
    </w:p>
    <w:p>
      <w:pPr>
        <w:pStyle w:val="Normal"/>
        <w:jc w:val="both"/>
      </w:pPr>
      <w:r>
        <w:rPr>
          <w:szCs w:val="22"/>
          <w:lang w:val="en-US" w:eastAsia="en-US" w:bidi="ar-SA"/>
          <w:rFonts w:ascii="Times New Roman" w:hAnsi="Times New Roman" w:eastAsia="Times New Roman" w:cs="Times New Roman"/>
          <w:sz w:val="24"/>
        </w:rP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pPr>
        <w:pStyle w:val="Normal"/>
        <w:jc w:val="both"/>
      </w:pPr>
      <w:r>
        <w:rPr>
          <w:szCs w:val="22"/>
          <w:lang w:val="en-US" w:eastAsia="en-US" w:bidi="ar-SA"/>
          <w:rFonts w:ascii="Times New Roman" w:hAnsi="Times New Roman" w:eastAsia="Times New Roman" w:cs="Times New Roman"/>
          <w:sz w:val="24"/>
        </w:rPr>
        <w:t>A within-cohort coupled-versus-decoupled study is the decisive next test of the clinical-framing hypothesis. Participants would be recruited from one community sample and assigned to conditions with identical hardware, software, level structure, session length, staff support and follow-up. The primary outcome should be observed return within a pre-specified window; secondary outcomes should include repeated use, self-efficacy, perceived identity threat, fatigue, enjoyment, burden, comprehension and adverse events. A separate qualitative panel with non-returners would help distinguish reasons for attending once from reasons for intending regular use. This study should be distinguished from Stage 3B's adaptive and failure-presentation component contrasts. If the intervention includes an AI component, its protocol should use the SPIRIT-AI extension (Cruz Rivera et al., 2020), while its completed trial report should use CONSORT-AI (Liu et al., 2020).</w:t>
      </w:r>
    </w:p>
    <w:p>
      <w:pPr>
        <w:jc w:val="both"/>
      </w:pPr>
      <w:r>
        <w:t>A further proposition addresses the group-level possibility in §8.6B. Simple role-based or cooperative play is one candidate design response: a role might offer distance from a threatening appraisal, participation rewards might give a session value beyond its performance score, and shared goals might provide social support. These effects remain hypotheses. The design also presents costs that should be tested rather than presumed manageable. Unfamiliar role-play conventions may add entry demands; maintaining roles, rules and narratives may impose unwanted cognitive load; and individual clinical activities may not suit a group format. The intervention should therefore begin with a limited, comprehensible design and compare its acceptability and incremental benefit with simpler coaching or social support.</w:t>
      </w:r>
    </w:p>
    <w:p>
      <w:pPr>
        <w:jc w:val="both"/>
      </w:pPr>
      <w:r>
        <w:t>One candidate implementation is system-managed, optional narrative support with low demands on the user. Difficulty adaptation and narrative selection are separate functions: a future system could maintain continuity and offer a simple role while the participant retains control over whether to use that presentation. This proposal does not depend on attributing a particular model or rule-agent configuration to the completed deployments. Narrative content could respond within pre-specified limits to stated preferences and observed interaction, but should not claim knowledge of a participant's hidden identity or affect. Asynchronous contribution to shared goals is one possible way to add a social element without displaying individual clinical results. The design would need to demonstrate that the presentation is comprehensible, dignified and useful to its intended users. Optional narrative support should be compared with simpler alternatives, and its accumulated experience rewards should remain distinct from measures of capability.</w:t>
      </w:r>
    </w:p>
    <w:p>
      <w:pPr>
        <w:jc w:val="both"/>
      </w:pPr>
      <w:r>
        <w:t>The most speculative extension is transfer from role-mediated play to a person's response to difficulty outside the game. A narrative could present a setback as an event with a next action, but repeated rewarded participation is not itself evidence that appraisal habits have changed. The hypothesis has three separable links: a system can provide acceptable role support; that support improves appropriate engagement; and the resulting experience transfers to appraisal or behaviour beyond the game. The thesis supplies no evidence for the third link. Testing it would require measures outside the game, retention or transfer tasks, and observation after narrative support is withdrawn. This extension belongs to the future person-conditioned programme (§9.8B) and should not be used to establish the current framework's learning or innovation outcomes.</w:t>
      </w:r>
    </w:p>
    <w:p>
      <w:pPr>
        <w:pStyle w:val="Heading2"/>
      </w:pPr>
      <w:bookmarkStart w:id="153" w:name="_Toc232024641"/>
      <w:r>
        <w:rPr>
          <w:lang w:val="en-US" w:eastAsia="en-US" w:bidi="ar-SA"/>
          <w:color w:val="000000"/>
          <w:szCs w:val="22"/>
        </w:rPr>
        <w:t>8.9 Reproducibility and Data Availability</w:t>
      </w:r>
      <w:bookmarkEnd w:id="153"/>
    </w:p>
    <w:p>
      <w:pPr>
        <w:pStyle w:val="Normal"/>
        <w:jc w:val="both"/>
      </w:pPr>
      <w:r>
        <w:rPr>
          <w:szCs w:val="22"/>
          <w:lang w:val="en-US" w:eastAsia="en-US" w:bidi="ar-SA"/>
          <w:rFonts w:ascii="Times New Roman" w:hAnsi="Times New Roman" w:eastAsia="Times New Roman" w:cs="Times New Roman"/>
          <w:sz w:val="24"/>
        </w:rPr>
        <w:t>Because the central methodological contribution includes an artefact, reproducibility requires access to both data and implementation records. The record is stated in two registers so that the claim matches the deposit. Bound now are the source-to-result manifest and build-lineage matrix (Appendix G, items G.0 and G.0A); the de-identified Stage-2 participant dataset (Appendix G, item G.2); the Stage-3 data logbook with its codebook and the aggregate summary compiled in July 2026 (item G.3; its participant-level sheets are not populated); the photographic and screenshot record (items G.4 and G.6); the labelled synthetic pipeline-test workbook (item G.8); the further supplementary items listed in Appendix G; and the instrument documentation of Appendices A, C and D, whose completeness the third boundary below states exactly. Not deposited with this thesis, and listed in Appendix G with that status, are the cleaned Stage-1 survey response file (item G.1; the Stage-1 figures are carried with this limit in the abstract, §4.2 and Table 4.1); the deployed endpoint, model version and run-time settings of the Stage-2 Layer-2 call (item G.7 holds the August 2024 prototype's prompt template only; no claim rests on either); the Stage-2 build file and the game-state specification workbook (items G.0A and G.14); the archival scans of the completed Stage-2 interview forms and after-game questionnaire sheets (Appendix C; the satisfaction finding is reported with this limit in §5.5 and §8.3); and the written consent for the item G.10 demonstration videos (the figure that reproduces a frame from them is retained only on that stated status). The source-to-result manifest (item G.0) and the build-lineage matrix (item G.0A) are bound, and each row states what is and is not on record. The Stage-3B record to its 30 September 2026 cut-off — the protocol and analysis-hierarchy commits of 8–9 August 2026, the frozen study edition of 15 September 2026 with its freeze record and checksums, the as-received returns archive with its verification findings, and the Pro v4.1 self-test Batch 01 reports — is held in the thesis repository (docs/thesis/stage3b and docs/thesis/data_entry/incoming) and summarised in Appendix I; it is a descriptive record and carries no evidential weight in this thesis. Where an item cannot be shared openly, its entry states the access procedure and restrictions. File names alone are not sufficient unless the files are deposited with the thesis or in a governed repository accessible to examiners. The Stage-3 results reported in Chapter 6 come from the aggregate summary compiled in July 2026 from returns that arrived in mixed formats; a participant-level compilation that would let the summary be checked entry by entry cannot be made, because the returns were not retained as separate records (Appendix G, item G.3).</w:t>
      </w:r>
    </w:p>
    <w:p>
      <w:pPr>
        <w:pStyle w:val="Normal"/>
        <w:jc w:val="both"/>
      </w:pPr>
      <w:r>
        <w:rPr>
          <w:i w:val="0"/>
          <w:szCs w:val="22"/>
          <w:lang w:val="en-US" w:eastAsia="en-US" w:bidi="ar-SA"/>
          <w:rFonts w:ascii="Times New Roman" w:hAnsi="Times New Roman" w:eastAsia="Times New Roman" w:cs="Times New Roman"/>
          <w:sz w:val="24"/>
        </w:rPr>
        <w:t>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and although the August 2024 prototype's prompt template and endpoint family are deposited (Appendix G, item G.7), the deployed Stage-2 build's own template, model version and run-time settings are not on record, so the exact Stage-2 run-time configuration cannot be reproduced from the record, and no claim in this thesis rests on it. Stage-2 play took place at the centre and was recorded by hand by the therapist beside the player, who logged the game states at the end of each game and then the FRA indices from the InBody FRA system, which measured in parallel from the footplate beneath the game's foot pad and kept its own data set, there being no application programming interface between the two (§5.2A); the game software's electronic session telemetry and AI-call records were not kept. Layer 3 had the capability to log them, but capability is not evidence, so no claim in this thesis rests on them. Third, the appendix record is stated exactly rather than claimed complete. The photographic record is bound (Appendix G, items G.4 and G.6). The instruments are documented at stated levels of completeness: Appendix A reproduces the six Stage-1 survey items; Appendix C documents the nine-item Stage-2 post-deployment interview instrument, with its full bilingual wording from the archived entry workbook, and the designed-but-not-administered F4 protocol, while archival scans of the completed forms and of the after-game questionnaire sheets are not filed with this thesis; and Appendix D reproduces the two Stage-3 items on the five-point format and with the wording confirmed by the author, noting the shorter labels used in the aggregate summary. No separate translation-procedure document is bound. The FIAS coding scheme is bound only at the level Appendix B states: the item-level codebook, its adjudication rules and inter-coder reliability are deliverables of the proposed confirmatory study (§8.8), and the composite carries no evidential weight in this thesis (§5.6). Consent instruments are not reproduced in the appendices; §3.4 states each stage's consent procedure exactly as it operated — gatekeeper consent and retrospective written consent from the sustained participants in Stage 2, and informed, implied consent in the Stage-3 remote deployment.</w:t>
      </w:r>
    </w:p>
    <w:p>
      <w:pPr>
        <w:pStyle w:val="Normal"/>
        <w:spacing w:after="200" w:line="276" w:lineRule="auto"/>
        <w:rPr>
          <w:rFonts w:asciiTheme="majorHAnsi" w:eastAsiaTheme="majorEastAsia" w:hAnsiTheme="majorHAnsi" w:cstheme="majorBidi"/>
          <w:b/>
          <w:bCs/>
          <w:color w:val="000000"/>
          <w:sz w:val="32"/>
          <w:szCs w:val="28"/>
        </w:rPr>
      </w:pPr>
      <w:bookmarkStart w:id="154" w:name="_Toc232024642"/>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9 Conclusion</w:t>
      </w:r>
      <w:bookmarkEnd w:id="154"/>
    </w:p>
    <w:p>
      <w:pPr>
        <w:pStyle w:val="Heading2"/>
      </w:pPr>
      <w:bookmarkStart w:id="155" w:name="_Toc232024643"/>
      <w:r>
        <w:rPr>
          <w:lang w:val="en-US" w:eastAsia="en-US" w:bidi="ar-SA"/>
          <w:color w:val="000000"/>
          <w:szCs w:val="22"/>
        </w:rPr>
        <w:t>9.1 What This Programme Set Out to Do</w:t>
      </w:r>
      <w:bookmarkEnd w:id="155"/>
    </w:p>
    <w:p>
      <w:pPr>
        <w:pStyle w:val="Normal"/>
        <w:jc w:val="both"/>
      </w:pPr>
      <w:r>
        <w:rPr>
          <w:szCs w:val="22"/>
          <w:lang w:val="en-US" w:eastAsia="en-US" w:bidi="ar-SA"/>
          <w:rFonts w:ascii="Times New Roman" w:hAnsi="Times New Roman" w:eastAsia="Times New Roman" w:cs="Times New Roman"/>
          <w:sz w:val="24"/>
        </w:rPr>
        <w:t>The programme set out to identify and characterise failure-associated non-return to a gamified health technology, to examine whether participant-facing clinical framing may contribute to that pattern, and to translate the evidence into an engineering design response. Fall-risk assessment provided the working case, across a Guangzhou residential setting and a separate Hong Kong community setting. Under the title Gamification as Proactive Approach for Continuous Improvement and Innovation Enhancement, the proactive intervention point is an adverse or difficult experience before disengagement becomes established; continuous improvement has two distinct objects, the participant's supported learning and the engineering team's revision of the intervention; and innovation enhancement is expressed through the proposed integration of gameplay, measurement, truthful progress feedback and a documented redesign process on an existing technological platform. The contribution is positioned as a frame-sensitive engagement model and a testable continuous-improvement framework, not as a general theory of health-technology abandonment. In the architecture of Table 3.1, the programme formalised an initial design expectation (H0) from the best available acceptance and gamification theory, examined it in the field, and followed its non-confirmation in the deployed configuration to the programme's observations and its proposed design response. The completed research establishes a field problem and informs this specification; it does not demonstrate continuous gains in capability, preventive effectiveness or increased organisational innovation productivity.</w:t>
      </w:r>
    </w:p>
    <w:p>
      <w:pPr>
        <w:pStyle w:val="Normal"/>
        <w:jc w:val="both"/>
      </w:pPr>
      <w:r>
        <w:rPr>
          <w:i w:val="0"/>
          <w:szCs w:val="22"/>
          <w:lang w:val="en-US" w:eastAsia="en-US" w:bidi="ar-SA"/>
          <w:rFonts w:ascii="Times New Roman" w:hAnsi="Times New Roman" w:eastAsia="Times New Roman" w:cs="Times New Roman"/>
          <w:sz w:val="24"/>
        </w:rPr>
        <w:t>The programme was conducted as sequential exploratory action research. Its conclusion separates observed results, candidate explanations and proposed designs. This distinction is particularly important when an innovation requires change: revision can improve the design rationale without yet demonstrating a better participant or service outcome. The contribution is the resulting domain-specific engineering synthesis together with the bounded evidence from which it was developed.</w:t>
      </w:r>
    </w:p>
    <w:p>
      <w:pPr>
        <w:pStyle w:val="Heading2"/>
      </w:pPr>
      <w:bookmarkStart w:id="156" w:name="_Toc232024644"/>
      <w:r>
        <w:rPr>
          <w:lang w:val="en-US" w:eastAsia="en-US" w:bidi="ar-SA"/>
          <w:color w:val="000000"/>
          <w:szCs w:val="22"/>
        </w:rPr>
        <w:t>9.2 The Three-Stage Empirical Arc</w:t>
      </w:r>
      <w:bookmarkEnd w:id="156"/>
    </w:p>
    <w:p>
      <w:pPr>
        <w:pStyle w:val="Normal"/>
        <w:jc w:val="both"/>
      </w:pPr>
      <w:r>
        <w:rPr>
          <w:szCs w:val="22"/>
          <w:lang w:val="en-US" w:eastAsia="en-US" w:bidi="ar-SA"/>
          <w:rFonts w:ascii="Times New Roman" w:hAnsi="Times New Roman" w:eastAsia="Times New Roman" w:cs="Times New Roman"/>
          <w:sz w:val="24"/>
        </w:rPr>
        <w:t>Stage 1 used a six-item face-to-face survey to characterise a utilisation and non-return problem. Thirty-nine per cent reported prior FRA use, and a high proportion of prior users reported an adverse or unacceptable first experience and no subsequent return. Because the per-respondent response file is not archived (§4.2; Appendix G, item G.1), the two conditional figures are rounded approximations whose item-level counts are not reproduced, and the mapping of survey items to "failure" is interpretive (§4.8); working estimates of access and perceived benefit could not be traced to the archived instrument and are not reported. Stage 1 is therefore treated as descriptive and hypothesis-generating. It suggested that the first experience deserved direct prospective study and motivated the FIDS-to-FIAS conceptual revision.</w:t>
      </w:r>
    </w:p>
    <w:p>
      <w:pPr>
        <w:pStyle w:val="Normal"/>
        <w:jc w:val="both"/>
      </w:pPr>
      <w:r>
        <w:rPr>
          <w:szCs w:val="22"/>
          <w:lang w:val="en-US" w:eastAsia="en-US" w:bidi="ar-SA"/>
          <w:rFonts w:ascii="Times New Roman" w:hAnsi="Times New Roman" w:eastAsia="Times New Roman" w:cs="Times New Roman"/>
          <w:sz w:val="24"/>
        </w:rPr>
        <w:t>Stage 2 prospectively studied thirty residents over eight weeks using a dual-purpose AI-assisted skiing game. Seventy per cent of participants disengaged at or before three game cycles, and no re-engagement was observed among the low-engagement group during the study window. Five of eight single-session participants recorded an index increase (one of them the record that failed verification; §5.5); two of eight reported symptom improvement; none returned. These are separate descriptive margins; the archived joint count is three of the eight with a recorded score increase and no reported symptom improvement (two of seven excluding the unverified record S2-P015; §5.5, §8.3). This divergence motivated consideration of appraisal alongside measured performance, but it did not establish clinical benefit or directly measure endowment, mental accounting or stereotype threat. The initial theory-informed expectation of sustained engagement was not realised in this deployment. That outcome identifies a design problem; it does not falsify the acceptance models or the gamification literature (§2.3.5; §5.9).</w:t>
      </w:r>
    </w:p>
    <w:p>
      <w:pPr>
        <w:pStyle w:val="Normal"/>
        <w:jc w:val="both"/>
      </w:pPr>
      <w:r>
        <w:rPr>
          <w:szCs w:val="22"/>
          <w:lang w:val="en-US" w:eastAsia="en-US" w:bidi="ar-SA"/>
          <w:rFonts w:ascii="Times New Roman" w:hAnsi="Times New Roman" w:eastAsia="Times New Roman" w:cs="Times New Roman"/>
          <w:sz w:val="24"/>
        </w:rPr>
        <w:t>Stage 3 examined a participant-facing decoupling package in a separate Hong Kong cohort of 120 adults recruited through the author's networks, playing a separately built HTML version of the game, distributed mainly by e-mail, on their own computers or, for some older participants, on a pre-installed iPad with a research assistant beside them (§6.4). The skiing-game structure was retained in that build; the pressure-panel apparatus, clinical setting and in-person supervision were not, and clinical recruitment language, pre-session procedure, labels and participant-facing outputs were changed. Observed non-return was 6.7% overall and 14.6%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The coordination-item count is reported as a positive-coded response, not as a manipulation check or a direct measure of latent learning orientation.</w:t>
      </w:r>
    </w:p>
    <w:p>
      <w:pPr>
        <w:pStyle w:val="Normal"/>
        <w:jc w:val="both"/>
      </w:pPr>
      <w:r>
        <w:rPr>
          <w:szCs w:val="22"/>
          <w:lang w:val="en-US" w:eastAsia="en-US" w:bidi="ar-SA"/>
          <w:rFonts w:ascii="Times New Roman" w:hAnsi="Times New Roman" w:eastAsia="Times New Roman" w:cs="Times New Roman"/>
          <w:sz w:val="24"/>
        </w:rPr>
        <w:t>Stage 3B, a pre-specified (repository-dated) 2×2 component study crossing adaptive against static difficulty with zero-failure against game-over failure presentation, was built and distributed from August 2026 and frozen as a study edition on 15 September 2026. Its record, closed at 30 September 2026, comprises one verified return (15 August 2026), five researcher-solicited returns of 15 September 2026 excluded on verification, five clean-run returns from the frozen edition (played 16 and 29 September 2026; Appendix I), and a researcher self-test batch of the Pro v4.1 practice-proposal policy. After the initial round, the learning measurement was found not to be articulated to the adaptive-learning construct: immediate task performance is not durable learning, the clearance measure runs near ceiling, the course forms were not equivalent, and the adaptive arm was a support package of difficulty adjustment and coaching rather than difficulty alone. Stage 3B is therefore reported as a descriptive component-study record (§8.8; Appendix I) and is not used as a test of the adaptive-learning framework; the thesis concludes on the record of Stages 1, 2 and 3A, and adaptive learning is carried forward as discussion and future study.</w:t>
      </w:r>
    </w:p>
    <w:p>
      <w:pPr>
        <w:pStyle w:val="Heading2"/>
      </w:pPr>
      <w:r>
        <w:rPr>
          <w:color w:val="000000"/>
        </w:rPr>
        <w:t>9.2A The Programme Diary: How the Knowledge and Design Questions Evolved</w:t>
      </w:r>
    </w:p>
    <w:p>
      <w:pPr>
        <w:jc w:val="both"/>
      </w:pPr>
      <w:r>
        <w:t>Table 9.1 records the programme retrospectively, including its working explanations, observations and design revisions. Its purpose is to make the development of the argument visible. An explanation being reconsidered is not equivalent to its falsification: perceived competence, ordinary discontinuance, cohort differences and contextual demands remain viable alongside the proposed frame-sensitive account. Likewise, experience with a particular adaptation configuration does not establish that AI is necessary or unnecessary for every implementation. Future activities in the diary are plans rather than completed evidence. The continuous-improvement contribution lies in making those revisions and their reasons inspectable, while requiring outcome evaluation before a revised design is judged more effective.</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pageBreakBefore/>
      </w:pPr>
      <w:r>
        <w:t>Table 9.1. The programme diary: knowledge evolution in programme order, 2023 – October 2026. The Stage 3B row records that study to its 30 September 2026 cut-off (§8.8; Appendix I).</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2023</w:t>
            </w:r>
          </w:p>
        </w:tc>
        <w:tc>
          <w:tcPr>
            <w:tcW w:type="dxa" w:w="2384"/>
          </w:tcPr>
          <w:p>
            <w:r>
              <w:t>Site observation at the operating facility</w:t>
            </w:r>
          </w:p>
        </w:tc>
        <w:tc>
          <w:tcPr>
            <w:tcW w:type="dxa" w:w="2460"/>
          </w:tcPr>
          <w:p>
            <w:r>
              <w:t>Industry experience of FRA operations; abandonment literature</w:t>
            </w:r>
          </w:p>
        </w:tc>
        <w:tc>
          <w:tcPr>
            <w:tcW w:type="dxa" w:w="3422"/>
          </w:tcPr>
          <w:p>
            <w:r>
              <w:t>The FIDS conjecture: device-associated discomfort as a candidate driver of non-return</w:t>
            </w:r>
          </w:p>
        </w:tc>
        <w:tc>
          <w:tcPr>
            <w:tcW w:type="dxa" w:w="3596"/>
          </w:tcPr>
          <w:p>
            <w:r>
              <w:t>- (starting conjecture recorded)</w:t>
            </w:r>
          </w:p>
        </w:tc>
      </w:tr>
      <w:tr>
        <w:trPr>
          <w:cantSplit/>
        </w:trPr>
        <w:tc>
          <w:tcPr>
            <w:tcW w:type="dxa" w:w="1575"/>
          </w:tcPr>
          <w:p>
            <w:r>
              <w:t>July-August 2024</w:t>
            </w:r>
          </w:p>
        </w:tc>
        <w:tc>
          <w:tcPr>
            <w:tcW w:type="dxa" w:w="2384"/>
          </w:tcPr>
          <w:p>
            <w:r>
              <w:t>Stage 1 retrospective survey (N=200 of 280)</w:t>
            </w:r>
          </w:p>
        </w:tc>
        <w:tc>
          <w:tcPr>
            <w:tcW w:type="dxa" w:w="2460"/>
          </w:tcPr>
          <w:p>
            <w:r>
              <w:t>FIDS conjecture</w:t>
            </w:r>
          </w:p>
        </w:tc>
        <w:tc>
          <w:tcPr>
            <w:tcW w:type="dxa" w:w="3422"/>
          </w:tcPr>
          <w:p>
            <w:r>
              <w:t>The utilisation/non-return problem quantified (aggregate record; the response file is not archived, §4.2, Appendix G item G.1); adverse device experience concentrated among prior users</w:t>
            </w:r>
          </w:p>
        </w:tc>
        <w:tc>
          <w:tcPr>
            <w:tcW w:type="dxa" w:w="3596"/>
          </w:tcPr>
          <w:p>
            <w:r>
              <w:t>Prior use did not ensure continued use; non-exposure alone does not describe the non-return reported by prior users</w:t>
            </w:r>
          </w:p>
        </w:tc>
      </w:tr>
      <w:tr>
        <w:trPr>
          <w:cantSplit/>
        </w:trPr>
        <w:tc>
          <w:tcPr>
            <w:tcW w:type="dxa" w:w="1575"/>
          </w:tcPr>
          <w:p>
            <w:r>
              <w:t>2023–2024</w:t>
            </w:r>
          </w:p>
        </w:tc>
        <w:tc>
          <w:tcPr>
            <w:tcW w:type="dxa" w:w="2384"/>
          </w:tcPr>
          <w:p>
            <w:r>
              <w:t>Game design and platform-coupling demonstration</w:t>
            </w:r>
          </w:p>
        </w:tc>
        <w:tc>
          <w:tcPr>
            <w:tcW w:type="dxa" w:w="2460"/>
          </w:tcPr>
          <w:p>
            <w:r>
              <w:t>Gamification and dynamic-difficulty literature</w:t>
            </w:r>
          </w:p>
        </w:tc>
        <w:tc>
          <w:tcPr>
            <w:tcW w:type="dxa" w:w="3422"/>
          </w:tcPr>
          <w:p>
            <w:r>
              <w:t>The dual-purpose skiing game as the programme's instrument (early prototypes; the AI-assisted workflow applies to the 2025+ build generations, §5.3.9)</w:t>
            </w:r>
          </w:p>
        </w:tc>
        <w:tc>
          <w:tcPr>
            <w:tcW w:type="dxa" w:w="3596"/>
          </w:tcPr>
          <w:p>
            <w:r>
              <w:t>-</w:t>
            </w:r>
          </w:p>
        </w:tc>
      </w:tr>
      <w:tr>
        <w:trPr>
          <w:cantSplit/>
        </w:trPr>
        <w:tc>
          <w:tcPr>
            <w:tcW w:type="dxa" w:w="1575"/>
          </w:tcPr>
          <w:p>
            <w:r>
              <w:rPr/>
              <w:t>June–August 2025 (eight weeks)</w:t>
            </w:r>
          </w:p>
        </w:tc>
        <w:tc>
          <w:tcPr>
            <w:tcW w:type="dxa" w:w="2384"/>
          </w:tcPr>
          <w:p>
            <w:r>
              <w:t>Stage 2 eight-week facility deployment (N=30)</w:t>
            </w:r>
          </w:p>
        </w:tc>
        <w:tc>
          <w:tcPr>
            <w:tcW w:type="dxa" w:w="2460"/>
          </w:tcPr>
          <w:p>
            <w:r>
              <w:t>Expectation that gamified delivery would sustain engagement</w:t>
            </w:r>
          </w:p>
        </w:tc>
        <w:tc>
          <w:tcPr>
            <w:tcW w:type="dxa" w:w="3422"/>
          </w:tcPr>
          <w:p>
            <w:r>
              <w:t>Seventy per cent disengagement at or before three cycles; divergence between recorded score improvement and non-return</w:t>
            </w:r>
          </w:p>
        </w:tc>
        <w:tc>
          <w:tcPr>
            <w:tcW w:type="dxa" w:w="3596"/>
          </w:tcPr>
          <w:p>
            <w:r>
              <w:t>Recorded performance alone did not explain return; competence, satisfaction and burden remain viable accounts alongside the provisional FIAS appraisal interpretation</w:t>
            </w:r>
          </w:p>
        </w:tc>
      </w:tr>
    </w:tbl>
    <w:p>
      <w:pPr>
        <w:pStyle w:val="FigureCaption"/>
        <w:keepNext/>
        <w:pageBreakBefore/>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April–July 2026</w:t>
            </w:r>
          </w:p>
        </w:tc>
        <w:tc>
          <w:tcPr>
            <w:tcW w:type="dxa" w:w="2384"/>
          </w:tcPr>
          <w:p>
            <w:r>
              <w:t>Stage 3 remote decoupled deployment (register N=120)</w:t>
            </w:r>
          </w:p>
        </w:tc>
        <w:tc>
          <w:tcPr>
            <w:tcW w:type="dxa" w:w="2460"/>
          </w:tcPr>
          <w:p>
            <w:r>
              <w:t>FIAS as a provisional description; framing and other participant/context explanations open</w:t>
            </w:r>
          </w:p>
        </w:tc>
        <w:tc>
          <w:tcPr>
            <w:tcW w:type="dxa" w:w="3422"/>
          </w:tcPr>
          <w:p>
            <w:r>
              <w:t>Different return behaviour in a separate deployment with changed clinical cues, input modality and context; descriptive difference between continued play and stated intention</w:t>
            </w:r>
          </w:p>
        </w:tc>
        <w:tc>
          <w:tcPr>
            <w:tcW w:type="dxa" w:w="3596"/>
          </w:tcPr>
          <w:p>
            <w:r>
              <w:t>The contrast motivated a frame-sensitive hypothesis without excluding cohort, modality, burden or other contextual explanations</w:t>
            </w:r>
          </w:p>
        </w:tc>
      </w:tr>
      <w:tr>
        <w:trPr>
          <w:cantSplit/>
        </w:trPr>
        <w:tc>
          <w:tcPr>
            <w:tcW w:type="dxa" w:w="1575"/>
          </w:tcPr>
          <w:p>
            <w:r>
              <w:t>March–September 2026</w:t>
            </w:r>
          </w:p>
        </w:tc>
        <w:tc>
          <w:tcPr>
            <w:tcW w:type="dxa" w:w="2384"/>
          </w:tcPr>
          <w:p>
            <w:r>
              <w:t>Expert consultation panel (four consultations with follow-ups)</w:t>
            </w:r>
          </w:p>
        </w:tc>
        <w:tc>
          <w:tcPr>
            <w:tcW w:type="dxa" w:w="2460"/>
          </w:tcPr>
          <w:p>
            <w:r>
              <w:t>Stage 1-3 findings and the FIDS-to-FIAS transition</w:t>
            </w:r>
          </w:p>
        </w:tc>
        <w:tc>
          <w:tcPr>
            <w:tcW w:type="dxa" w:w="3422"/>
          </w:tcPr>
          <w:p>
            <w:r>
              <w:t>Expert interpretations of the observations and proposed design; practical concerns about coaching, context and rewards</w:t>
            </w:r>
          </w:p>
        </w:tc>
        <w:tc>
          <w:tcPr>
            <w:tcW w:type="dxa" w:w="3596"/>
          </w:tcPr>
          <w:p>
            <w:r>
              <w:t>The team reconsidered practical support and implementation assumptions; participant mechanisms and comparative cost-effectiveness remained untested</w:t>
            </w:r>
          </w:p>
        </w:tc>
      </w:tr>
      <w:tr>
        <w:trPr>
          <w:cantSplit/>
        </w:trPr>
        <w:tc>
          <w:tcPr>
            <w:tcW w:type="dxa" w:w="1575"/>
          </w:tcPr>
          <w:p>
            <w:r>
              <w:t>6 August 2026 (approval period 16 Jun 2024 – 30 Oct 2026)</w:t>
            </w:r>
          </w:p>
        </w:tc>
        <w:tc>
          <w:tcPr>
            <w:tcW w:type="dxa" w:w="2384"/>
          </w:tcPr>
          <w:p>
            <w:r>
              <w:t>Ethics approval HSEARS20260805008</w:t>
            </w:r>
          </w:p>
        </w:tc>
        <w:tc>
          <w:tcPr>
            <w:tcW w:type="dxa" w:w="2460"/>
          </w:tcPr>
          <w:p>
            <w:r>
              <w:t>-</w:t>
            </w:r>
          </w:p>
        </w:tc>
        <w:tc>
          <w:tcPr>
            <w:tcW w:type="dxa" w:w="3422"/>
          </w:tcPr>
          <w:p>
            <w:r>
              <w:t>Formal approval received (exact date and authorised scope per the approval memo, §3.4)</w:t>
            </w:r>
          </w:p>
        </w:tc>
        <w:tc>
          <w:tcPr>
            <w:tcW w:type="dxa" w:w="3596"/>
          </w:tcPr>
          <w:p>
            <w:r>
              <w:t>-</w:t>
            </w:r>
          </w:p>
        </w:tc>
      </w:tr>
    </w:tbl>
    <w:p>
      <w:pPr>
        <w:pStyle w:val="FigureCaption"/>
        <w:keepNext/>
        <w:keepLines/>
        <w:jc w:val="center"/>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rPr/>
              <w:t>August–September 2026 (record closed 30 September 2026)</w:t>
            </w:r>
          </w:p>
        </w:tc>
        <w:tc>
          <w:tcPr>
            <w:tcW w:type="dxa" w:w="2384"/>
          </w:tcPr>
          <w:p>
            <w:r>
              <w:t>Stage 3B pre-specified (repository-dated) 2×2 component study, reported as a descriptive record</w:t>
            </w:r>
          </w:p>
        </w:tc>
        <w:tc>
          <w:tcPr>
            <w:tcW w:type="dxa" w:w="2460"/>
          </w:tcPr>
          <w:p>
            <w:r>
              <w:t>The adaptive-learning framework; the errorless-versus-graceful-failure question open</w:t>
            </w:r>
          </w:p>
        </w:tc>
        <w:tc>
          <w:tcPr>
            <w:tcW w:type="dxa" w:w="3422"/>
          </w:tcPr>
          <w:p>
            <w:r>
              <w:rPr>
                <w:highlight w:val="yellow"/>
              </w:rPr>
              <w:t>Protocol and analysis hierarchy repository-dated 8–9 August 2026, before recruitment; remote distribution through personal networks from 10 August; one verified return received 15 August 2026; frozen study edition 15 September 2026; five researcher-solicited returns of 15 September 2026 excluded on verification; five clean-run returns from the frozen edition (played 16 and 29 September 2026), listed in Appendix I (Table I.4); a researcher self-test batch of the Pro v4.1 practice-proposal policy (19–20 September 2026) documented separately (§8.8; Appendix I)</w:t>
            </w:r>
          </w:p>
        </w:tc>
        <w:tc>
          <w:tcPr>
            <w:tcW w:type="dxa" w:w="3596"/>
          </w:tcPr>
          <w:p>
            <w:r>
              <w:rPr>
                <w:highlight w:val="yellow"/>
              </w:rPr>
              <w:t>After the initial round, the learning measurement was found not to be articulated to the adaptive-learning construct (immediate task performance is not durable learning; clearance near ceiling; non-equivalent course forms; the adaptive arm is a support package of difficulty adjustment and coaching rather than difficulty alone). Stage 3B is therefore recorded as a descriptive component study and is not used to test the framework; adaptive/static and failure-presentation components remain future tests; clinical framing is not a factor</w:t>
            </w:r>
          </w:p>
        </w:tc>
      </w:tr>
      <w:tr>
        <w:trPr>
          <w:cantSplit/>
        </w:trPr>
        <w:tc>
          <w:tcPr>
            <w:tcW w:type="dxa" w:w="1575"/>
          </w:tcPr>
          <w:p>
            <w:r>
              <w:t>October 2026</w:t>
            </w:r>
          </w:p>
        </w:tc>
        <w:tc>
          <w:tcPr>
            <w:tcW w:type="dxa" w:w="2384"/>
          </w:tcPr>
          <w:p>
            <w:r>
              <w:t>Programme close and thesis completion</w:t>
            </w:r>
          </w:p>
        </w:tc>
        <w:tc>
          <w:tcPr>
            <w:tcW w:type="dxa" w:w="2460"/>
          </w:tcPr>
          <w:p>
            <w:r>
              <w:t>-</w:t>
            </w:r>
          </w:p>
        </w:tc>
        <w:tc>
          <w:tcPr>
            <w:tcW w:type="dxa" w:w="3422"/>
          </w:tcPr>
          <w:p>
            <w:r>
              <w:t>Synthesis of completed observations (Stages 1, 2 and 3A), candidate explanations and proposed engineering response; adaptive learning carried as discussion and future study</w:t>
            </w:r>
          </w:p>
        </w:tc>
        <w:tc>
          <w:tcPr>
            <w:tcW w:type="dxa" w:w="3596"/>
          </w:tcPr>
          <w:p>
            <w:r>
              <w:t>AI is treated as an implementation option whose incremental value requires comparison; no general necessity or sufficiency claim follows from a particular configuration</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Heading2"/>
      </w:pPr>
      <w:r>
        <w:rPr>
          <w:lang w:val="en-US" w:eastAsia="en-US" w:bidi="ar-SA"/>
          <w:color w:val="000000"/>
          <w:szCs w:val="22"/>
        </w:rPr>
        <w:t>9.3 The Central Finding: Contrasting Engagement Patterns Across Deployment Contexts</w:t>
      </w:r>
    </w:p>
    <w:p>
      <w:pPr>
        <w:pStyle w:val="Normal"/>
        <w:jc w:val="both"/>
      </w:pPr>
      <w:r>
        <w:rPr>
          <w:szCs w:val="22"/>
          <w:lang w:val="en-US" w:eastAsia="en-US" w:bidi="ar-SA"/>
          <w:rFonts w:ascii="Times New Roman" w:hAnsi="Times New Roman" w:eastAsia="Times New Roman" w:cs="Times New Roman"/>
          <w:sz w:val="24"/>
        </w:rP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pPr>
        <w:pStyle w:val="Normal"/>
        <w:jc w:val="both"/>
      </w:pPr>
      <w:r>
        <w:rPr>
          <w:szCs w:val="22"/>
          <w:lang w:val="en-US" w:eastAsia="en-US" w:bidi="ar-SA"/>
          <w:rFonts w:ascii="Times New Roman" w:hAnsi="Times New Roman" w:eastAsia="Times New Roman" w:cs="Times New Roman"/>
          <w:sz w:val="24"/>
        </w:rPr>
        <w:t>Technical coupling means that an interaction contributes both to gameplay and to a measurement pathway. Participant-facing framing concerns how that interaction and its outputs are described and understood. Embodied task demand and the practical consequences of assessment are further, distinct dimensions. An adverse game event could therefore be interpreted as information about ability or independence, but this is a candidate appraisal pathway, not an observed mechanism. Stages 1 and 2 document the engagement problem in a clinically consequential setting; they do not directly establish endowment protection or mental-account closure.</w:t>
      </w:r>
    </w:p>
    <w:p>
      <w:pPr>
        <w:pStyle w:val="Normal"/>
        <w:jc w:val="both"/>
      </w:pPr>
      <w:r>
        <w:rPr>
          <w:szCs w:val="22"/>
          <w:lang w:val="en-US" w:eastAsia="en-US" w:bidi="ar-SA"/>
          <w:rFonts w:ascii="Times New Roman" w:hAnsi="Times New Roman" w:eastAsia="Times New Roman" w:cs="Times New Roman"/>
          <w:sz w:val="24"/>
        </w:rPr>
        <w:t>In Stage 3, participant-facing clinical cues were reduced through several coordinated changes, and post-failure return was common in the separate coordination-game cohort. This observation motivates testing the practical value of separating engagement feedback from immediate diagnostic-verdict presentation. Because cohort, platform, input device, setting and supervision also differed, the result cannot identify the effectiveness of that separation. It is exploratory field evidence for a contextual question whose causal components remain to be tested.</w:t>
      </w:r>
    </w:p>
    <w:p>
      <w:pPr>
        <w:pStyle w:val="Normal"/>
        <w:jc w:val="both"/>
      </w:pPr>
      <w:r>
        <w:rPr>
          <w:szCs w:val="22"/>
          <w:lang w:val="en-US" w:eastAsia="en-US" w:bidi="ar-SA"/>
          <w:rFonts w:ascii="Times New Roman" w:hAnsi="Times New Roman" w:eastAsia="Times New Roman" w:cs="Times New Roman"/>
          <w:sz w:val="24"/>
        </w:rPr>
        <w:t>FIAS is consequently retained as a provisional, non-diagnostic descriptor of failure-associated non-return, with the identity-related appraisal account stated separately. Neither the label nor non-return alone establishes active avoidance or its motive. The findings identify a candidate limit to transferring selected design principles into this assessment context; they do not locate a universal boundary at which gamification theory fails. Theoretical value depends on specifying and testing what the proposed account adds beyond perceived competence, satisfaction-based continuance, information avoidance and practical burden (Bandura, 1997; Bhattacherjee, 2001; Howell &amp; Shepperd, 2012). Construct validity, discriminant validity and incremental prediction remain open questions.</w:t>
      </w:r>
    </w:p>
    <w:p>
      <w:pPr>
        <w:jc w:val="both"/>
      </w:pPr>
      <w:r>
        <w:t>The finding can be stated more narrowly: recorded performance and the decision to return need not move together, and engagement differed across the two deployment contexts. Clinical meaning is a plausible contributor, while difficulty, design, burden, opportunity and participant characteristics remain possible explanations. This is sufficient to motivate a design response that attends to the interpretation of difficulty as well as to task performance.</w:t>
      </w:r>
    </w:p>
    <w:p>
      <w:pPr>
        <w:pStyle w:val="Heading2"/>
      </w:pPr>
      <w:r>
        <w:rPr>
          <w:color w:val="000000"/>
        </w:rPr>
        <w:t>9.3A From Observations to a Testable Engineering Response</w:t>
      </w:r>
    </w:p>
    <w:p>
      <w:pPr>
        <w:jc w:val="both"/>
      </w:pPr>
      <w:r>
        <w:rPr/>
        <w:t>The programme can be read in calendar order (Table 3.1A), through its retrospective research diary (Table 9.1), and as a sequence from evidence to engineering questions (Table 9.2). The latter is a chain of reasoning, not a demonstrated chain of causal effects. It distinguishes observed non-use and non-return, candidate appraisals, viable alternative explanations, and the proposed adaptive-learning response. Stage-1 never-users are not classified as having experienced failure-associated non-return. Facility assessment practices may also give clinical results practical consequences, which should remain distinct from an identity-threat explanation. Participant interpretations can inform the account where supported by documented records, but enjoyment of some game features cannot establish that gameplay or task demands played no part in withdrawal.</w:t>
      </w:r>
    </w:p>
    <w:p>
      <w:pPr>
        <w:pStyle w:val="FigureCaption"/>
        <w:keepNext/>
        <w:keepLines/>
      </w:pPr>
      <w:r>
        <w:t>Table 9.2. The sequence from empirical observations to candidate explanations and a proposed engineering response. Each entry identifies its evidence and evidential status; the sequence does not establish a causal chain.</w:t>
      </w:r>
    </w:p>
    <w:tbl>
      <w:tblPr>
        <w:tblStyle w:val="TableGrid"/>
        <w:tblW w:w="8505" w:type="dxa"/>
        <w:tblLayout w:type="fixed"/>
        <w:tblLook w:firstColumn="1" w:firstRow="1" w:lastColumn="0" w:lastRow="0" w:noHBand="0" w:noVBand="1" w:val="04A0"/>
      </w:tblPr>
      <w:tblGrid>
        <w:gridCol w:w="661"/>
        <w:gridCol w:w="3024"/>
        <w:gridCol w:w="3024"/>
        <w:gridCol w:w="1796"/>
      </w:tblGrid>
      <w:tr>
        <w:trPr>
          <w:tblHeader/>
          <w:cantSplit/>
        </w:trPr>
        <w:tc>
          <w:tcPr>
            <w:tcW w:w="661" w:type="dxa"/>
          </w:tcPr>
          <w:p>
            <w:pPr>
              <w:keepNext w:val="0"/>
              <w:keepLines/>
            </w:pPr>
            <w:r>
              <w:rPr>
                <w:rFonts w:ascii="Times New Roman" w:hAnsi="Times New Roman"/>
                <w:b/>
                <w:sz w:val="16"/>
              </w:rPr>
              <w:t>Link</w:t>
            </w:r>
          </w:p>
        </w:tc>
        <w:tc>
          <w:tcPr>
            <w:tcW w:w="3024" w:type="dxa"/>
          </w:tcPr>
          <w:p>
            <w:pPr>
              <w:keepNext w:val="0"/>
              <w:keepLines/>
            </w:pPr>
            <w:r>
              <w:rPr>
                <w:rFonts w:ascii="Times New Roman" w:hAnsi="Times New Roman"/>
                <w:b/>
                <w:sz w:val="18"/>
              </w:rPr>
              <w:t>Observation, interpretation or proposal</w:t>
            </w:r>
          </w:p>
        </w:tc>
        <w:tc>
          <w:tcPr>
            <w:tcW w:w="3024" w:type="dxa"/>
          </w:tcPr>
          <w:p>
            <w:pPr>
              <w:keepNext w:val="0"/>
              <w:keepLines/>
            </w:pPr>
            <w:r>
              <w:rPr>
                <w:rFonts w:ascii="Times New Roman" w:hAnsi="Times New Roman"/>
                <w:b/>
                <w:sz w:val="18"/>
              </w:rPr>
              <w:t>Principal evidence</w:t>
            </w:r>
          </w:p>
        </w:tc>
        <w:tc>
          <w:tcPr>
            <w:tcW w:w="1796" w:type="dxa"/>
          </w:tcPr>
          <w:p>
            <w:pPr>
              <w:keepNext w:val="0"/>
              <w:keepLines/>
            </w:pPr>
            <w:r>
              <w:rPr>
                <w:rFonts w:ascii="Times New Roman" w:hAnsi="Times New Roman"/>
                <w:b/>
                <w:sz w:val="18"/>
              </w:rPr>
              <w:t>Status</w:t>
            </w:r>
          </w:p>
        </w:tc>
      </w:tr>
      <w:tr>
        <w:trPr>
          <w:cantSplit/>
        </w:trPr>
        <w:tc>
          <w:tcPr>
            <w:tcW w:w="661" w:type="dxa"/>
          </w:tcPr>
          <w:p>
            <w:r>
              <w:t>1</w:t>
            </w:r>
          </w:p>
        </w:tc>
        <w:tc>
          <w:tcPr>
            <w:tcW w:w="3024" w:type="dxa"/>
          </w:tcPr>
          <w:p>
            <w:r>
              <w:t>The studied FRA station was underused despite its intended clinical value</w:t>
            </w:r>
          </w:p>
        </w:tc>
        <w:tc>
          <w:tcPr>
            <w:tcW w:w="3024" w:type="dxa"/>
          </w:tcPr>
          <w:p>
            <w:r>
              <w:t>Site observation, 2023; Stage-1 utilisation record (Chapter 4)</w:t>
            </w:r>
          </w:p>
        </w:tc>
        <w:tc>
          <w:tcPr>
            <w:tcW w:w="1796" w:type="dxa"/>
          </w:tcPr>
          <w:p>
            <w:r>
              <w:t>Observed</w:t>
            </w:r>
          </w:p>
        </w:tc>
      </w:tr>
      <w:tr>
        <w:trPr>
          <w:cantSplit/>
        </w:trPr>
        <w:tc>
          <w:tcPr>
            <w:tcW w:w="661" w:type="dxa"/>
          </w:tcPr>
          <w:p>
            <w:r>
              <w:t>2</w:t>
            </w:r>
          </w:p>
        </w:tc>
        <w:tc>
          <w:tcPr>
            <w:tcW w:w="3024" w:type="dxa"/>
          </w:tcPr>
          <w:p>
            <w:r>
              <w:t>Prior FRA users reported adverse first experiences and non-return; assessment demands and practical consequences are candidate contributors</w:t>
            </w:r>
          </w:p>
        </w:tc>
        <w:tc>
          <w:tcPr>
            <w:tcW w:w="3024" w:type="dxa"/>
          </w:tcPr>
          <w:p>
            <w:r>
              <w:t>Stage-1 survey, N=200 (aggregate record; per-respondent response file not archived, §4.2, Appendix G item G.1), plus facility operating practice (Chapter 4)</w:t>
            </w:r>
          </w:p>
        </w:tc>
        <w:tc>
          <w:tcPr>
            <w:tcW w:w="1796" w:type="dxa"/>
          </w:tcPr>
          <w:p>
            <w:r>
              <w:t>Observed reports; self-efficacy and consequence-avoidance interpretations remain provisional</w:t>
            </w:r>
          </w:p>
        </w:tc>
      </w:tr>
      <w:tr>
        <w:trPr>
          <w:cantSplit/>
        </w:trPr>
        <w:tc>
          <w:tcPr>
            <w:tcW w:w="661" w:type="dxa"/>
          </w:tcPr>
          <w:p>
            <w:r>
              <w:t>3</w:t>
            </w:r>
          </w:p>
        </w:tc>
        <w:tc>
          <w:tcPr>
            <w:tcW w:w="3024" w:type="dxa"/>
          </w:tcPr>
          <w:p>
            <w:r>
              <w:t>The implemented acceptance-informed, gamified FRA did not sustain engagement for most Stage-2 participants</w:t>
            </w:r>
          </w:p>
        </w:tc>
        <w:tc>
          <w:tcPr>
            <w:tcW w:w="3024" w:type="dxa"/>
          </w:tcPr>
          <w:p>
            <w:r>
              <w:t>Stage 2: 70% disengaged at &lt;=3 cycles; 0/21 re-engagement (Chapter 5)</w:t>
            </w:r>
          </w:p>
        </w:tc>
        <w:tc>
          <w:tcPr>
            <w:tcW w:w="1796" w:type="dxa"/>
          </w:tcPr>
          <w:p>
            <w:r>
              <w:t>Observed</w:t>
            </w:r>
          </w:p>
        </w:tc>
      </w:tr>
      <w:tr>
        <w:trPr>
          <w:cantSplit/>
        </w:trPr>
        <w:tc>
          <w:tcPr>
            <w:tcW w:w="661" w:type="dxa"/>
          </w:tcPr>
          <w:p>
            <w:r>
              <w:t>4</w:t>
            </w:r>
          </w:p>
        </w:tc>
        <w:tc>
          <w:tcPr>
            <w:tcW w:w="3024" w:type="dxa"/>
          </w:tcPr>
          <w:p>
            <w:r>
              <w:t>Favourable recorded performance and continued participation need not coincide</w:t>
            </w:r>
          </w:p>
        </w:tc>
        <w:tc>
          <w:tcPr>
            <w:tcW w:w="3024" w:type="dxa"/>
          </w:tcPr>
          <w:p>
            <w:r>
              <w:t>Recorded-score/return divergence (§5.6); satisfaction–engagement association; viable discontinuance alternatives (§8.5.9)</w:t>
            </w:r>
          </w:p>
        </w:tc>
        <w:tc>
          <w:tcPr>
            <w:tcW w:w="1796" w:type="dxa"/>
          </w:tcPr>
          <w:p>
            <w:r>
              <w:t>Observed divergence; mechanisms not discriminated</w:t>
            </w:r>
          </w:p>
        </w:tc>
      </w:tr>
      <w:tr>
        <w:trPr>
          <w:cantSplit/>
        </w:trPr>
        <w:tc>
          <w:tcPr>
            <w:tcW w:w="661" w:type="dxa"/>
          </w:tcPr>
          <w:p>
            <w:r>
              <w:t>5</w:t>
            </w:r>
          </w:p>
        </w:tc>
        <w:tc>
          <w:tcPr>
            <w:tcW w:w="3024" w:type="dxa"/>
          </w:tcPr>
          <w:p>
            <w:r>
              <w:t>Perceived capability may influence continuation even when recorded performance improves</w:t>
            </w:r>
          </w:p>
        </w:tc>
        <w:tc>
          <w:tcPr>
            <w:tcW w:w="3024" w:type="dxa"/>
          </w:tcPr>
          <w:p>
            <w:r>
              <w:t>Self-efficacy account (§2.4.4); Stage-2 performance and return observations</w:t>
            </w:r>
          </w:p>
        </w:tc>
        <w:tc>
          <w:tcPr>
            <w:tcW w:w="1796" w:type="dxa"/>
          </w:tcPr>
          <w:p>
            <w:r>
              <w:t>Viable explanation requiring direct measurement</w:t>
            </w:r>
          </w:p>
        </w:tc>
      </w:tr>
      <w:tr>
        <w:trPr>
          <w:cantSplit/>
        </w:trPr>
        <w:tc>
          <w:tcPr>
            <w:tcW w:w="661" w:type="dxa"/>
          </w:tcPr>
          <w:p>
            <w:r>
              <w:t>6</w:t>
            </w:r>
          </w:p>
        </w:tc>
        <w:tc>
          <w:tcPr>
            <w:tcW w:w="3024" w:type="dxa"/>
          </w:tcPr>
          <w:p>
            <w:r>
              <w:t>Identity-relevant loss appraisal is one proposed explanation of the provisional FIAS pattern</w:t>
            </w:r>
          </w:p>
        </w:tc>
        <w:tc>
          <w:tcPr>
            <w:tcW w:w="3024" w:type="dxa"/>
          </w:tcPr>
          <w:p>
            <w:r>
              <w:t>Proposed appraisal account (§5.6–§5.7); expert interpretation (§6.12, Appendix H)</w:t>
            </w:r>
          </w:p>
        </w:tc>
        <w:tc>
          <w:tcPr>
            <w:tcW w:w="1796" w:type="dxa"/>
          </w:tcPr>
          <w:p>
            <w:r>
              <w:t>Hypothesised mechanism; construct and incremental explanatory value unvalidated</w:t>
            </w:r>
          </w:p>
        </w:tc>
      </w:tr>
      <w:tr>
        <w:trPr>
          <w:cantSplit/>
        </w:trPr>
        <w:tc>
          <w:tcPr>
            <w:tcW w:w="661" w:type="dxa"/>
          </w:tcPr>
          <w:p>
            <w:r>
              <w:t>7</w:t>
            </w:r>
          </w:p>
        </w:tc>
        <w:tc>
          <w:tcPr>
            <w:tcW w:w="3024" w:type="dxa"/>
          </w:tcPr>
          <w:p>
            <w:r>
              <w:t>The remote Stage-3 cohort showed substantial engagement and return under a different package and context</w:t>
            </w:r>
          </w:p>
        </w:tc>
        <w:tc>
          <w:tcPr>
            <w:tcW w:w="3024" w:type="dxa"/>
          </w:tcPr>
          <w:p>
            <w:r>
              <w:t>Stage 3: 85.4% continued or resumed play (65–80); observed return in the separate cohort (Chapter 6)</w:t>
            </w:r>
          </w:p>
        </w:tc>
        <w:tc>
          <w:tcPr>
            <w:tcW w:w="1796" w:type="dxa"/>
          </w:tcPr>
          <w:p>
            <w:r>
              <w:t>Observed; framing, cohort, modality and design contributions not isolated</w:t>
            </w:r>
          </w:p>
        </w:tc>
      </w:tr>
      <w:tr>
        <w:trPr>
          <w:cantSplit/>
        </w:trPr>
        <w:tc>
          <w:tcPr>
            <w:tcW w:w="661" w:type="dxa"/>
          </w:tcPr>
          <w:p>
            <w:r>
              <w:t>8</w:t>
            </w:r>
          </w:p>
        </w:tc>
        <w:tc>
          <w:tcPr>
            <w:tcW w:w="3024" w:type="dxa"/>
          </w:tcPr>
          <w:p>
            <w:r>
              <w:t>A candidate limit to transferring selected gamification design principles into this clinically consequential setting</w:t>
            </w:r>
          </w:p>
        </w:tc>
        <w:tc>
          <w:tcPr>
            <w:tcW w:w="3024" w:type="dxa"/>
          </w:tcPr>
          <w:p>
            <w:r>
              <w:t>Stages 2-3 jointly (§8.1)</w:t>
            </w:r>
          </w:p>
        </w:tc>
        <w:tc>
          <w:tcPr>
            <w:tcW w:w="1796" w:type="dxa"/>
          </w:tcPr>
          <w:p>
            <w:r>
              <w:t>Contextual interpretation motivating a controlled test</w:t>
            </w:r>
          </w:p>
        </w:tc>
      </w:tr>
      <w:tr>
        <w:trPr>
          <w:cantSplit/>
        </w:trPr>
        <w:tc>
          <w:tcPr>
            <w:tcW w:w="661" w:type="dxa"/>
          </w:tcPr>
          <w:p>
            <w:r>
              <w:t>9</w:t>
            </w:r>
          </w:p>
        </w:tc>
        <w:tc>
          <w:tcPr>
            <w:tcW w:w="3024" w:type="dxa"/>
          </w:tcPr>
          <w:p>
            <w:r>
              <w:t>Proposed adaptive-learning framework with non-terminal feedback and credible progress under task or controller changes</w:t>
            </w:r>
          </w:p>
        </w:tc>
        <w:tc>
          <w:tcPr>
            <w:tcW w:w="3024" w:type="dxa"/>
          </w:tcPr>
          <w:p>
            <w:r>
              <w:t>Engineering synthesis (Chapter 7); Stage 3B 2×2 component-study record, closed 30 September 2026 (§8.8; Appendix I); separate framing comparison proposed</w:t>
            </w:r>
          </w:p>
        </w:tc>
        <w:tc>
          <w:tcPr>
            <w:tcW w:w="1796" w:type="dxa"/>
          </w:tcPr>
          <w:p>
            <w:r>
              <w:t>Proposed; complete framework and progress specification not evaluated; Stage 3B not used as their test because its learning measure was not articulated to the construct</w:t>
            </w:r>
          </w:p>
        </w:tc>
      </w:tr>
      <w:tr>
        <w:trPr>
          <w:cantSplit/>
        </w:trPr>
        <w:tc>
          <w:tcPr>
            <w:tcW w:w="661" w:type="dxa"/>
          </w:tcPr>
          <w:p>
            <w:r>
              <w:t>10</w:t>
            </w:r>
          </w:p>
        </w:tc>
        <w:tc>
          <w:tcPr>
            <w:tcW w:w="3024" w:type="dxa"/>
          </w:tcPr>
          <w:p>
            <w:r>
              <w:t>Habit formation, appraisal transfer and multi-party or group influences</w:t>
            </w:r>
          </w:p>
        </w:tc>
        <w:tc>
          <w:tcPr>
            <w:tcW w:w="3024" w:type="dxa"/>
          </w:tcPr>
          <w:p>
            <w:r>
              <w:t>§8.6B concession; §8.8 propositions; §9.8B</w:t>
            </w:r>
          </w:p>
        </w:tc>
        <w:tc>
          <w:tcPr>
            <w:tcW w:w="1796" w:type="dxa"/>
          </w:tcPr>
          <w:p>
            <w:r>
              <w:t>Future research hypotheses</w:t>
            </w:r>
          </w:p>
        </w:tc>
      </w:tr>
    </w:tbl>
    <w:p>
      <w:pPr>
        <w:pStyle w:val="Heading2"/>
      </w:pPr>
      <w:bookmarkStart w:id="157" w:name="_Toc232024646"/>
      <w:bookmarkEnd w:id="157"/>
      <w:r>
        <w:rPr>
          <w:lang w:val="en-US" w:eastAsia="en-US" w:bidi="ar-SA"/>
          <w:color w:val="000000"/>
          <w:szCs w:val="22"/>
        </w:rPr>
        <w:t>9.4 Implications for Gamification in Older-Adult Assessment</w:t>
      </w:r>
    </w:p>
    <w:p>
      <w:pPr>
        <w:pStyle w:val="Normal"/>
        <w:jc w:val="both"/>
      </w:pPr>
      <w:r>
        <w:rPr>
          <w:szCs w:val="22"/>
          <w:lang w:val="en-US" w:eastAsia="en-US" w:bidi="ar-SA"/>
          <w:rFonts w:ascii="Times New Roman" w:hAnsi="Times New Roman" w:eastAsia="Times New Roman" w:cs="Times New Roman"/>
          <w:sz w:val="24"/>
        </w:rPr>
        <w:t>Stage 3 showed that many older participants in its cohort engaged with and returned to the coordination game. This is consistent with prior older-adult gamification research, but it is not a replication against a universal literature-predicted retention benchmark. Nor does the contrast locate failure exclusively in clinical language or interpretation. The useful implication is that selected game mechanics should be evaluated within the population, physical task and institutional setting in which success and difficulty acquire meaning. The present programme contributes a specific assessment case and a proposed engineering response to that contextual problem.</w:t>
      </w:r>
    </w:p>
    <w:p>
      <w:pPr>
        <w:pStyle w:val="Normal"/>
        <w:jc w:val="both"/>
      </w:pPr>
      <w:r>
        <w:rPr>
          <w:szCs w:val="22"/>
          <w:lang w:val="en-US" w:eastAsia="en-US" w:bidi="ar-SA"/>
          <w:rFonts w:ascii="Times New Roman" w:hAnsi="Times New Roman" w:eastAsia="Times New Roman" w:cs="Times New Roman"/>
          <w:sz w:val="24"/>
        </w:rPr>
        <w:t>Stage 3 altered lexical language, pre-session procedure, participant-facing interface and clinical-output presentation alongside cohort and delivery conditions. Its engagement pattern is therefore an observation under a combined package and context. Future controlled component studies should estimate which changes contribute to outcomes and whether their effects depend on one another.</w:t>
      </w:r>
    </w:p>
    <w:p>
      <w:pPr>
        <w:pStyle w:val="Normal"/>
        <w:jc w:val="both"/>
      </w:pPr>
      <w:r>
        <w:rPr>
          <w:szCs w:val="22"/>
          <w:lang w:val="en-US" w:eastAsia="en-US" w:bidi="ar-SA"/>
          <w:rFonts w:ascii="Times New Roman" w:hAnsi="Times New Roman" w:eastAsia="Times New Roman" w:cs="Times New Roman"/>
          <w:sz w:val="24"/>
        </w:rP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pPr>
        <w:pStyle w:val="Heading2"/>
      </w:pPr>
      <w:bookmarkStart w:id="158" w:name="_Toc232024647"/>
      <w:bookmarkEnd w:id="158"/>
      <w:r>
        <w:rPr>
          <w:lang w:val="en-US" w:eastAsia="en-US" w:bidi="ar-SA"/>
          <w:color w:val="000000"/>
          <w:szCs w:val="22"/>
        </w:rPr>
        <w:t>9.5 Adaptive Learning and Credible Improvement Under Change</w:t>
      </w:r>
    </w:p>
    <w:p>
      <w:pPr>
        <w:pStyle w:val="Normal"/>
        <w:jc w:val="both"/>
      </w:pPr>
      <w:r>
        <w:rPr>
          <w:szCs w:val="22"/>
          <w:lang w:val="en-US" w:eastAsia="en-US" w:bidi="ar-SA"/>
          <w:rFonts w:ascii="Times New Roman" w:hAnsi="Times New Roman" w:eastAsia="Times New Roman" w:cs="Times New Roman"/>
          <w:sz w:val="24"/>
        </w:rPr>
        <w:t>Decoupling did not answer every engagement question. In the 65–80 group, continued or resumed play (dropouts who played again included) was 85.4% and stated regular-use intention was 56.1%. The 29.3-percentage-point difference is descriptive and may reflect fatigue, access, burden, perceived relevance, enjoyment, motor difficulty, novelty or other factors. The present data do not show that the same identity mechanism caused the difference.</w:t>
      </w:r>
    </w:p>
    <w:p>
      <w:pPr>
        <w:pStyle w:val="Normal"/>
        <w:jc w:val="both"/>
      </w:pPr>
      <w:r>
        <w:rPr>
          <w:szCs w:val="22"/>
          <w:lang w:val="en-US" w:eastAsia="en-US" w:bidi="ar-SA"/>
          <w:rFonts w:ascii="Times New Roman" w:hAnsi="Times New Roman" w:eastAsia="Times New Roman" w:cs="Times New Roman"/>
          <w:sz w:val="24"/>
        </w:rPr>
        <w:t>Adaptive learning is proposed as an engineering response, informed by established work on learning and adaptive challenge, rather than a newly discovered or uniquely necessary behavioural driver. The adaptive-learning framework combines identity disentanglement, trajectory feedback and adaptive calibration. Its intended role is to make difficulty informative and the next step actionable. Chapter 7 adds the condition that makes the trajectory credible: assistance, difficulty, task and controller changes must be visible in the record, and participation rewards must be separated from performance and evidence of learning. A participant may complete more activity while requiring more support; an innovation may become more usable after redesign while producing outcomes that are no longer directly comparable. In either case, the display should state what changed and what can be compared. Stable anchor checks, where feasible and appropriate, support comparison; an incompatible redesign requires an explicit discontinuity rather than a new baseline that conceals earlier decline. Plateaus, setbacks and uncertainty are legitimate results. Retained or transferred learning requires evidence beyond immediate performance (Soderstrom &amp; Bjork, 2015). The framework and this progress specification remain untested as a complete package. Stage 3 does not establish their effectiveness, and the Stage 3B component study is not used as their test: after its initial round, its learning measurement was found not to be articulated to the adaptive-learning construct — immediate task performance is not durable learning — so its record is reported descriptively (§8.8; Appendix I) and adaptive learning is carried forward as discussion and future study. Future evaluation should compare them with decoupling alone and with simpler support alternatives, using a learning measure that goes beyond immediate performance.</w:t>
      </w:r>
    </w:p>
    <w:p>
      <w:pPr>
        <w:pStyle w:val="Heading2"/>
      </w:pPr>
      <w:r>
        <w:rPr>
          <w:lang w:val="en-US" w:eastAsia="en-US" w:bidi="ar-SA"/>
          <w:color w:val="000000"/>
          <w:szCs w:val="22"/>
        </w:rPr>
        <w:t>9.6 Competing Appraisal Regimes: Endowment Protection and Learning Trajectory</w:t>
      </w:r>
    </w:p>
    <w:p>
      <w:pPr>
        <w:pStyle w:val="Normal"/>
        <w:jc w:val="both"/>
      </w:pPr>
      <w:r>
        <w:rPr>
          <w:szCs w:val="22"/>
          <w:lang w:val="en-US" w:eastAsia="en-US" w:bidi="ar-SA"/>
          <w:rFonts w:ascii="Times New Roman" w:hAnsi="Times New Roman" w:eastAsia="Times New Roman" w:cs="Times New Roman"/>
          <w:sz w:val="24"/>
        </w:rPr>
        <w:t>The relationship between identity protection and learning trajectory is a theoretical proposition, not an empirical demonstration of mutual exclusion.</w:t>
      </w:r>
    </w:p>
    <w:p>
      <w:pPr>
        <w:pStyle w:val="Normal"/>
        <w:jc w:val="both"/>
      </w:pPr>
      <w:r>
        <w:rPr>
          <w:szCs w:val="22"/>
          <w:lang w:val="en-US" w:eastAsia="en-US" w:bidi="ar-SA"/>
          <w:rFonts w:ascii="Times New Roman" w:hAnsi="Times New Roman" w:eastAsia="Times New Roman" w:cs="Times New Roman"/>
          <w:sz w:val="24"/>
        </w:rP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pPr>
        <w:pStyle w:val="Normal"/>
        <w:jc w:val="both"/>
      </w:pPr>
      <w:r>
        <w:rPr>
          <w:szCs w:val="22"/>
          <w:lang w:val="en-US" w:eastAsia="en-US" w:bidi="ar-SA"/>
          <w:rFonts w:ascii="Times New Roman" w:hAnsi="Times New Roman" w:eastAsia="Times New Roman" w:cs="Times New Roman"/>
          <w:sz w:val="24"/>
        </w:rPr>
        <w:t>The engineering objective is to support a credible interpretation of difficulty without denying identity, removing all challenge or obscuring clinically meaningful information. A trajectory may show improvement, stability, increased support needs or deterioration; truthful feedback should help the participant understand those possibilities and choose the next step. Mastery-oriented feedback, appropriate challenge and user choice may influence appraisal, but their effects require direct measurement. Apparent score gains produced by easier tasks or stronger assistance should not be presented as demonstrated capability gains (Chapter 7; Soderstrom &amp; Bjork, 2015).</w:t>
      </w:r>
    </w:p>
    <w:p>
      <w:pPr>
        <w:pStyle w:val="Normal"/>
        <w:jc w:val="both"/>
      </w:pPr>
      <w:r>
        <w:rPr>
          <w:szCs w:val="22"/>
          <w:lang w:val="en-US" w:eastAsia="en-US" w:bidi="ar-SA"/>
          <w:rFonts w:ascii="Times New Roman" w:hAnsi="Times New Roman" w:eastAsia="Times New Roman" w:cs="Times New Roman"/>
          <w:sz w:val="24"/>
        </w:rPr>
        <w:t>The thesis consequently reformulates its strongest structural claim: endowment-protective and learning-trajectory appraisals are competing interpretive regimes. The adaptive-learning framework is designed to increase the salience of the latter. WTA-WTP asymmetry, identity appraisal and changes in self-efficacy are future measurement targets, not established mediators in the current dataset.</w:t>
      </w:r>
    </w:p>
    <w:p>
      <w:pPr>
        <w:pStyle w:val="Heading2"/>
      </w:pPr>
      <w:bookmarkStart w:id="159" w:name="_Toc232024649"/>
      <w:bookmarkEnd w:id="159"/>
      <w:r>
        <w:rPr>
          <w:lang w:val="en-US" w:eastAsia="en-US" w:bidi="ar-SA"/>
          <w:color w:val="000000"/>
          <w:szCs w:val="22"/>
        </w:rPr>
        <w:t>9.7 Contributions to Engineering and Theory</w:t>
      </w:r>
    </w:p>
    <w:p>
      <w:pPr>
        <w:pStyle w:val="Normal"/>
        <w:jc w:val="both"/>
      </w:pPr>
      <w:commentRangeStart w:id="8"/>
      <w:r>
        <w:rPr>
          <w:i w:val="0"/>
          <w:szCs w:val="22"/>
          <w:lang w:val="en-US" w:eastAsia="en-US" w:bidi="ar-SA"/>
          <w:rFonts w:ascii="Times New Roman" w:hAnsi="Times New Roman" w:eastAsia="Times New Roman" w:cs="Times New Roman"/>
          <w:sz w:val="24"/>
        </w:rPr>
        <w:t>The principal contribution is a domain-specific engineering synthesis for proactive support and continuous improvement in gamified assessment. It translates an observed engagement problem into an interaction architecture and evaluation requirements that another engineering team can inspect and test. The empirical contribution is the documented non-return pattern, its divergence from recorded performance, and the contrasting engagement observed in a separate deployment. The theoretical contribution is a provisional FIAS description and a frame-sensitive appraisal hypothesis, situated among established explanations of competence, continuance and avoidance. The industrial contribution - the innovation-enhancement element of the title - is the integration of these elements with a two-loop specification: participant support during difficulty, and accountable system revision when the design does not achieve its aims. Adaptive learning itself is prior knowledge; its proposed integration for this assessment problem, including credible progress under task and controller changes, is the thesis's design contribution. The methodological contribution - the sequential exploratory action-research design and the dual-purpose mechanic - is stated in §8.2. Mechanisms, incremental effectiveness, retained learning and transfer remain to be evaluated.</w:t>
      </w:r>
      <w:commentRangeEnd w:id="8"/>
      <w:r>
        <w:rPr>
          <w:rStyle w:val="CommentReference"/>
        </w:rPr>
        <w:commentReference w:id="8"/>
      </w:r>
    </w:p>
    <w:p>
      <w:pPr>
        <w:pStyle w:val="Normal"/>
        <w:jc w:val="both"/>
      </w:pPr>
      <w:commentRangeStart w:id="8"/>
      <w:r>
        <w:rPr>
          <w:i w:val="0"/>
          <w:szCs w:val="22"/>
          <w:lang w:val="en-US" w:eastAsia="en-US" w:bidi="ar-SA"/>
          <w:rFonts w:ascii="Times New Roman" w:hAnsi="Times New Roman" w:eastAsia="Times New Roman" w:cs="Times New Roman"/>
          <w:sz w:val="24"/>
        </w:rPr>
        <w:t>Measured against the practice-oriented standard of the Doctor of Engineering — knowledge for engineering practice, stated in a form another engineering team can inspect and test — the contribution claimed is problem clarification, iterative design learning and a testable specification (Abstract; §1.11), not a demonstrated effect. Stated positively, the programme leaves an engineering team with four things it did not have before. First, a documented field case in which an acceptance-informed gamified assessment station recorded index gains while most users did not return (Stage 2: 21 of 30 disengaged at or before three cycles, and none of the 21 returned within the eight-week window), which locates the design target for this service in engagement after difficulty rather than in initial acceptance alone. Second, a deployed dual-purpose arrangement in which one weight shift drives play through a foot pad and is measured at the same moment by the FRA footplate beneath it, so that measurement is carried alongside play without clinical numbers on the play screen — achieved physically, because the FRA510S exposes no application programming interface, with the two data sets joined by the therapist's hand record (§5.2A, §5.3) — a property the Stage-2 build already had while the session itself carried clinical framing (§5.5; §6.3). Third, a recorded contrast in which a separately built browser version of the game that retained its skiing mechanic and session structure, with participant-facing clinical cues reduced at the artefact level (recruitment materials retained fall-prevention vocabulary; §6.4) and played remotely with a different input device (§8.5.7–8.5.8), was followed by return in most initial dropouts in a separate cohort (15 of 23), which marks the participant-facing assessment frame as a candidate variable to control in design and testing. Fourth, the credible-progress specification (§7.5.2; Table 7.3), which states in checkable terms how participation, condition-specific performance, learning and clinical change must be recorded and kept apart when a redesign changes the task. A team building a gamified assessment service can act on these directly: design for return after difficulty, separate the participant-facing pathway from the clinical output rather than only keeping numbers off the play surface, without concealing clinically important information (§9.4), and adopt the progress-recording rules before claiming improvement.</w:t>
      </w:r>
      <w:commentRangeEnd w:id="8"/>
    </w:p>
    <w:p>
      <w:pPr>
        <w:pStyle w:val="Heading2"/>
      </w:pPr>
      <w:bookmarkStart w:id="160" w:name="_Toc232024650"/>
      <w:r>
        <w:rPr>
          <w:lang w:val="en-US" w:eastAsia="en-US" w:bidi="ar-SA"/>
          <w:color w:val="000000"/>
          <w:szCs w:val="22"/>
        </w:rPr>
        <w:t>9.8 Practical Contributions for Industry and Practice</w:t>
      </w:r>
      <w:bookmarkEnd w:id="160"/>
    </w:p>
    <w:p>
      <w:pPr>
        <w:pStyle w:val="Normal"/>
        <w:jc w:val="both"/>
      </w:pPr>
      <w:r>
        <w:rPr>
          <w:szCs w:val="22"/>
          <w:lang w:val="en-US" w:eastAsia="en-US" w:bidi="ar-SA"/>
          <w:rFonts w:ascii="Times New Roman" w:hAnsi="Times New Roman" w:eastAsia="Times New Roman" w:cs="Times New Roman"/>
          <w:sz w:val="24"/>
        </w:rPr>
        <w:t>For industry, the thesis supplies a proposed route from an underused installed technology to a testable learning-oriented service. Reusing infrastructure may permit integration of framing, coaching, adaptive challenge and progress feedback, but the practical feasibility and cost of doing so require assessment. The specification makes redesign accountable: identify the deployment difficulty, state the intended change, retain the previous configuration and its outcome record, and evaluate the revision against comparable criteria where possible. If the task or outcome definition changes, the discontinuity must be declared. This gives continuous improvement an inspectable engineering meaning and makes innovation enhancement a question of demonstrably better decisions and outcomes, rather than the presence of adaptation or AI alone. Participant benefit, staff burden, longitudinal use and implementation cost remain evaluation targets.</w:t>
      </w:r>
    </w:p>
    <w:p>
      <w:pPr>
        <w:pStyle w:val="Normal"/>
        <w:jc w:val="both"/>
      </w:pPr>
      <w:r>
        <w:rPr>
          <w:szCs w:val="22"/>
          <w:lang w:val="en-US" w:eastAsia="en-US" w:bidi="ar-SA"/>
          <w:rFonts w:ascii="Times New Roman" w:hAnsi="Times New Roman" w:eastAsia="Times New Roman" w:cs="Times New Roman"/>
          <w:sz w:val="24"/>
        </w:rPr>
        <w:t>The dual-purpose mechanic is an engineering pattern in which one interaction contributes to gameplay and a measurement pathway. Its transfer to another apparatus or population requires validation; the present case does not establish universal portability. The practical lesson is to examine how outputs are presented and interpreted, since a favourable recorded score does not guarantee continued use. The AI-assisted workflow is documented as a development method; reproducibility depends on preserving the relevant prompts, model and software versions, tests and human design decisions. Claims that the workflow improves development speed, cost or quality require an appropriate comparison.</w:t>
      </w:r>
    </w:p>
    <w:p>
      <w:pPr>
        <w:pStyle w:val="Normal"/>
        <w:jc w:val="both"/>
      </w:pPr>
      <w:r>
        <w:rPr>
          <w:szCs w:val="22"/>
          <w:lang w:val="en-US" w:eastAsia="en-US" w:bidi="ar-SA"/>
          <w:rFonts w:ascii="Times New Roman" w:hAnsi="Times New Roman" w:eastAsia="Times New Roman" w:cs="Times New Roman"/>
          <w:sz w:val="24"/>
        </w:rPr>
        <w:t>Stage 3 provides a promising feasibility signal for further service-design work: 10 of 16 initial dropouts aged 65–80 returned in that cohort. It does not estimate a market size, the causal benefit of decoupling, or return on investment. The 71.7% coordination-item count is a positive-coded response, not a manipulation check, and the short follow-up does not establish sustained adoption. Industrial planning should therefore proceed through a controlled pilot that measures longitudinal use, participant outcomes, implementation cost and safety under documented configurations.</w:t>
      </w:r>
    </w:p>
    <w:p>
      <w:pPr>
        <w:pStyle w:val="Heading2"/>
      </w:pPr>
      <w:bookmarkStart w:id="161" w:name="_Toc232024651"/>
      <w:r>
        <w:rPr>
          <w:lang w:val="en-US" w:eastAsia="en-US" w:bidi="ar-SA"/>
          <w:color w:val="000000"/>
          <w:szCs w:val="22"/>
        </w:rPr>
        <w:t>9.8A A Secondary Contribution to Gamification: Agentic-AI-Driven Dynamic Game States</w:t>
      </w:r>
      <w:bookmarkEnd w:id="161"/>
    </w:p>
    <w:p>
      <w:pPr>
        <w:pStyle w:val="Normal"/>
        <w:jc w:val="both"/>
      </w:pPr>
      <w:r>
        <w:rPr>
          <w:szCs w:val="22"/>
          <w:lang w:val="en-US" w:eastAsia="en-US" w:bidi="ar-SA"/>
          <w:rFonts w:ascii="Times New Roman" w:hAnsi="Times New Roman" w:eastAsia="Times New Roman" w:cs="Times New Roman"/>
          <w:sz w:val="24"/>
        </w:rPr>
        <w:t>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evaluated in the empirical programme (the Stage 3B component study, whose failure-mode factor crossed zero-failure with game-over, computes no comparison from its returns and reports no confirmatory analysis; §8.8; Appendix I), so it should be presented as a prototype specification and testable extension rather than as an established "loss-free" mechanic.</w:t>
      </w:r>
    </w:p>
    <w:p>
      <w:pPr>
        <w:pStyle w:val="Normal"/>
        <w:jc w:val="both"/>
      </w:pPr>
      <w:r>
        <w:rPr>
          <w:szCs w:val="22"/>
          <w:lang w:val="en-US" w:eastAsia="en-US" w:bidi="ar-SA"/>
          <w:rFonts w:ascii="Times New Roman" w:hAnsi="Times New Roman" w:eastAsia="Times New Roman" w:cs="Times New Roman"/>
          <w:sz w:val="24"/>
        </w:rPr>
        <w:t>The workflow documents how a behavioural and safety specification was translated into candidate state logic, synthetic tests and auditable runtime rules; the AI tooling used in this translation is an enabling technology, and the contribution remains the behavioural design framework the states implement.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pPr>
        <w:pStyle w:val="Heading2"/>
      </w:pPr>
      <w:r>
        <w:rPr>
          <w:lang w:val="en-US" w:eastAsia="en-US" w:bidi="ar-SA"/>
          <w:color w:val="000000"/>
          <w:szCs w:val="22"/>
        </w:rPr>
        <w:t>9.8B Future Research Proposition: From Telemetry-Conditioned to Person-Conditioned Adaptation</w:t>
      </w:r>
    </w:p>
    <w:p>
      <w:pPr>
        <w:pStyle w:val="Normal"/>
        <w:jc w:val="both"/>
      </w:pPr>
      <w:r>
        <w:rPr>
          <w:szCs w:val="22"/>
          <w:lang w:val="en-US" w:eastAsia="en-US" w:bidi="ar-SA"/>
          <w:rFonts w:ascii="Times New Roman" w:hAnsi="Times New Roman" w:eastAsia="Times New Roman" w:cs="Times New Roman"/>
          <w:sz w:val="24"/>
        </w:rP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pPr>
        <w:pStyle w:val="Normal"/>
        <w:jc w:val="both"/>
      </w:pPr>
      <w:r>
        <w:rPr>
          <w:szCs w:val="22"/>
          <w:lang w:val="en-US" w:eastAsia="en-US" w:bidi="ar-SA"/>
          <w:rFonts w:ascii="Times New Roman" w:hAnsi="Times New Roman" w:eastAsia="Times New Roman" w:cs="Times New Roman"/>
          <w:sz w:val="24"/>
        </w:rP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pPr>
        <w:pStyle w:val="Normal"/>
        <w:jc w:val="both"/>
      </w:pPr>
      <w:r>
        <w:rPr>
          <w:szCs w:val="22"/>
          <w:lang w:val="en-US" w:eastAsia="en-US" w:bidi="ar-SA"/>
          <w:rFonts w:ascii="Times New Roman" w:hAnsi="Times New Roman" w:eastAsia="Times New Roman" w:cs="Times New Roman"/>
          <w:sz w:val="24"/>
        </w:rP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pPr>
        <w:pStyle w:val="Normal"/>
        <w:jc w:val="both"/>
      </w:pPr>
      <w:r>
        <w:rPr>
          <w:szCs w:val="22"/>
          <w:lang w:val="en-US" w:eastAsia="en-US" w:bidi="ar-SA"/>
          <w:rFonts w:ascii="Times New Roman" w:hAnsi="Times New Roman" w:eastAsia="Times New Roman" w:cs="Times New Roman"/>
          <w:sz w:val="24"/>
        </w:rP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Whether lessons from this setting generalise to broader theories of intelligence is outside the empirical scope of the thesis.</w:t>
      </w:r>
    </w:p>
    <w:p>
      <w:pPr>
        <w:pStyle w:val="Normal"/>
        <w:jc w:val="both"/>
      </w:pPr>
      <w:r>
        <w:rPr>
          <w:szCs w:val="22"/>
          <w:lang w:val="en-US" w:eastAsia="en-US" w:bidi="ar-SA"/>
          <w:rFonts w:ascii="Times New Roman" w:hAnsi="Times New Roman" w:eastAsia="Times New Roman" w:cs="Times New Roman"/>
          <w:sz w:val="24"/>
        </w:rPr>
        <w:t>This extension also clarifies Principle 3 of the adaptive-learning framework. Adaptive calibration can adjust the game to observed performance and, in a proposed extension, update a person-specific state estimate from validated signals. These are control and estimation functions; neither automatically demonstrates participant learning. Both should remain distinct from the system-innovation loop in Chapter 7, which records changes to the design and evaluates their consequences. Additional sensing must show incremental value against simpler baselines and must not alter the meaning of a progress measure without an explicit record of that change.</w:t>
      </w:r>
    </w:p>
    <w:p>
      <w:pPr>
        <w:jc w:val="both"/>
      </w:pPr>
      <w:r>
        <w:t>The role-adaptive proposition in §8.8 extends this future programme from challenge parameters to optional narrative support. Whether it improves engagement or transfers to the person's response to difficulty is an open research question, not an outcome established by the present thesis.</w:t>
      </w:r>
    </w:p>
    <w:p>
      <w:pPr>
        <w:pStyle w:val="Heading2"/>
      </w:pPr>
      <w:r>
        <w:rPr>
          <w:lang w:val="en-US" w:eastAsia="en-US" w:bidi="ar-SA"/>
          <w:color w:val="000000"/>
          <w:szCs w:val="22"/>
        </w:rPr>
        <w:t>9.8C Bounded Implications for AI Evaluation</w:t>
      </w:r>
    </w:p>
    <w:p>
      <w:pPr>
        <w:pStyle w:val="Normal"/>
        <w:jc w:val="both"/>
      </w:pPr>
      <w:r>
        <w:rPr>
          <w:szCs w:val="22"/>
          <w:lang w:val="en-US" w:eastAsia="en-US" w:bidi="ar-SA"/>
          <w:rFonts w:ascii="Times New Roman" w:hAnsi="Times New Roman" w:eastAsia="Times New Roman" w:cs="Times New Roman"/>
          <w:sz w:val="24"/>
        </w:rP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pPr>
        <w:pStyle w:val="Normal"/>
        <w:jc w:val="both"/>
      </w:pPr>
      <w:r>
        <w:rPr>
          <w:szCs w:val="22"/>
          <w:lang w:val="en-US" w:eastAsia="en-US" w:bidi="ar-SA"/>
          <w:rFonts w:ascii="Times New Roman" w:hAnsi="Times New Roman" w:eastAsia="Times New Roman" w:cs="Times New Roman"/>
          <w:sz w:val="24"/>
        </w:rPr>
        <w:t>The deployed configuration processed game and pressure-panel information, some of which was rendered into language. Its limitation was practical: the available inputs did not include direct measures of the participant's immediate appraisal or affect (§8.6A). The engineering extension is therefore specific and testable (Table 9.3; Figure 9.1): add ethically justified, validated behavioural or experiential inputs; update a person-specific state estimate; and evaluate whether pre-specified, safe interventions improve retry and return without reducing challenge or obscuring important information. For the FRA platform, the operational outcomes are concrete: immediate retry after difficulty, return within a fixed window, repeated voluntary use, perceived competence, fatigue, comprehension, burden, safety and appropriate clinical follow-up. The boundary of this position is explicit: the empirical warrant covers the studied engagement patterns and the limitations of the deployed input architecture, and the proposed person-conditioned system remains an engineering programme to be evaluated (§8.8) — not a claim about language models in general or about artificial general intelligence.</w:t>
      </w:r>
    </w:p>
    <w:p>
      <w:pPr>
        <w:pStyle w:val="FigureCaption"/>
        <w:keepNext/>
        <w:keepLines/>
        <w:jc w:val="center"/>
      </w:pPr>
      <w:r>
        <w:rPr>
          <w:sz w:val="24"/>
          <w:szCs w:val="22"/>
          <w:lang w:val="en-US" w:eastAsia="en-US" w:bidi="ar-SA"/>
          <w:rFonts w:ascii="Times New Roman" w:hAnsi="Times New Roman" w:eastAsia="Times New Roman" w:cs="Times New Roman"/>
          <w:i/>
        </w:rPr>
        <w:t>Table 9.3.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8505" w:type="dxa"/>
        <w:jc w:val="center"/>
        <w:tblLayout w:type="fixed"/>
        <w:tblLook w:val="04A0" w:firstRow="1" w:lastRow="0" w:firstColumn="1" w:lastColumn="0" w:noHBand="0" w:noVBand="1"/>
      </w:tblPr>
      <w:tblGrid>
        <w:gridCol w:w="1748"/>
        <w:gridCol w:w="3229"/>
        <w:gridCol w:w="3528"/>
      </w:tblGrid>
      <w:tr w:rsidR="0062437E" w14:paraId="0C23F125" w14:textId="77777777" w:rsidTr="00FD5D21">
        <w:trPr>
          <w:jc w:val="center"/>
          <w:tblHeader/>
          <w:cantSplit/>
        </w:trPr>
        <w:tc>
          <w:tcPr>
            <w:tcW w:w="1748"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3229" w:type="dxa"/>
          </w:tcPr>
          <w:p>
            <w:pPr>
              <w:pStyle w:val="Normal"/>
              <w:keepNext w:val="0"/>
              <w:keepLines/>
            </w:pPr>
            <w:r>
              <w:rPr>
                <w:szCs w:val="22"/>
                <w:lang w:val="en-US" w:eastAsia="en-US" w:bidi="ar-SA"/>
                <w:rFonts w:ascii="Times New Roman" w:hAnsi="Times New Roman" w:eastAsia="Times New Roman" w:cs="Times New Roman"/>
                <w:b/>
                <w:sz w:val="18"/>
              </w:rPr>
              <w:t>Deployed Stage-2 adaptation configuration</w:t>
            </w:r>
          </w:p>
        </w:tc>
        <w:tc>
          <w:tcPr>
            <w:tcW w:w="3528" w:type="dxa"/>
          </w:tcPr>
          <w:p>
            <w:pPr>
              <w:pStyle w:val="Normal"/>
              <w:keepNext w:val="0"/>
              <w:keepLines/>
            </w:pPr>
            <w:r>
              <w:rPr>
                <w:szCs w:val="22"/>
                <w:lang w:val="en-US" w:eastAsia="en-US" w:bidi="ar-SA"/>
                <w:rFonts w:ascii="Times New Roman" w:hAnsi="Times New Roman" w:eastAsia="Times New Roman" w:cs="Times New Roman"/>
                <w:b/>
                <w:sz w:val="18"/>
              </w:rPr>
              <w:t>Proposed person-conditioned extension</w:t>
            </w:r>
          </w:p>
        </w:tc>
      </w:tr>
      <w:tr w:rsidR="0062437E" w14:paraId="2864A92A"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World available to the system</w:t>
            </w:r>
          </w:p>
        </w:tc>
        <w:tc>
          <w:tcPr>
            <w:tcW w:w="3229" w:type="dxa"/>
          </w:tcPr>
          <w:p>
            <w:pPr>
              <w:pStyle w:val="Normal"/>
            </w:pPr>
            <w:r>
              <w:rPr>
                <w:szCs w:val="22"/>
                <w:lang w:val="en-US" w:eastAsia="en-US" w:bidi="ar-SA"/>
                <w:rFonts w:ascii="Times New Roman" w:hAnsi="Times New Roman" w:eastAsia="Times New Roman" w:cs="Times New Roman"/>
                <w:sz w:val="24"/>
              </w:rPr>
              <w:t>Pressure-panel and game telemetry, partly rendered into language for model processing</w:t>
            </w:r>
          </w:p>
        </w:tc>
        <w:tc>
          <w:tcPr>
            <w:tcW w:w="3528" w:type="dxa"/>
          </w:tcPr>
          <w:p>
            <w:pPr>
              <w:pStyle w:val="Normal"/>
            </w:pPr>
            <w:r>
              <w:rPr>
                <w:szCs w:val="22"/>
                <w:lang w:val="en-US" w:eastAsia="en-US" w:bidi="ar-SA"/>
                <w:rFonts w:ascii="Times New Roman" w:hAnsi="Times New Roman" w:eastAsia="Times New Roman" w:cs="Times New Roman"/>
                <w:sz w:val="24"/>
              </w:rPr>
              <w:t>Telemetry plus ethically justified, validated behavioural or experiential inputs</w:t>
            </w:r>
          </w:p>
        </w:tc>
      </w:tr>
      <w:tr w:rsidR="0062437E" w14:paraId="3CF93FC4"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Input at run time</w:t>
            </w:r>
          </w:p>
        </w:tc>
        <w:tc>
          <w:tcPr>
            <w:tcW w:w="3229" w:type="dxa"/>
          </w:tcPr>
          <w:p>
            <w:pPr>
              <w:pStyle w:val="Normal"/>
            </w:pPr>
            <w:r>
              <w:rPr>
                <w:sz w:val="24"/>
                <w:szCs w:val="22"/>
                <w:lang w:val="en-US" w:eastAsia="en-US" w:bidi="ar-SA"/>
                <w:rFonts w:ascii="Times New Roman" w:hAnsi="Times New Roman" w:eastAsia="Times New Roman" w:cs="Times New Roman"/>
              </w:rPr>
              <w:t>Telemetry rendered into a natural-language summary string</w:t>
            </w:r>
          </w:p>
        </w:tc>
        <w:tc>
          <w:tcPr>
            <w:tcW w:w="3528" w:type="dxa"/>
          </w:tcPr>
          <w:p>
            <w:pPr>
              <w:pStyle w:val="Normal"/>
            </w:pPr>
            <w:r>
              <w:rPr>
                <w:sz w:val="24"/>
                <w:szCs w:val="22"/>
                <w:lang w:val="en-US" w:eastAsia="en-US" w:bidi="ar-SA"/>
                <w:rFonts w:ascii="Times New Roman" w:hAnsi="Times New Roman" w:eastAsia="Times New Roman" w:cs="Times New Roman"/>
              </w:rPr>
              <w:t>Selected validated behavioural or experiential signals aligned with game events, alongside telemetry</w:t>
            </w:r>
          </w:p>
        </w:tc>
      </w:tr>
      <w:tr w:rsidR="0062437E" w14:paraId="34C88DFE"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Timescale</w:t>
            </w:r>
          </w:p>
        </w:tc>
        <w:tc>
          <w:tcPr>
            <w:tcW w:w="3229" w:type="dxa"/>
          </w:tcPr>
          <w:p>
            <w:pPr>
              <w:pStyle w:val="Normal"/>
            </w:pPr>
            <w:r>
              <w:rPr>
                <w:sz w:val="24"/>
                <w:szCs w:val="22"/>
                <w:lang w:val="en-US" w:eastAsia="en-US" w:bidi="ar-SA"/>
                <w:rFonts w:ascii="Times New Roman" w:hAnsi="Times New Roman" w:eastAsia="Times New Roman" w:cs="Times New Roman"/>
              </w:rPr>
              <w:t>Scheduled: five-minute adjustment cycle</w:t>
            </w:r>
          </w:p>
        </w:tc>
        <w:tc>
          <w:tcPr>
            <w:tcW w:w="3528" w:type="dxa"/>
          </w:tcPr>
          <w:p>
            <w:pPr>
              <w:pStyle w:val="Normal"/>
            </w:pPr>
            <w:r>
              <w:rPr>
                <w:sz w:val="24"/>
                <w:szCs w:val="22"/>
                <w:lang w:val="en-US" w:eastAsia="en-US" w:bidi="ar-SA"/>
                <w:rFonts w:ascii="Times New Roman" w:hAnsi="Times New Roman" w:eastAsia="Times New Roman" w:cs="Times New Roman"/>
              </w:rPr>
              <w:t>Illustrative target: perception at one-second cadence and action within seconds; latency and benefit require evaluation</w:t>
            </w:r>
          </w:p>
        </w:tc>
      </w:tr>
      <w:tr w:rsidR="0062437E" w14:paraId="4DDCCB00"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Object of learning</w:t>
            </w:r>
          </w:p>
        </w:tc>
        <w:tc>
          <w:tcPr>
            <w:tcW w:w="3229" w:type="dxa"/>
          </w:tcPr>
          <w:p>
            <w:pPr>
              <w:pStyle w:val="Normal"/>
            </w:pPr>
            <w:r>
              <w:rPr>
                <w:szCs w:val="22"/>
                <w:lang w:val="en-US" w:eastAsia="en-US" w:bidi="ar-SA"/>
                <w:rFonts w:ascii="Times New Roman" w:hAnsi="Times New Roman" w:eastAsia="Times New Roman" w:cs="Times New Roman"/>
                <w:sz w:val="24"/>
              </w:rPr>
              <w:t>General model parameters plus session-level telemetry</w:t>
            </w:r>
          </w:p>
        </w:tc>
        <w:tc>
          <w:tcPr>
            <w:tcW w:w="3528" w:type="dxa"/>
          </w:tcPr>
          <w:p>
            <w:pPr>
              <w:pStyle w:val="Normal"/>
            </w:pPr>
            <w:r>
              <w:rPr>
                <w:szCs w:val="22"/>
                <w:lang w:val="en-US" w:eastAsia="en-US" w:bidi="ar-SA"/>
                <w:rFonts w:ascii="Times New Roman" w:hAnsi="Times New Roman" w:eastAsia="Times New Roman" w:cs="Times New Roman"/>
                <w:sz w:val="24"/>
              </w:rPr>
              <w:t>A person-specific state estimate, with uncertainty, updated during interaction</w:t>
            </w:r>
          </w:p>
        </w:tc>
      </w:tr>
      <w:tr w:rsidR="0062437E" w14:paraId="34FEE616"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Output</w:t>
            </w:r>
          </w:p>
        </w:tc>
        <w:tc>
          <w:tcPr>
            <w:tcW w:w="3229" w:type="dxa"/>
          </w:tcPr>
          <w:p>
            <w:pPr>
              <w:pStyle w:val="Normal"/>
            </w:pPr>
            <w:r>
              <w:rPr>
                <w:sz w:val="24"/>
                <w:szCs w:val="22"/>
                <w:lang w:val="en-US" w:eastAsia="en-US" w:bidi="ar-SA"/>
                <w:rFonts w:ascii="Times New Roman" w:hAnsi="Times New Roman" w:eastAsia="Times New Roman" w:cs="Times New Roman"/>
              </w:rPr>
              <w:t>A text recommendation: difficulty level plus written rationale</w:t>
            </w:r>
          </w:p>
        </w:tc>
        <w:tc>
          <w:tcPr>
            <w:tcW w:w="3528" w:type="dxa"/>
          </w:tcPr>
          <w:p>
            <w:pPr>
              <w:pStyle w:val="Normal"/>
            </w:pPr>
            <w:r>
              <w:rPr>
                <w:sz w:val="24"/>
                <w:szCs w:val="22"/>
                <w:lang w:val="en-US" w:eastAsia="en-US" w:bidi="ar-SA"/>
                <w:rFonts w:ascii="Times New Roman" w:hAnsi="Times New Roman" w:eastAsia="Times New Roman" w:cs="Times New Roman"/>
              </w:rPr>
              <w:t>An action in the environment: selection of the next game state</w:t>
            </w:r>
          </w:p>
        </w:tc>
      </w:tr>
      <w:tr w:rsidR="0062437E" w14:paraId="540D50DC" w14:textId="77777777" w:rsidTr="00FD5D21">
        <w:trPr>
          <w:jc w:val="center"/>
          <w:cantSplit/>
        </w:trPr>
        <w:tc>
          <w:tcPr>
            <w:tcW w:w="1748" w:type="dxa"/>
          </w:tcPr>
          <w:p>
            <w:pPr>
              <w:pStyle w:val="Normal"/>
            </w:pPr>
            <w:r>
              <w:rPr>
                <w:szCs w:val="22"/>
                <w:lang w:val="en-US" w:eastAsia="en-US" w:bidi="ar-SA"/>
                <w:rFonts w:ascii="Times New Roman" w:hAnsi="Times New Roman" w:eastAsia="Times New Roman" w:cs="Times New Roman"/>
                <w:sz w:val="24"/>
              </w:rPr>
              <w:t>Feedback channel</w:t>
            </w:r>
          </w:p>
        </w:tc>
        <w:tc>
          <w:tcPr>
            <w:tcW w:w="3229" w:type="dxa"/>
          </w:tcPr>
          <w:p>
            <w:pPr>
              <w:pStyle w:val="Normal"/>
            </w:pPr>
            <w:r>
              <w:rPr>
                <w:szCs w:val="22"/>
                <w:lang w:val="en-US" w:eastAsia="en-US" w:bidi="ar-SA"/>
                <w:rFonts w:ascii="Times New Roman" w:hAnsi="Times New Roman" w:eastAsia="Times New Roman" w:cs="Times New Roman"/>
                <w:sz w:val="24"/>
              </w:rPr>
              <w:t>Delayed and scheduled feedback from session records</w:t>
            </w:r>
          </w:p>
        </w:tc>
        <w:tc>
          <w:tcPr>
            <w:tcW w:w="3528" w:type="dxa"/>
          </w:tcPr>
          <w:p>
            <w:pPr>
              <w:pStyle w:val="Normal"/>
            </w:pPr>
            <w:r>
              <w:rPr>
                <w:szCs w:val="22"/>
                <w:lang w:val="en-US" w:eastAsia="en-US" w:bidi="ar-SA"/>
                <w:rFonts w:ascii="Times New Roman" w:hAnsi="Times New Roman" w:eastAsia="Times New Roman" w:cs="Times New Roman"/>
                <w:sz w:val="24"/>
              </w:rPr>
              <w:t>Closed-loop behavioural and experiential outcomes with safety constraints</w:t>
            </w:r>
          </w:p>
        </w:tc>
      </w:tr>
      <w:tr w:rsidR="0062437E" w14:paraId="4731B52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Visibility of the failure moment</w:t>
            </w:r>
          </w:p>
        </w:tc>
        <w:tc>
          <w:tcPr>
            <w:tcW w:w="3229" w:type="dxa"/>
          </w:tcPr>
          <w:p>
            <w:pPr>
              <w:pStyle w:val="Normal"/>
            </w:pPr>
            <w:r>
              <w:rPr>
                <w:szCs w:val="22"/>
                <w:lang w:val="en-US" w:eastAsia="en-US" w:bidi="ar-SA"/>
                <w:rFonts w:ascii="Times New Roman" w:hAnsi="Times New Roman" w:eastAsia="Times New Roman" w:cs="Times New Roman"/>
                <w:sz w:val="24"/>
              </w:rPr>
              <w:t>Does not directly measure participant appraisal or affect at the event</w:t>
            </w:r>
          </w:p>
        </w:tc>
        <w:tc>
          <w:tcPr>
            <w:tcW w:w="3528" w:type="dxa"/>
          </w:tcPr>
          <w:p>
            <w:pPr>
              <w:pStyle w:val="Normal"/>
            </w:pPr>
            <w:r>
              <w:rPr>
                <w:szCs w:val="22"/>
                <w:lang w:val="en-US" w:eastAsia="en-US" w:bidi="ar-SA"/>
                <w:rFonts w:ascii="Times New Roman" w:hAnsi="Times New Roman" w:eastAsia="Times New Roman" w:cs="Times New Roman"/>
                <w:sz w:val="24"/>
              </w:rPr>
              <w:t>Tests whether additional signals improve prediction and safe intervention</w:t>
            </w:r>
          </w:p>
        </w:tc>
      </w:tr>
      <w:tr w:rsidR="0062437E" w14:paraId="55F201D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Theoretical anchors</w:t>
            </w:r>
          </w:p>
        </w:tc>
        <w:tc>
          <w:tcPr>
            <w:tcW w:w="3229" w:type="dxa"/>
          </w:tcPr>
          <w:p>
            <w:pPr>
              <w:pStyle w:val="Normal"/>
            </w:pPr>
            <w:r>
              <w:rPr>
                <w:szCs w:val="22"/>
                <w:lang w:val="en-US" w:eastAsia="en-US" w:bidi="ar-SA"/>
                <w:rFonts w:ascii="Times New Roman" w:hAnsi="Times New Roman" w:eastAsia="Times New Roman" w:cs="Times New Roman"/>
                <w:sz w:val="24"/>
              </w:rPr>
              <w:t>Human-computer interaction, intelligent tutoring and model-assisted control</w:t>
            </w:r>
          </w:p>
        </w:tc>
        <w:tc>
          <w:tcPr>
            <w:tcW w:w="3528" w:type="dxa"/>
          </w:tcPr>
          <w:p>
            <w:pPr>
              <w:pStyle w:val="Normal"/>
            </w:pPr>
            <w:r>
              <w:rPr>
                <w:szCs w:val="22"/>
                <w:lang w:val="en-US" w:eastAsia="en-US" w:bidi="ar-SA"/>
                <w:rFonts w:ascii="Times New Roman" w:hAnsi="Times New Roman" w:eastAsia="Times New Roman" w:cs="Times New Roman"/>
                <w:sz w:val="24"/>
              </w:rPr>
              <w:t>Multimodal interaction, affective computing, adaptive control and person-centred design</w:t>
            </w:r>
          </w:p>
        </w:tc>
      </w:tr>
      <w:tr w:rsidR="0062437E" w14:paraId="3AFCAE5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Evaluation criterion</w:t>
            </w:r>
          </w:p>
        </w:tc>
        <w:tc>
          <w:tcPr>
            <w:tcW w:w="3229" w:type="dxa"/>
          </w:tcPr>
          <w:p>
            <w:pPr>
              <w:pStyle w:val="Normal"/>
            </w:pPr>
            <w:r>
              <w:rPr>
                <w:szCs w:val="22"/>
                <w:lang w:val="en-US" w:eastAsia="en-US" w:bidi="ar-SA"/>
                <w:rFonts w:ascii="Times New Roman" w:hAnsi="Times New Roman" w:eastAsia="Times New Roman" w:cs="Times New Roman"/>
                <w:sz w:val="24"/>
              </w:rPr>
              <w:t>Accuracy of recommendations, game telemetry and session outcomes</w:t>
            </w:r>
          </w:p>
        </w:tc>
        <w:tc>
          <w:tcPr>
            <w:tcW w:w="3528" w:type="dxa"/>
          </w:tcPr>
          <w:p>
            <w:pPr>
              <w:pStyle w:val="Normal"/>
            </w:pPr>
            <w:r>
              <w:rPr>
                <w:szCs w:val="22"/>
                <w:lang w:val="en-US" w:eastAsia="en-US" w:bidi="ar-SA"/>
                <w:rFonts w:ascii="Times New Roman" w:hAnsi="Times New Roman" w:eastAsia="Times New Roman" w:cs="Times New Roman"/>
                <w:sz w:val="24"/>
              </w:rPr>
              <w:t>Incremental prediction, retry, return, comprehension, autonomy, burden and safety; learning assessed with suitable comparable checks</w:t>
            </w:r>
          </w:p>
        </w:tc>
      </w:tr>
    </w:tbl>
    <w:p>
      <w:pPr>
        <w:pStyle w:val="Normal"/>
        <w:spacing w:after="40"/>
      </w:pPr>
    </w:p>
    <w:p>
      <w:pPr>
        <w:pStyle w:val="Normal"/>
        <w:keepNext/>
        <w:spacing w:before="160" w:after="40"/>
        <w:jc w:val="center"/>
      </w:pPr>
      <w:r>
        <w:drawing>
          <wp:inline>
            <wp:extent cx="5303520" cy="3010557"/>
            <wp:docPr id="25" name="Picture 25" descr="Figure 9.1. Proposed person-conditioned adaptive loop."/>
            <wp:cNvGraphicFramePr>
              <a:graphicFrameLocks noChangeAspect="1"/>
            </wp:cNvGraphicFramePr>
            <a:graphic>
              <a:graphicData uri="http://schemas.openxmlformats.org/drawingml/2006/picture">
                <pic:pic>
                  <pic:nvPicPr>
                    <pic:cNvPr id="0" name="fig_9_2.png"/>
                    <pic:cNvPicPr/>
                  </pic:nvPicPr>
                  <pic:blipFill>
                    <a:blip r:embed="rId34"/>
                    <a:stretch>
                      <a:fillRect/>
                    </a:stretch>
                  </pic:blipFill>
                  <pic:spPr>
                    <a:xfrm>
                      <a:off x="0" y="0"/>
                      <a:ext cx="5303520" cy="301055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9.1.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pPr>
        <w:pStyle w:val="Heading2"/>
      </w:pPr>
      <w:bookmarkStart w:id="162" w:name="_Toc232024659"/>
      <w:r>
        <w:rPr>
          <w:lang w:val="en-US" w:eastAsia="en-US" w:bidi="ar-SA"/>
          <w:color w:val="000000"/>
          <w:szCs w:val="22"/>
        </w:rPr>
        <w:t>9.9 Limits of What Has Been Shown</w:t>
      </w:r>
      <w:bookmarkEnd w:id="162"/>
    </w:p>
    <w:p>
      <w:pPr>
        <w:pStyle w:val="Normal"/>
        <w:jc w:val="both"/>
      </w:pPr>
      <w:r>
        <w:rPr>
          <w:szCs w:val="22"/>
          <w:lang w:val="en-US" w:eastAsia="en-US" w:bidi="ar-SA"/>
          <w:rFonts w:ascii="Times New Roman" w:hAnsi="Times New Roman" w:eastAsia="Times New Roman" w:cs="Times New Roman"/>
          <w:sz w:val="24"/>
        </w:rPr>
        <w:t>The limits are substantial and define the next programme. The empirical claims are restricted to a Southern Chinese residential cohort and a Hong Kong network-recruited cohort playing remotely, on their own computers or, for some older participants, on a pre-installed iPad with a research assistant present (§6.4).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adaptive-learning framework, dynamic-state architecture and person-conditioned AI extension have not been tested. The Stage 3B component study fielded adaptive support (difficulty adjustment with coaching) versus static presentation and zero-failure versus game-over presentation, but its learning measurement was not articulated to the adaptive-learning construct and no comparison is computed from its returns on record at the 30 September 2026 cut-off; it is reported as a descriptive record only (§8.8; Appendix I). Cross-cultural, cross-domain and long-term generalisation therefore remain open.</w:t>
      </w:r>
    </w:p>
    <w:p>
      <w:pPr>
        <w:pStyle w:val="Heading2"/>
      </w:pPr>
      <w:bookmarkStart w:id="163" w:name="_Toc232024660"/>
      <w:r>
        <w:rPr>
          <w:lang w:val="en-US" w:eastAsia="en-US" w:bidi="ar-SA"/>
          <w:color w:val="000000"/>
          <w:szCs w:val="22"/>
        </w:rPr>
        <w:t>9.10 Natural Extensions</w:t>
      </w:r>
      <w:bookmarkEnd w:id="163"/>
    </w:p>
    <w:p>
      <w:pPr>
        <w:pStyle w:val="Normal"/>
        <w:jc w:val="both"/>
      </w:pPr>
      <w:r>
        <w:rPr>
          <w:szCs w:val="22"/>
          <w:lang w:val="en-US" w:eastAsia="en-US" w:bidi="ar-SA"/>
          <w:rFonts w:ascii="Times New Roman" w:hAnsi="Times New Roman" w:eastAsia="Times New Roman" w:cs="Times New Roman"/>
          <w:sz w:val="24"/>
        </w:rPr>
        <w:t>The highest-priority extension is a within-cohort randomised comparison of coupled and participant-facing decoupled conditions with harmonised recruitment, measures, staff scripts, hardware and follow-up. A distinct component programme should test adaptive calibration and failure presentation against simpler alternatives, with a learning measure articulated to the adaptive-learning construct (rather than immediate task performance), equivalent course forms, and difficulty adjustment separated from coaching — the gaps that the Stage 3B record documents (§8.8; Appendix I). Both require the progress-comparability specification in Chapter 7: recorded task and controller versions, separation of rewards from performance, suitable anchor checks, and explicit discontinuities when redesign prevents direct comparison. Longitudinal work should then evaluate repeated voluntary use and retained or transferred learning, while direct appraisal measures test the proposed FIAS account. Cross-cultural replication, cross-domain application, community-narrative research and person-conditioned sensing should follow from a stronger causal, measurement and construct foundation.</w:t>
      </w:r>
    </w:p>
    <w:p>
      <w:pPr>
        <w:pStyle w:val="Heading2"/>
      </w:pPr>
      <w:bookmarkStart w:id="164" w:name="_Toc232024661"/>
      <w:r>
        <w:rPr>
          <w:lang w:val="en-US" w:eastAsia="en-US" w:bidi="ar-SA"/>
          <w:color w:val="000000"/>
          <w:szCs w:val="22"/>
        </w:rPr>
        <w:t>9.11 Returning to the Three F4 Residents</w:t>
      </w:r>
      <w:bookmarkEnd w:id="164"/>
    </w:p>
    <w:p>
      <w:pPr>
        <w:pStyle w:val="Normal"/>
        <w:jc w:val="both"/>
      </w:pPr>
      <w:r>
        <w:rPr>
          <w:szCs w:val="22"/>
          <w:lang w:val="en-US" w:eastAsia="en-US" w:bidi="ar-SA"/>
          <w:rFonts w:ascii="Times New Roman" w:hAnsi="Times New Roman" w:eastAsia="Times New Roman" w:cs="Times New Roman"/>
          <w:sz w:val="24"/>
        </w:rPr>
        <w:t>Chapter 1 posed the score-improvement/non-return question (§1.7), and Section 5.6 recorded three F4 residents (S2-P006, S2-P007 and S2-P015, the last being the record that failed verification; §5.5)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pPr>
        <w:pStyle w:val="Normal"/>
        <w:jc w:val="both"/>
      </w:pPr>
      <w:r>
        <w:rPr>
          <w:szCs w:val="22"/>
          <w:lang w:val="en-US" w:eastAsia="en-US" w:bidi="ar-SA"/>
          <w:rFonts w:ascii="Times New Roman" w:hAnsi="Times New Roman" w:eastAsia="Times New Roman" w:cs="Times New Roman"/>
          <w:sz w:val="24"/>
        </w:rPr>
        <w:t>Stage 3 showed that post-failure return was common in a separate decoupled cohort, including among adults aged 65–80. It would be inappropriate to estimate that particular F4 residents would have returned under decoupling, because the studies are not individual-level counterfactuals and the samples differ. The defensible conclusion is that return remains a plausible target for intervention, and that the contrast justifies a controlled test of the frame-sensitive account.</w:t>
      </w:r>
    </w:p>
    <w:p>
      <w:pPr>
        <w:pStyle w:val="Normal"/>
        <w:jc w:val="both"/>
      </w:pPr>
      <w:r>
        <w:rPr>
          <w:szCs w:val="22"/>
          <w:lang w:val="en-US" w:eastAsia="en-US" w:bidi="ar-SA"/>
          <w:rFonts w:ascii="Times New Roman" w:hAnsi="Times New Roman" w:eastAsia="Times New Roman" w:cs="Times New Roman"/>
          <w:sz w:val="24"/>
        </w:rP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pPr>
        <w:pStyle w:val="Heading2"/>
      </w:pPr>
      <w:bookmarkStart w:id="165" w:name="_Toc232024662"/>
      <w:r>
        <w:rPr>
          <w:lang w:val="en-US" w:eastAsia="en-US" w:bidi="ar-SA"/>
          <w:color w:val="000000"/>
          <w:szCs w:val="22"/>
        </w:rPr>
        <w:t>9.12 Closing Synthesis</w:t>
      </w:r>
      <w:bookmarkEnd w:id="165"/>
    </w:p>
    <w:p>
      <w:pPr>
        <w:pStyle w:val="Normal"/>
        <w:jc w:val="both"/>
      </w:pPr>
      <w:r>
        <w:rPr>
          <w:szCs w:val="22"/>
          <w:lang w:val="en-US" w:eastAsia="en-US" w:bidi="ar-SA"/>
          <w:rFonts w:ascii="Times New Roman" w:hAnsi="Times New Roman" w:eastAsia="Times New Roman" w:cs="Times New Roman"/>
          <w:sz w:val="24"/>
        </w:rPr>
        <w:t>The thesis began with an underused fall-risk-assessment station and ends with a testable engineering response to an innovation that did not achieve its intended engagement. The initial design expectation was not realised in Stage 2; the recorded performance and return outcomes showed why better task scores alone were insufficient evidence of success. Stage 3 documented a different engagement pattern in a separate deployment with altered clinical cues and context. These observations motivate, but do not isolate, a frame-sensitive explanation. The proposed adaptive-learning framework translates that problem into support around difficulty, actionable feedback and calibrated challenge. Its contribution to Gamification as Proactive Approach for Continuous Improvement and Innovation Enhancement is therefore a specified route from an observed deployment problem to an accountable redesign and evaluation process, rather than proof that gamification theory fails or that adaptive learning guarantees a solution.</w:t>
      </w:r>
    </w:p>
    <w:p>
      <w:pPr>
        <w:pStyle w:val="Normal"/>
        <w:jc w:val="both"/>
      </w:pPr>
      <w:r>
        <w:rPr>
          <w:szCs w:val="22"/>
          <w:lang w:val="en-US" w:eastAsia="en-US" w:bidi="ar-SA"/>
          <w:rFonts w:ascii="Times New Roman" w:hAnsi="Times New Roman" w:eastAsia="Times New Roman" w:cs="Times New Roman"/>
          <w:sz w:val="24"/>
        </w:rPr>
        <w:t>This exploratory study developed a coordination-game approach decoupled from clinical fall risk assessment to investigate engagement and the proposed role of self-appraisal in failure-induced abandonment. Stage 3A described age differences in compiled engagement classifications, providing observations that motivate further investigation of FIAS. These findings do not establish a distinct psychological mechanism or a causal effect of decoupling.</w:t>
      </w:r>
    </w:p>
    <w:p>
      <w:pPr>
        <w:pStyle w:val="Normal"/>
        <w:jc w:val="both"/>
      </w:pPr>
      <w:r>
        <w:rPr>
          <w:szCs w:val="22"/>
          <w:lang w:val="en-US" w:eastAsia="en-US" w:bidi="ar-SA"/>
          <w:rFonts w:ascii="Times New Roman" w:hAnsi="Times New Roman" w:eastAsia="Times New Roman" w:cs="Times New Roman"/>
          <w:sz w:val="24"/>
        </w:rPr>
        <w:t>Stage 3B extended this work through a design incorporating practice, fixed-course performance checks, players' own post-game feedback and subsequent adaptation of game settings. The Pro v4.1 researcher self-test records (Appendix I.5) show links between performance, feedback and applied settings through local rules, documenting the implementation of the adaptive process; immediate performance changes in that self-test were mixed, and durable learning was not evaluated. The programme therefore contributes an exploratory account of engagement and an implemented design for investigating learning from gameplay experience. Future research should test the self-appraisal hypothesis and the effects of adaptation using verified participant linkage, comparable assessments, appropriate comparison conditions and delayed retention or transfer measures.</w:t>
      </w:r>
    </w:p>
    <w:p>
      <w:pPr>
        <w:pStyle w:val="Normal"/>
        <w:jc w:val="both"/>
      </w:pPr>
      <w:r>
        <w:rPr>
          <w:szCs w:val="22"/>
          <w:lang w:val="en-US" w:eastAsia="en-US" w:bidi="ar-SA"/>
          <w:rFonts w:ascii="Times New Roman" w:hAnsi="Times New Roman" w:eastAsia="Times New Roman" w:cs="Times New Roman"/>
          <w:sz w:val="24"/>
        </w:rPr>
        <w:t>Continuous improvement requires two related but separate loops. In the participant loop, the system offers appropriate challenge and support, records the conditions of performance and provides a truthful next step. In the system-innovation loop, the team investigates difficulties, revises a component or its underlying design assumption, and tests the consequences against stated criteria. A change is progress only with respect to an identified outcome and a defensible comparison; adaptation, activity accumulation and software novelty do not suffice. The proposed trajectory display consequently preserves prior observations, marks changes in task and assistance, and uses comparable checks where justified. When a redesign changes the construct or task too far for comparison, it reports the discontinuity and begins a clearly labelled new series without erasing the earlier result. This specification allows setbacks to inform improvement rather than disappear from the record.</w:t>
      </w:r>
    </w:p>
    <w:p>
      <w:pPr>
        <w:pStyle w:val="Normal"/>
        <w:spacing w:after="200" w:line="276" w:lineRule="auto"/>
        <w:rPr>
          <w:rFonts w:asciiTheme="majorHAnsi" w:eastAsiaTheme="majorEastAsia" w:hAnsiTheme="majorHAnsi" w:cstheme="majorBidi"/>
          <w:b/>
          <w:bCs/>
          <w:color w:val="000000"/>
          <w:sz w:val="32"/>
          <w:szCs w:val="28"/>
        </w:rPr>
      </w:pPr>
      <w:bookmarkStart w:id="166" w:name="_Toc232024663"/>
      <w:r>
        <w:rPr>
          <w:rFonts w:asciiTheme="majorHAnsi" w:eastAsiaTheme="majorEastAsia" w:hAnsiTheme="majorHAnsi" w:cstheme="majorBidi"/>
          <w:b/>
          <w:color w:val="000000"/>
          <w:sz w:val="32"/>
          <w:szCs w:val="28"/>
        </w:rPr>
        <w:br w:type="page"/>
      </w:r>
    </w:p>
    <w:p>
      <w:pPr>
        <w:jc w:val="both"/>
      </w:pPr>
      <w:r>
        <w:t>The completed contribution is an original integration of a bounded field problem, candidate behavioural explanations and a domain-specific engineering specification. The programme observed failure-associated non-return and a divergence between recorded performance and continuation, then documented a contrasting engagement pattern under a different package and context. It proposes that proactive support and truthful trajectory feedback could help users respond to difficulty, while structured evaluation could help the engineering team improve the innovation. FIAS remains provisional; clinical framing is a candidate explanation; Stage 3B stands as a descriptive component-study record, closed at 30 September 2026, rather than a test of the framework; and the complete adaptive-learning framework, credible-progress specification and longer-term outcomes remain to be evaluated. AI may enable particular forms of adaptation, but neither AI use nor a continuously rising display is the criterion of success. The criterion is whether documented changes produce worthwhile, credible and sustained outcomes for the intended users under stated conditions.</w:t>
      </w:r>
    </w:p>
    <w:p>
      <w:pPr>
        <w:pStyle w:val="Heading1"/>
        <w:pageBreakBefore/>
      </w:pPr>
      <w:r>
        <w:rPr>
          <w:lang w:val="en-US" w:eastAsia="en-US" w:bidi="ar-SA"/>
          <w:color w:val="000000"/>
          <w:szCs w:val="28"/>
        </w:rPr>
        <w:t>References</w:t>
      </w:r>
      <w:bookmarkEnd w:id="166"/>
    </w:p>
    <w:p>
      <w:pPr>
        <w:spacing w:after="120" w:line="276" w:lineRule="auto"/>
        <w:ind w:left="360" w:hanging="360"/>
      </w:pPr>
      <w:r>
        <w:t>Akao, Y. (1990). Quality function deployment: Integrating customer requirements into product design. Productivity Press.</w:t>
      </w:r>
    </w:p>
    <w:p>
      <w:pPr>
        <w:spacing w:after="120" w:line="276" w:lineRule="auto"/>
        <w:ind w:left="360" w:hanging="360"/>
      </w:pPr>
      <w:r>
        <w:t>Altmeyer, M., Lessel, P., &amp; Krüger, A. (2018). Investigating gamification for seniors aged 75+. In Proceedings of the 2018 Designing Interactive Systems Conference (pp. 453–458). ACM. https://doi.org/10.1145/3196709.3196799</w:t>
      </w:r>
    </w:p>
    <w:p>
      <w:pPr>
        <w:spacing w:after="120" w:line="276" w:lineRule="auto"/>
        <w:ind w:left="360" w:hanging="360"/>
      </w:pPr>
      <w:r>
        <w:t>An, S., Cheung, C. F., &amp; Lo, Y. T. (2025). Improving older adults' technology adoption on mobile map: A gamification approach. International Journal of Human–Computer Interaction, 41(15), 9633–9651. https://doi.org/10.1080/10447318.2024.2426914</w:t>
      </w:r>
    </w:p>
    <w:p>
      <w:pPr>
        <w:spacing w:after="120" w:line="276" w:lineRule="auto"/>
        <w:ind w:left="360" w:hanging="360"/>
      </w:pPr>
      <w: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pPr>
        <w:spacing w:after="120" w:line="276" w:lineRule="auto"/>
        <w:ind w:left="360" w:hanging="360"/>
      </w:pPr>
      <w:r>
        <w:t>Antonides, G., de Groot, I. M., &amp; van Raaij, W. F. (2011). Mental budgeting and the management of household finance. Journal of Economic Psychology, 32(4), 546–555.</w:t>
      </w:r>
    </w:p>
    <w:p>
      <w:pPr>
        <w:spacing w:after="120" w:line="276" w:lineRule="auto"/>
        <w:ind w:left="360" w:hanging="360"/>
      </w:pPr>
      <w:r>
        <w:t>Baddeley, A., &amp; Wilson, B. A. (1994). When implicit learning fails: Amnesia and the problem of error elimination. Neuropsychologia, 32(1), 53–68.</w:t>
      </w:r>
    </w:p>
    <w:p>
      <w:pPr>
        <w:spacing w:after="120" w:line="276" w:lineRule="auto"/>
        <w:ind w:left="360" w:hanging="360"/>
      </w:pPr>
      <w:r>
        <w:t>Baltes, P. B., &amp; Baltes, M. M. (1990). Psychological perspectives on successful aging: The model of selective optimization with compensation. In P. B. Baltes &amp; M. M. Baltes (Eds.), Successful aging: Perspectives from the behavioral sciences (pp. 1–34). Cambridge University Press.</w:t>
      </w:r>
    </w:p>
    <w:p>
      <w:pPr>
        <w:spacing w:after="120" w:line="276" w:lineRule="auto"/>
        <w:ind w:left="360" w:hanging="360"/>
      </w:pPr>
      <w:r>
        <w:t>Bandura, A. (1977). Self-efficacy: Toward a unifying theory of behavioral change. Psychological Review, 84(2), 191–215.</w:t>
      </w:r>
    </w:p>
    <w:p>
      <w:pPr>
        <w:spacing w:after="120" w:line="276" w:lineRule="auto"/>
        <w:ind w:left="360" w:hanging="360"/>
      </w:pPr>
      <w:r>
        <w:t>Bandura, A. (1997). Self-efficacy: The exercise of control. W. H. Freeman.</w:t>
      </w:r>
    </w:p>
    <w:p>
      <w:pPr>
        <w:spacing w:after="120" w:line="276" w:lineRule="auto"/>
        <w:ind w:left="360" w:hanging="360"/>
      </w:pPr>
      <w:r>
        <w:t>Barber, S. J. (2017). An examination of age-based stereotype threat about cognitive decline. Perspectives on Psychological Science, 12(1), 62–90.</w:t>
      </w:r>
    </w:p>
    <w:p>
      <w:pPr>
        <w:spacing w:after="120" w:line="276" w:lineRule="auto"/>
        <w:ind w:left="360" w:hanging="360"/>
      </w:pPr>
      <w:r>
        <w:t>Beerda, J. (2015). Never fear gamification again. The Octalysis Group. https://octalysisgroup.com/2015/07/never-fear-gamification-again/</w:t>
      </w:r>
    </w:p>
    <w:p>
      <w:pPr>
        <w:spacing w:after="120" w:line="276" w:lineRule="auto"/>
        <w:ind w:left="360" w:hanging="360"/>
      </w:pPr>
      <w:r>
        <w:t>Bhattacherjee, A. (2001). Understanding information systems continuance: An expectation-confirmation model. MIS Quarterly, 25(3), 351–370. https://doi.org/10.2307/3250921</w:t>
      </w:r>
    </w:p>
    <w:p>
      <w:pPr>
        <w:spacing w:after="120" w:line="276" w:lineRule="auto"/>
        <w:ind w:left="360" w:hanging="360"/>
      </w:pPr>
      <w:r>
        <w:t>Bjork, E. L., &amp; Bjork, R. A. (2011). Making things hard on yourself, but in a good way: Creating desirable difficulties to enhance learning. In M. A. Gernsbacher, R. W. Pew, L. M. Hough, &amp; J. R. Pomerantz (Eds.), Psychology and the real world (pp. 56–64). Worth.</w:t>
      </w:r>
    </w:p>
    <w:p>
      <w:pPr>
        <w:spacing w:after="120" w:line="276" w:lineRule="auto"/>
        <w:ind w:left="360" w:hanging="360"/>
      </w:pPr>
      <w:r>
        <w:t>Broady, T., Chan, A., &amp; Caputi, P. (2010). Older and younger adults' attitudes towards computers. British Journal of Educational Technology, 41(3), 473–485.</w:t>
      </w:r>
    </w:p>
    <w:p>
      <w:pPr>
        <w:spacing w:after="120" w:line="276" w:lineRule="auto"/>
        <w:ind w:left="360" w:hanging="360"/>
      </w:pPr>
      <w:r>
        <w:t>Brooks, R. A. (1991). Intelligence without representation. Artificial Intelligence, 47(1–3), 139–159.</w:t>
      </w:r>
    </w:p>
    <w:p>
      <w:pPr>
        <w:spacing w:after="120" w:line="276" w:lineRule="auto"/>
        <w:ind w:left="360" w:hanging="360"/>
      </w:pPr>
      <w:r>
        <w:t>Centers for Disease Control and Prevention. (2023). Facts about falls. U.S. Department of Health and Human Services.</w:t>
      </w:r>
    </w:p>
    <w:p>
      <w:pPr>
        <w:spacing w:after="120" w:line="276" w:lineRule="auto"/>
        <w:ind w:left="360" w:hanging="360"/>
      </w:pPr>
      <w:r>
        <w:t>Census and Statistics Department. (2023). Hong Kong population projections 2022–2046. Hong Kong Special Administrative Region Government. https://www.censtatd.gov.hk/en/data/stat_report/product/B1120015/att/B1120015092023XXXXB01.pdf</w:t>
      </w:r>
    </w:p>
    <w:p>
      <w:pPr>
        <w:spacing w:after="120" w:line="276" w:lineRule="auto"/>
        <w:ind w:left="360" w:hanging="360"/>
      </w:pPr>
      <w:r>
        <w:t>Chan, L.-K., &amp; Wu, M.-L. (2002). Quality function deployment: A literature review. European Journal of Operational Research, 143(3), 463–497.</w:t>
      </w:r>
    </w:p>
    <w:p>
      <w:pPr>
        <w:spacing w:after="120" w:line="276" w:lineRule="auto"/>
        <w:ind w:left="360" w:hanging="360"/>
      </w:pPr>
      <w:r>
        <w:t>Chen, G., Gully, S. M., &amp; Eden, D. (2001). Validation of a new general self-efficacy scale. Organizational Research Methods, 4(1), 62–83.</w:t>
      </w:r>
    </w:p>
    <w:p>
      <w:pPr>
        <w:spacing w:after="120" w:line="276" w:lineRule="auto"/>
        <w:ind w:left="360" w:hanging="360"/>
      </w:pPr>
      <w:r>
        <w:t>Chen, K., &amp; Chan, A. H. S. (2014). Gerontechnology acceptance by elderly Hong Kong Chinese: A senior technology acceptance model (STAM). Ergonomics, 57(5), 635–652.</w:t>
      </w:r>
    </w:p>
    <w:p>
      <w:pPr>
        <w:spacing w:after="120" w:line="276" w:lineRule="auto"/>
        <w:ind w:left="360" w:hanging="360"/>
      </w:pPr>
      <w:r>
        <w:t>Chou, Y. (2015). Actionable gamification: Beyond points, badges, and leaderboards. Octalysis Media.</w:t>
      </w:r>
    </w:p>
    <w:p>
      <w:pPr>
        <w:spacing w:after="120" w:line="276" w:lineRule="auto"/>
        <w:ind w:left="360" w:hanging="360"/>
      </w:pPr>
      <w:r>
        <w:t>Compeau, D. R., &amp; Higgins, C. A. (1995). Computer self-efficacy: Development of a measure and initial test. MIS Quarterly, 19(2), 189–211.</w:t>
      </w:r>
    </w:p>
    <w:p>
      <w:pPr>
        <w:spacing w:after="120" w:line="276" w:lineRule="auto"/>
        <w:ind w:left="360" w:hanging="360"/>
      </w:pPr>
      <w:r>
        <w:t>Cruz Rivera, S., Liu, X., Chan, A.-W., Denniston, A. K., Calvert, M. J., &amp; SPIRIT-AI and CONSORT-AI Working Group. (2020). Guidelines for clinical trial protocols for interventions involving artificial intelligence: The SPIRIT-AI extension. Nature Medicine, 26(9), 1351–1363. https://doi.org/10.1038/s41591-020-1037-7</w:t>
      </w:r>
    </w:p>
    <w:p>
      <w:pPr>
        <w:spacing w:after="120" w:line="276" w:lineRule="auto"/>
        <w:ind w:left="360" w:hanging="360"/>
      </w:pPr>
      <w:r>
        <w:t>Csikszentmihalyi, M. (1990). Flow: The psychology of optimal experience. Harper &amp; Row.</w:t>
      </w:r>
    </w:p>
    <w:p>
      <w:pPr>
        <w:spacing w:after="120" w:line="276" w:lineRule="auto"/>
        <w:ind w:left="360" w:hanging="360"/>
      </w:pPr>
      <w:r>
        <w:t>Czaja, S. J., Boot, W. R., Charness, N., Rogers, W. A., &amp; Sharit, J. (2018). Improving social support for older adults through technology: Findings from the PRISM randomized controlled trial. The Gerontologist, 58(3), 467–477. https://doi.org/10.1093/geront/gnw249</w:t>
      </w:r>
    </w:p>
    <w:p>
      <w:pPr>
        <w:spacing w:after="120" w:line="276" w:lineRule="auto"/>
        <w:ind w:left="360" w:hanging="360"/>
      </w:pPr>
      <w:r>
        <w:t>D'Mello, S., &amp; Graesser, A. (2012). Dynamics of affective states during complex learning. Learning and Instruction, 22(2), 145–157.</w:t>
      </w:r>
    </w:p>
    <w:p>
      <w:pPr>
        <w:spacing w:after="120" w:line="276" w:lineRule="auto"/>
        <w:ind w:left="360" w:hanging="360"/>
      </w:pPr>
      <w:r>
        <w:t>Davis, F. D. (1989). Perceived usefulness, perceived ease of use, and user acceptance of information technology. MIS Quarterly, 13(3), 319–340.</w:t>
      </w:r>
    </w:p>
    <w:p>
      <w:pPr>
        <w:spacing w:after="120" w:line="276" w:lineRule="auto"/>
        <w:ind w:left="360" w:hanging="360"/>
      </w:pPr>
      <w:r>
        <w:t>Deci, E. L., &amp; Ryan, R. M. (1985). Intrinsic motivation and self-determination in human behavior. Plenum.</w:t>
      </w:r>
    </w:p>
    <w:p>
      <w:pPr>
        <w:spacing w:after="120" w:line="276" w:lineRule="auto"/>
        <w:ind w:left="360" w:hanging="360"/>
      </w:pPr>
      <w:r>
        <w:t>Deterding, S., Dixon, D., Khaled, R., &amp; Nacke, L. (2011). From game design elements to gamefulness: Defining gamification. In Proceedings of the 15th International Academic MindTrek Conference (pp. 9–15). ACM.</w:t>
      </w:r>
    </w:p>
    <w:p>
      <w:pPr>
        <w:spacing w:after="120" w:line="276" w:lineRule="auto"/>
        <w:ind w:left="360" w:hanging="360"/>
      </w:pPr>
      <w:r>
        <w:t>Elliot, A. J., &amp; Murayama, K. (2008). On the measurement of achievement goals: Critique, illustration, and application. Journal of Educational Psychology, 100(3), 613–628.</w:t>
      </w:r>
    </w:p>
    <w:p>
      <w:pPr>
        <w:spacing w:after="120" w:line="276" w:lineRule="auto"/>
        <w:ind w:left="360" w:hanging="360"/>
      </w:pPr>
      <w:r>
        <w:t>Eysenbach, G. (2005). The law of attrition. Journal of Medical Internet Research, 7(1), e11.</w:t>
      </w:r>
    </w:p>
    <w:p>
      <w:pPr>
        <w:spacing w:after="120" w:line="276" w:lineRule="auto"/>
        <w:ind w:left="360" w:hanging="360"/>
      </w:pPr>
      <w:r>
        <w:t>Festinger, L. (1954). A theory of social comparison processes. Human Relations, 7(2), 117–140.</w:t>
      </w:r>
    </w:p>
    <w:p>
      <w:pPr>
        <w:spacing w:after="120" w:line="276" w:lineRule="auto"/>
        <w:ind w:left="360" w:hanging="360"/>
      </w:pPr>
      <w:r>
        <w:t>Frey, B. S., &amp; Jegen, R. (2001). Motivation crowding theory. Journal of Economic Surveys, 15(5), 589–611.</w:t>
      </w:r>
    </w:p>
    <w:p>
      <w:pPr>
        <w:spacing w:after="120" w:line="276" w:lineRule="auto"/>
        <w:ind w:left="360" w:hanging="360"/>
      </w:pPr>
      <w:r>
        <w:t>Gadbois, E. A., Jimenez, F., Brazier, J. F., Davoodi, N. M., Nunn, A. S., Mills, W. L., Dosa, D., &amp; Thomas, K. S. (2022). Findings from Talking Tech: A technology training pilot intervention to reduce loneliness and social isolation among homebound older adults. Innovation in Aging, 6(5), igac040. https://doi.org/10.1093/geroni/igac040</w:t>
      </w:r>
    </w:p>
    <w:p>
      <w:pPr>
        <w:spacing w:after="120" w:line="276" w:lineRule="auto"/>
        <w:ind w:left="360" w:hanging="360"/>
      </w:pPr>
      <w:r>
        <w:t>GrandPad. (n.d.). GrandPad: The tablet for seniors [Product and subscription information]. GrandPad, Inc. https://www.grandpad.net</w:t>
      </w:r>
    </w:p>
    <w:p>
      <w:pPr>
        <w:spacing w:after="120" w:line="276" w:lineRule="auto"/>
        <w:ind w:left="360" w:hanging="360"/>
      </w:pPr>
      <w:r>
        <w:t>GrandPad. (2020, June 3). GrandPad introduces connected device capabilities to support telehealth and virtual care for healthcare providers [Press release]. GrandPad, Inc.</w:t>
      </w:r>
    </w:p>
    <w:p>
      <w:pPr>
        <w:spacing w:after="120" w:line="276" w:lineRule="auto"/>
        <w:ind w:left="360" w:hanging="360"/>
      </w:pPr>
      <w:r>
        <w:t>GrandPad. (2021, October 13). GrandPad sees expanded adoption of telehealth platform by PACE programs [Vendor press release including the Element Care case: remote patient monitoring within a supervised care (PACE) programme; used to identify functions, not to establish effectiveness]. GrandPad, Inc.</w:t>
      </w:r>
    </w:p>
    <w:p>
      <w:pPr>
        <w:spacing w:after="120" w:line="276" w:lineRule="auto"/>
        <w:ind w:left="360" w:hanging="360"/>
      </w:pPr>
      <w: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pPr>
        <w:spacing w:after="120" w:line="276" w:lineRule="auto"/>
        <w:ind w:left="360" w:hanging="360"/>
      </w:pPr>
      <w:r>
        <w:t>Harnad, S. (1990). The symbol grounding problem. Physica D: Nonlinear Phenomena, 42(1–3), 335–346.</w:t>
      </w:r>
    </w:p>
    <w:p>
      <w:pPr>
        <w:spacing w:after="120" w:line="276" w:lineRule="auto"/>
        <w:ind w:left="360" w:hanging="360"/>
      </w:pPr>
      <w:r>
        <w:t>Hawthorn, D. (2007). Interface design and engagement with older people. Behaviour &amp; Information Technology, 26(4), 333–341.</w:t>
      </w:r>
    </w:p>
    <w:p>
      <w:pPr>
        <w:spacing w:after="120" w:line="276" w:lineRule="auto"/>
        <w:ind w:left="360" w:hanging="360"/>
      </w:pPr>
      <w:r>
        <w:t>Holt, C. A., &amp; Laury, S. K. (2002). Risk aversion and incentive effects. American Economic Review, 92(5), 1644–1655.</w:t>
      </w:r>
    </w:p>
    <w:p>
      <w:pPr>
        <w:spacing w:after="120" w:line="276" w:lineRule="auto"/>
        <w:ind w:left="360" w:hanging="360"/>
      </w:pPr>
      <w:r>
        <w:t>Howell, J. L., &amp; Shepperd, J. A. (2012). Reducing information avoidance through affirmation. Psychological Science, 23(2), 141–145. https://doi.org/10.1177/0956797611424164</w:t>
      </w:r>
    </w:p>
    <w:p>
      <w:pPr>
        <w:spacing w:after="120" w:line="276" w:lineRule="auto"/>
        <w:ind w:left="360" w:hanging="360"/>
      </w:pPr>
      <w:r>
        <w:t>InBody Co., Ltd. (2022). InBody FRA510S: Fall risk assessment system — user manual and product catalogue. InBody Co., Ltd.</w:t>
      </w:r>
    </w:p>
    <w:p>
      <w:pPr>
        <w:spacing w:after="120" w:line="276" w:lineRule="auto"/>
        <w:ind w:left="360" w:hanging="360"/>
      </w:pPr>
      <w:r>
        <w:t>Institute for Healthcare Improvement. (n.d.). Model for Improvement: Testing changes. https://www.ihi.org/library/model-for-improvement/testing-changes</w:t>
      </w:r>
    </w:p>
    <w:p>
      <w:pPr>
        <w:spacing w:after="120" w:line="276" w:lineRule="auto"/>
        <w:ind w:left="360" w:hanging="360"/>
      </w:pPr>
      <w:r>
        <w:t>Juul, J. (2013). The art of failure: An essay on the pain of playing video games. MIT Press.</w:t>
      </w:r>
    </w:p>
    <w:p>
      <w:pPr>
        <w:spacing w:after="120" w:line="276" w:lineRule="auto"/>
        <w:ind w:left="360" w:hanging="360"/>
      </w:pPr>
      <w:r>
        <w:t>Kahneman, D., Knetsch, J. L., &amp; Thaler, R. H. (1990). Experimental tests of the endowment effect and the Coase theorem. Journal of Political Economy, 98(6), 1325–1348.</w:t>
      </w:r>
    </w:p>
    <w:p>
      <w:pPr>
        <w:spacing w:after="120" w:line="276" w:lineRule="auto"/>
        <w:ind w:left="360" w:hanging="360"/>
      </w:pPr>
      <w:r>
        <w:t>Kahneman, D., &amp; Tversky, A. (1979). Prospect theory: An analysis of decision under risk. Econometrica, 47(2), 263–292.</w:t>
      </w:r>
    </w:p>
    <w:p>
      <w:pPr>
        <w:spacing w:after="120" w:line="276" w:lineRule="auto"/>
        <w:ind w:left="360" w:hanging="360"/>
      </w:pPr>
      <w:r>
        <w:t>Kapur, M. (2008). Productive failure. Cognition and Instruction, 26(3), 379–424.</w:t>
      </w:r>
    </w:p>
    <w:p>
      <w:pPr>
        <w:spacing w:after="120" w:line="276" w:lineRule="auto"/>
        <w:ind w:left="360" w:hanging="360"/>
      </w:pPr>
      <w:r>
        <w:t>Kim, M., Kim, S., &amp; Won, C. W. (2018). Test–retest reliability and sensitivity to change of a new fall risk assessment system: A pilot study. Annals of Geriatric Medicine and Research, 22(2), 80–87. https://doi.org/10.4235/agmr.2018.22.2.80</w:t>
      </w:r>
    </w:p>
    <w:p>
      <w:pPr>
        <w:spacing w:after="120" w:line="276" w:lineRule="auto"/>
        <w:ind w:left="360" w:hanging="360"/>
      </w:pPr>
      <w:r>
        <w:t>King, W. R., &amp; He, J. (2006). A meta-analysis of the technology acceptance model. Information &amp; Management, 43(6), 740–755.</w:t>
      </w:r>
    </w:p>
    <w:p>
      <w:pPr>
        <w:spacing w:after="120" w:line="276" w:lineRule="auto"/>
        <w:ind w:left="360" w:hanging="360"/>
      </w:pPr>
      <w:r>
        <w:t>Koivisto, J., &amp; Malik, A. (2021). Gamification for older adults: A systematic literature review. The Gerontologist, 61(7), e360–e372.</w:t>
      </w:r>
    </w:p>
    <w:p>
      <w:pPr>
        <w:spacing w:after="120" w:line="276" w:lineRule="auto"/>
        <w:ind w:left="360" w:hanging="360"/>
      </w:pPr>
      <w:r>
        <w:t>Kroenke, K., Spitzer, R. L., Williams, J. B. W., &amp; Löwe, B. (2009). An ultra-brief screening scale for anxiety and depression: The PHQ-4. Psychosomatics, 50(6), 613–621.</w:t>
      </w:r>
    </w:p>
    <w:p>
      <w:pPr>
        <w:spacing w:after="120" w:line="276" w:lineRule="auto"/>
        <w:ind w:left="360" w:hanging="360"/>
      </w:pPr>
      <w:r>
        <w:t>Lazar, A., Koehler, C., Tanenbaum, J., &amp; Nguyen, D. H. (2015). Why we use and abandon smart devices. In Proceedings of the 2015 ACM International Joint Conference on Pervasive and Ubiquitous Computing (UbiComp '15) (pp. 635–646). ACM. https://doi.org/10.1145/2750858.2804288</w:t>
      </w:r>
    </w:p>
    <w:p>
      <w:pPr>
        <w:spacing w:after="120" w:line="276" w:lineRule="auto"/>
        <w:ind w:left="360" w:hanging="360"/>
      </w:pPr>
      <w:r>
        <w:t>Lee, C., &amp; Coughlin, J. F. (2015). Older adults' adoption of technology: An integrated approach to identifying determinants and barriers. Journal of Product Innovation Management, 32(5), 747–759.</w:t>
      </w:r>
    </w:p>
    <w:p>
      <w:pPr>
        <w:spacing w:after="120" w:line="276" w:lineRule="auto"/>
        <w:ind w:left="360" w:hanging="360"/>
      </w:pPr>
      <w:r>
        <w:t>Levy, B. R., Slade, M. D., Kunkel, S. R., &amp; Kasl, S. V. (2002). Longevity increased by positive self-perceptions of aging. Journal of Personality and Social Psychology, 83(2), 261–270.</w:t>
      </w:r>
    </w:p>
    <w:p>
      <w:pPr>
        <w:spacing w:after="120" w:line="276" w:lineRule="auto"/>
        <w:ind w:left="360" w:hanging="360"/>
      </w:pPr>
      <w:r>
        <w:t>Lewin, K. (1946). Action research and minority problems. Journal of Social Issues, 2(4), 34–46.</w:t>
      </w:r>
    </w:p>
    <w:p>
      <w:pPr>
        <w:spacing w:after="120" w:line="276" w:lineRule="auto"/>
        <w:ind w:left="360" w:hanging="360"/>
      </w:pPr>
      <w:r>
        <w:t>Liu, X., Cruz Rivera, S., Moher, D., Calvert, M. J., Denniston, A. K., &amp; SPIRIT-AI and CONSORT-AI Working Group. (2020). Reporting guidelines for clinical trial reports for interventions involving artificial intelligence: The CONSORT-AI extension. Nature Medicine, 26(9), 1364–1374. https://doi.org/10.1038/s41591-020-1034-x</w:t>
      </w:r>
    </w:p>
    <w:p>
      <w:pPr>
        <w:spacing w:after="120" w:line="276" w:lineRule="auto"/>
        <w:ind w:left="360" w:hanging="360"/>
      </w:pPr>
      <w:r>
        <w:t>Locke, E. A., &amp; Latham, G. P. (2002). Building a practically useful theory of goal setting and task motivation: A 35-year odyssey. American Psychologist, 57(9), 705–717.</w:t>
      </w:r>
    </w:p>
    <w:p>
      <w:pPr>
        <w:spacing w:after="120" w:line="276" w:lineRule="auto"/>
        <w:ind w:left="360" w:hanging="360"/>
      </w:pPr>
      <w:r>
        <w:t>McGlone, M. S., &amp; Aronson, J. (2006). Stereotype threat, identity salience, and spatial reasoning. Journal of Applied Developmental Psychology, 27(5), 486–493.</w:t>
      </w:r>
    </w:p>
    <w:p>
      <w:pPr>
        <w:spacing w:after="120" w:line="276" w:lineRule="auto"/>
        <w:ind w:left="360" w:hanging="360"/>
      </w:pPr>
      <w:r>
        <w:t>Michie, S., van Stralen, M. M., &amp; West, R. (2011). The behaviour change wheel: A new method for characterising and designing behaviour change interventions. Implementation Science, 6, 42.</w:t>
      </w:r>
    </w:p>
    <w:p>
      <w:pPr>
        <w:spacing w:after="120" w:line="276" w:lineRule="auto"/>
        <w:ind w:left="360" w:hanging="360"/>
      </w:pPr>
      <w:r>
        <w:t>Nasreddine, Z. S., Phillips, N. A., Bédirian, V., Charbonneau, S., Whitehead, V., Collin, I., Cummings, J. L., &amp; Chertkow, H. (2005). The Montreal Cognitive Assessment, MoCA: A brief screening tool for mild cognitive impairment. Journal of the American Geriatrics Society, 53(4), 695–699.</w:t>
      </w:r>
    </w:p>
    <w:p>
      <w:pPr>
        <w:spacing w:after="120" w:line="276" w:lineRule="auto"/>
        <w:ind w:left="360" w:hanging="360"/>
      </w:pPr>
      <w:r>
        <w:t>National Bureau of Statistics of China. (2025, January 17). National economy witnessed steady progress amidst stability with major development targets achieved successfully in 2024 [Press release]. https://www.stats.gov.cn/english/PressRelease/202501/t20250117_1958330.html</w:t>
      </w:r>
    </w:p>
    <w:p>
      <w:pPr>
        <w:spacing w:after="120" w:line="276" w:lineRule="auto"/>
        <w:ind w:left="360" w:hanging="360"/>
      </w:pPr>
      <w:r>
        <w:t>OECD/Eurostat. (2018). Oslo manual 2018: Guidelines for collecting, reporting and using data on innovation (4th ed.). OECD Publishing. https://doi.org/10.1787/9789264304604-en</w:t>
      </w:r>
    </w:p>
    <w:p>
      <w:pPr>
        <w:spacing w:after="120" w:line="276" w:lineRule="auto"/>
        <w:ind w:left="360" w:hanging="360"/>
      </w:pPr>
      <w:r>
        <w:t>Park, D. C., Lodi-Smith, J., Drew, L., Haber, S., Hebrank, A., Bischof, G. N., &amp; Aamodt, W. (2014). The impact of sustained engagement on cognitive function in older adults: The Synapse Project. Psychological Science, 25(1), 103–112. https://doi.org/10.1177/0956797613499592</w:t>
      </w:r>
    </w:p>
    <w:p>
      <w:pPr>
        <w:spacing w:after="120" w:line="276" w:lineRule="auto"/>
        <w:ind w:left="360" w:hanging="360"/>
      </w:pPr>
      <w:r>
        <w:t>Park, W.-C., Kim, M., Kim, S., Yoo, J., Kim, B. S., Chon, J., Jeong, S. J., &amp; Won, C. W. (2019). Introduction of fall risk assessment (FRA) system and cross-sectional validation among community-dwelling older adults. Annals of Rehabilitation Medicine, 43(1), 87–95. https://doi.org/10.5535/arm.2019.43.1.87</w:t>
      </w:r>
    </w:p>
    <w:p>
      <w:pPr>
        <w:spacing w:after="120" w:line="276" w:lineRule="auto"/>
        <w:ind w:left="360" w:hanging="360"/>
      </w:pPr>
      <w:r>
        <w:t>Peek, S. T. M., Wouters, E. J. M., van Hoof, J., Luijkx, K. G., Boeije, H. R., &amp; Vrijhoef, H. J. M. (2014). Factors influencing acceptance of technology for aging in place: A systematic review. International Journal of Medical Informatics, 83(4), 235–248. https://doi.org/10.1016/j.ijmedinf.2014.01.004</w:t>
      </w:r>
    </w:p>
    <w:p>
      <w:pPr>
        <w:spacing w:after="120" w:line="276" w:lineRule="auto"/>
        <w:ind w:left="360" w:hanging="360"/>
      </w:pPr>
      <w:r>
        <w:t>Perissinotto, C., Zhang, C., Oseau, T., Balik, D., Sou, C., Burnight, C., &amp; Burnight, K. (2019). Feasibility of a tablet designed for older adults to facilitate telemedicine visits [Conference abstract]. Innovation in Aging, 3(Suppl. 1), S975. https://doi.org/10.1093/geroni/igz038.3534</w:t>
      </w:r>
    </w:p>
    <w:p>
      <w:pPr>
        <w:spacing w:after="120" w:line="276" w:lineRule="auto"/>
        <w:ind w:left="360" w:hanging="360"/>
      </w:pPr>
      <w:r>
        <w:t>Phillips, B., &amp; Zhao, H. (1993). Predictors of assistive technology abandonment. Assistive Technology, 5(1), 36–45. https://doi.org/10.1080/10400435.1993.10132205</w:t>
      </w:r>
    </w:p>
    <w:p>
      <w:pPr>
        <w:spacing w:after="120" w:line="276" w:lineRule="auto"/>
        <w:ind w:left="360" w:hanging="360"/>
      </w:pPr>
      <w:r>
        <w:t>Picard, R. W. (1997). Affective computing. MIT Press.</w:t>
      </w:r>
    </w:p>
    <w:p>
      <w:pPr>
        <w:spacing w:after="120" w:line="276" w:lineRule="auto"/>
        <w:ind w:left="360" w:hanging="360"/>
      </w:pPr>
      <w:r>
        <w:t>Plass, J. L., Homer, B. D., &amp; Kinzer, C. K. (2015). Foundations of game-based learning. Educational Psychologist, 50(4), 258–283.</w:t>
      </w:r>
    </w:p>
    <w:p>
      <w:pPr>
        <w:spacing w:after="120" w:line="276" w:lineRule="auto"/>
        <w:ind w:left="360" w:hanging="360"/>
      </w:pPr>
      <w:r>
        <w:t>Plott, C. R., &amp; Zeiler, K. (2005). The willingness to pay–willingness to accept gap, the ‘endowment effect,’ subject misconceptions, and experimental procedures for eliciting valuations. American Economic Review, 95(3), 530–545. https://doi.org/10.1257/0002828054201387</w:t>
      </w:r>
    </w:p>
    <w:p>
      <w:pPr>
        <w:spacing w:after="120" w:line="276" w:lineRule="auto"/>
        <w:ind w:left="360" w:hanging="360"/>
      </w:pPr>
      <w:r>
        <w:t>Reason, P., &amp; Bradbury, H. (Eds.). (2008). The SAGE handbook of action research: Participative inquiry and practice (2nd ed.). SAGE.</w:t>
      </w:r>
    </w:p>
    <w:p>
      <w:pPr>
        <w:spacing w:after="120" w:line="276" w:lineRule="auto"/>
        <w:ind w:left="360" w:hanging="360"/>
      </w:pPr>
      <w:r>
        <w:t>Ryan, R. M., &amp; Deci, E. L. (2000). Self-determination theory and the facilitation of intrinsic motivation, social development, and well-being. American Psychologist, 55(1), 68–78.</w:t>
      </w:r>
    </w:p>
    <w:p>
      <w:pPr>
        <w:spacing w:after="120" w:line="276" w:lineRule="auto"/>
        <w:ind w:left="360" w:hanging="360"/>
      </w:pPr>
      <w:r>
        <w:t>Satchell, C., &amp; Dourish, P. (2009). Beyond the user: Use and non-use in HCI. In Proceedings of OzCHI 2009 (pp. 9–16). ACM.</w:t>
      </w:r>
    </w:p>
    <w:p>
      <w:pPr>
        <w:spacing w:after="120" w:line="276" w:lineRule="auto"/>
        <w:ind w:left="360" w:hanging="360"/>
      </w:pPr>
      <w:r>
        <w:t>Schroeder, T., Dodds, L., Georgiou, A., Gewald, H., &amp; Siette, J. (2023). Older adults and new technology: Mapping review of the factors associated with older adults' intention to adopt digital technologies. JMIR Aging, 6, e44564.</w:t>
      </w:r>
    </w:p>
    <w:p>
      <w:pPr>
        <w:spacing w:after="120" w:line="276" w:lineRule="auto"/>
        <w:ind w:left="360" w:hanging="360"/>
      </w:pPr>
      <w:r>
        <w:t>Shannon, C. E. (1948). A mathematical theory of communication. Bell System Technical Journal, 27(3), 379–423; 27(4), 623–656.</w:t>
      </w:r>
    </w:p>
    <w:p>
      <w:pPr>
        <w:spacing w:after="120" w:line="276" w:lineRule="auto"/>
        <w:ind w:left="360" w:hanging="360"/>
      </w:pPr>
      <w:r>
        <w:t>Soderstrom, N. C., &amp; Bjork, R. A. (2015). Learning versus performance: An integrative review. Perspectives on Psychological Science, 10(2), 176–199. https://doi.org/10.1177/1745691615569000</w:t>
      </w:r>
    </w:p>
    <w:p>
      <w:pPr>
        <w:spacing w:after="120" w:line="276" w:lineRule="auto"/>
        <w:ind w:left="360" w:hanging="360"/>
      </w:pPr>
      <w:r>
        <w:t>Standing Committee of the National People's Congress. (2021). Personal information protection law of the People's Republic of China.</w:t>
      </w:r>
    </w:p>
    <w:p>
      <w:pPr>
        <w:spacing w:after="120" w:line="276" w:lineRule="auto"/>
        <w:ind w:left="360" w:hanging="360"/>
      </w:pPr>
      <w:r>
        <w:t>State Council of the People's Republic of China. (2025, January 10). China accelerates elderly care reforms as population ages [News release]. https://english.www.gov.cn/news/202501/10/content_WS67805ca4c6d0868f4e8eea64.html</w:t>
      </w:r>
    </w:p>
    <w:p>
      <w:pPr>
        <w:spacing w:after="120" w:line="276" w:lineRule="auto"/>
        <w:ind w:left="360" w:hanging="360"/>
      </w:pPr>
      <w:r>
        <w:t>Steele, C. M., &amp; Aronson, J. (1995). Stereotype threat and the intellectual test performance of African Americans. Journal of Personality and Social Psychology, 69(5), 797–811.</w:t>
      </w:r>
    </w:p>
    <w:p>
      <w:pPr>
        <w:spacing w:after="120" w:line="276" w:lineRule="auto"/>
        <w:ind w:left="360" w:hanging="360"/>
      </w:pPr>
      <w:r>
        <w:t>Stringer, E. T. (2014). Action research (4th ed.). SAGE.</w:t>
      </w:r>
    </w:p>
    <w:p>
      <w:pPr>
        <w:spacing w:after="120" w:line="276" w:lineRule="auto"/>
        <w:ind w:left="360" w:hanging="360"/>
      </w:pPr>
      <w:r>
        <w:t>Tam, S. K. T., &amp; Cheung, C. F. (under review). Gamification as a proactive approach: A study of elderly failure-induced abandonment in gamified fall risk assessment [Manuscript JIKMS2602466, submitted 9 September 2026]. Journal of Information and Knowledge Management.</w:t>
      </w:r>
    </w:p>
    <w:p>
      <w:pPr>
        <w:spacing w:after="120" w:line="276" w:lineRule="auto"/>
        <w:ind w:left="360" w:hanging="360"/>
      </w:pPr>
      <w:r>
        <w:t>Tam, S. K. T., &amp; Cheung, C. F. (2026). Investigating low utilisation of Fall Risk Assessment among elderly users: A critical review through TAM and Octalysis frameworks with gamification approach [Paper SS-293]. Proceedings of the 10th International Conference on Management Engineering, Software Engineering and Service Sciences (ICMSS 2026), Wuhan, China, 20–22 March 2026. Conference Publishing Services.</w:t>
      </w:r>
    </w:p>
    <w:p>
      <w:pPr>
        <w:spacing w:after="120" w:line="276" w:lineRule="auto"/>
        <w:ind w:left="360" w:hanging="360"/>
      </w:pPr>
      <w:r>
        <w:t>Tha, S. H., Hough, K., Bui, N., Dulaney, S., &amp; Perissinotto, C. (2025). The use of age-friendly technology in the care of older adults: Two implementation case studies. Journal of Applied Gerontology. Advance online publication. https://doi.org/10.1177/07334648251343513</w:t>
      </w:r>
    </w:p>
    <w:p>
      <w:pPr>
        <w:spacing w:after="120" w:line="276" w:lineRule="auto"/>
        <w:ind w:left="360" w:hanging="360"/>
      </w:pPr>
      <w:r>
        <w:t>Thaler, R. H. (1980). Toward a positive theory of consumer choice. Journal of Economic Behavior &amp; Organization, 1(1), 39–60.</w:t>
      </w:r>
    </w:p>
    <w:p>
      <w:pPr>
        <w:spacing w:after="120" w:line="276" w:lineRule="auto"/>
        <w:ind w:left="360" w:hanging="360"/>
      </w:pPr>
      <w:r>
        <w:t>Thaler, R. H. (1985). Mental accounting and consumer choice. Marketing Science, 4(3), 199–214.</w:t>
      </w:r>
    </w:p>
    <w:p>
      <w:pPr>
        <w:spacing w:after="120" w:line="276" w:lineRule="auto"/>
        <w:ind w:left="360" w:hanging="360"/>
      </w:pPr>
      <w:r>
        <w:t>Tsai, T. H., Lin, W. Y., Chang, Y. S., Chang, P. C., &amp; Lee, M. Y. (2020). Technology anxiety and resistance to change: Behavioural study of a wearable cardiac warming system using an extended TAM for older adults. PLOS ONE, 15(1), e0227270. https://doi.org/10.1371/journal.pone.0227270</w:t>
      </w:r>
    </w:p>
    <w:p>
      <w:pPr>
        <w:spacing w:after="120" w:line="276" w:lineRule="auto"/>
        <w:ind w:left="360" w:hanging="360"/>
      </w:pPr>
      <w:r>
        <w:t>Tversky, A., &amp; Kahneman, D. (1991). Loss aversion in riskless choice: A reference-dependent model. Quarterly Journal of Economics, 106(4), 1039–1061.</w:t>
      </w:r>
    </w:p>
    <w:p>
      <w:pPr>
        <w:spacing w:after="120" w:line="276" w:lineRule="auto"/>
        <w:ind w:left="360" w:hanging="360"/>
      </w:pPr>
      <w:r>
        <w:t>VanLehn, K. (2011). The relative effectiveness of human tutoring, intelligent tutoring systems, and other tutoring systems. Educational Psychologist, 46(4), 197–221.</w:t>
      </w:r>
    </w:p>
    <w:p>
      <w:pPr>
        <w:spacing w:after="120" w:line="276" w:lineRule="auto"/>
        <w:ind w:left="360" w:hanging="360"/>
      </w:pPr>
      <w:r>
        <w:t>Venkatesh, V., &amp; Bala, H. (2008). Technology acceptance model 3 and a research agenda on interventions. Decision Sciences, 39(2), 273–315.</w:t>
      </w:r>
    </w:p>
    <w:p>
      <w:pPr>
        <w:spacing w:after="120" w:line="276" w:lineRule="auto"/>
        <w:ind w:left="360" w:hanging="360"/>
      </w:pPr>
      <w:r>
        <w:t>Venkatesh, V., &amp; Davis, F. D. (2000). A theoretical extension of the technology acceptance model: Four longitudinal field studies. Management Science, 46(2), 186–204.</w:t>
      </w:r>
    </w:p>
    <w:p>
      <w:pPr>
        <w:spacing w:after="120" w:line="276" w:lineRule="auto"/>
        <w:ind w:left="360" w:hanging="360"/>
      </w:pPr>
      <w:r>
        <w:t>Venkatesh, V., Morris, M. G., Davis, G. B., &amp; Davis, F. D. (2003). User acceptance of information technology: Toward a unified view. MIS Quarterly, 27(3), 425–478.</w:t>
      </w:r>
    </w:p>
    <w:p>
      <w:pPr>
        <w:spacing w:after="120" w:line="276" w:lineRule="auto"/>
        <w:ind w:left="360" w:hanging="360"/>
      </w:pPr>
      <w:r>
        <w:t>Vickers, A. J., &amp; Elkin, E. B. (2006). Decision curve analysis: A novel method for evaluating prediction models. Medical Decision Making, 26(6), 565–574.</w:t>
      </w:r>
    </w:p>
    <w:p>
      <w:pPr>
        <w:spacing w:after="120" w:line="276" w:lineRule="auto"/>
        <w:ind w:left="360" w:hanging="360"/>
      </w:pPr>
      <w:r>
        <w:t>Vygotsky, L. S. (1978). Mind in society: The development of higher psychological processes. Harvard University Press.</w:t>
      </w:r>
    </w:p>
    <w:p>
      <w:pPr>
        <w:spacing w:after="120" w:line="276" w:lineRule="auto"/>
        <w:ind w:left="360" w:hanging="360"/>
      </w:pPr>
      <w:r>
        <w:t>Wittgenstein, L. (1922). Tractatus logico-philosophicus (C. K. Ogden, Trans.). Kegan Paul, Trench, Trubner. (Original work published 1921)</w:t>
      </w:r>
    </w:p>
    <w:p>
      <w:pPr>
        <w:spacing w:after="120" w:line="276" w:lineRule="auto"/>
        <w:ind w:left="360" w:hanging="360"/>
      </w:pPr>
      <w:r>
        <w:t>World Health Organization. (2007). WHO global report on falls prevention in older age. World Health Organization.</w:t>
      </w:r>
    </w:p>
    <w:p>
      <w:pPr>
        <w:spacing w:after="120" w:line="276" w:lineRule="auto"/>
        <w:ind w:left="360" w:hanging="360"/>
      </w:pPr>
      <w:r>
        <w:t>World Health Organization. (2023). Falls (Fact sheet). World Health Organization. https://www.who.int/news-room/fact-sheets/detail/falls</w:t>
      </w:r>
    </w:p>
    <w:p>
      <w:pPr>
        <w:spacing w:after="120" w:line="276" w:lineRule="auto"/>
        <w:ind w:left="360" w:hanging="360"/>
      </w:pPr>
      <w:r>
        <w:t>World Health Organization. (2024). Ageing and health (Fact sheet). World Health Organization. https://www.who.int/news-room/fact-sheets/detail/ageing-and-health</w:t>
      </w:r>
    </w:p>
    <w:p>
      <w:pPr>
        <w:spacing w:after="120" w:line="276" w:lineRule="auto"/>
        <w:ind w:left="360" w:hanging="360"/>
      </w:pPr>
      <w:r>
        <w:t>Yardley, L., Beyer, N., Hauer, K., Kempen, G., Piot-Ziegler, C., &amp; Todd, C. (2005). Development and initial validation of the Falls Efficacy Scale-International (FES-I). Age and Ageing, 34(6), 614–619.</w:t>
      </w:r>
    </w:p>
    <w:p>
      <w:pPr>
        <w:spacing w:after="120" w:line="276" w:lineRule="auto"/>
        <w:ind w:left="360" w:hanging="360"/>
      </w:pPr>
      <w:r>
        <w:t>Zohaib, M. (2018). Dynamic difficulty adjustment (DDA) in computer games: A review. Advances in Human-Computer Interaction, 2018, 5681652.</w:t>
      </w:r>
    </w:p>
    <w:p>
      <w:pPr>
        <w:pStyle w:val="Heading1"/>
        <w:pageBreakBefore/>
      </w:pPr>
      <w:bookmarkStart w:id="167" w:name="_Toc232024664"/>
      <w:r>
        <w:rPr>
          <w:lang w:val="en-US" w:eastAsia="en-US" w:bidi="ar-SA"/>
          <w:color w:val="000000"/>
          <w:szCs w:val="28"/>
        </w:rPr>
        <w:t>Appendices</w:t>
      </w:r>
      <w:bookmarkEnd w:id="167"/>
    </w:p>
    <w:p>
      <w:pPr>
        <w:pStyle w:val="Normal"/>
        <w:jc w:val="both"/>
      </w:pPr>
      <w:r>
        <w:rPr>
          <w:szCs w:val="22"/>
          <w:lang w:val="en-US" w:eastAsia="en-US" w:bidi="ar-SA"/>
          <w:rFonts w:ascii="Times New Roman" w:hAnsi="Times New Roman" w:eastAsia="Times New Roman" w:cs="Times New Roman"/>
          <w:sz w:val="24"/>
        </w:rPr>
        <w:t>This section contains the supporting instruments, coding rules, protocols and reference materials referenced in the main thesis. Each appendix identifies its bound materials and, where an item is held rather than printed, the record in which it is held.</w:t>
      </w:r>
    </w:p>
    <w:p>
      <w:pPr>
        <w:pStyle w:val="Normal"/>
        <w:spacing w:after="200" w:line="276" w:lineRule="auto"/>
        <w:rPr>
          <w:rFonts w:asciiTheme="majorHAnsi" w:eastAsiaTheme="majorEastAsia" w:hAnsiTheme="majorHAnsi" w:cstheme="majorBidi"/>
          <w:b/>
          <w:bCs/>
          <w:color w:val="000000"/>
          <w:sz w:val="28"/>
          <w:szCs w:val="26"/>
        </w:rPr>
      </w:pPr>
      <w:bookmarkStart w:id="168" w:name="_Toc232024665"/>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A · Stage-1 Survey Instrument</w:t>
      </w:r>
      <w:bookmarkEnd w:id="168"/>
    </w:p>
    <w:p>
      <w:pPr>
        <w:pStyle w:val="Normal"/>
        <w:jc w:val="both"/>
      </w:pPr>
      <w:r>
        <w:rPr>
          <w:szCs w:val="22"/>
          <w:lang w:val="en-US" w:eastAsia="en-US" w:bidi="ar-SA"/>
          <w:rFonts w:ascii="Times New Roman" w:hAnsi="Times New Roman" w:eastAsia="Times New Roman" w:cs="Times New Roman"/>
          <w:sz w:val="24"/>
        </w:rP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pPr>
        <w:pStyle w:val="Heading3"/>
      </w:pPr>
      <w:bookmarkStart w:id="169" w:name="_Toc232024666"/>
      <w:r>
        <w:rPr>
          <w:color w:val="000000"/>
          <w:szCs w:val="26"/>
          <w:lang w:val="en-US" w:eastAsia="en-US" w:bidi="ar-SA"/>
        </w:rPr>
        <w:t>A.1 · Survey Items</w:t>
      </w:r>
      <w:bookmarkEnd w:id="169"/>
    </w:p>
    <w:p>
      <w:pPr>
        <w:pStyle w:val="Normal"/>
        <w:jc w:val="both"/>
      </w:pPr>
      <w:r>
        <w:rPr>
          <w:szCs w:val="22"/>
          <w:lang w:val="en-US" w:eastAsia="en-US" w:bidi="ar-SA"/>
          <w:rFonts w:ascii="Times New Roman" w:hAnsi="Times New Roman" w:eastAsia="Times New Roman" w:cs="Times New Roman"/>
          <w:sz w:val="24"/>
        </w:rPr>
        <w:t>The instrument consisted of six closed items with binary Yes/No response. The items moved from awareness through prior exposure to current use intention, in the order shown below.</w:t>
      </w:r>
    </w:p>
    <w:p>
      <w:pPr>
        <w:pStyle w:val="Normal"/>
        <w:jc w:val="both"/>
      </w:pPr>
      <w:r>
        <w:rPr>
          <w:szCs w:val="22"/>
          <w:lang w:val="en-US" w:eastAsia="en-US" w:bidi="ar-SA"/>
          <w:rFonts w:ascii="Times New Roman" w:hAnsi="Times New Roman" w:eastAsia="Times New Roman" w:cs="Times New Roman"/>
          <w:sz w:val="24"/>
        </w:rPr>
        <w:t>Item 1 · Awareness: Have you heard of the Fall Risk Assessment (FRA) system available at this facility?</w:t>
      </w:r>
    </w:p>
    <w:p>
      <w:pPr>
        <w:pStyle w:val="Normal"/>
        <w:jc w:val="both"/>
      </w:pPr>
      <w:r>
        <w:rPr>
          <w:szCs w:val="22"/>
          <w:lang w:val="en-US" w:eastAsia="en-US" w:bidi="ar-SA"/>
          <w:rFonts w:ascii="Times New Roman" w:hAnsi="Times New Roman" w:eastAsia="Times New Roman" w:cs="Times New Roman"/>
          <w:sz w:val="24"/>
        </w:rPr>
        <w:t>Item 2 · Prior exposure: Have you ever used the FRA system?</w:t>
      </w:r>
    </w:p>
    <w:p>
      <w:pPr>
        <w:pStyle w:val="Normal"/>
        <w:jc w:val="both"/>
      </w:pPr>
      <w:r>
        <w:rPr>
          <w:szCs w:val="22"/>
          <w:lang w:val="en-US" w:eastAsia="en-US" w:bidi="ar-SA"/>
          <w:rFonts w:ascii="Times New Roman" w:hAnsi="Times New Roman" w:eastAsia="Times New Roman" w:cs="Times New Roman"/>
          <w:sz w:val="24"/>
        </w:rPr>
        <w:t>Item 3 · First-time outcome: At your first attempt, did the system give you a result you understood and accepted?</w:t>
      </w:r>
    </w:p>
    <w:p>
      <w:pPr>
        <w:pStyle w:val="Normal"/>
        <w:jc w:val="both"/>
      </w:pPr>
      <w:r>
        <w:rPr>
          <w:szCs w:val="22"/>
          <w:lang w:val="en-US" w:eastAsia="en-US" w:bidi="ar-SA"/>
          <w:rFonts w:ascii="Times New Roman" w:hAnsi="Times New Roman" w:eastAsia="Times New Roman" w:cs="Times New Roman"/>
          <w:sz w:val="24"/>
        </w:rPr>
        <w:t>Item 4 · Continuation: After your first use, did you ever come back to the FRA system?</w:t>
      </w:r>
    </w:p>
    <w:p>
      <w:pPr>
        <w:pStyle w:val="Normal"/>
        <w:jc w:val="both"/>
      </w:pPr>
      <w:r>
        <w:rPr>
          <w:szCs w:val="22"/>
          <w:lang w:val="en-US" w:eastAsia="en-US" w:bidi="ar-SA"/>
          <w:rFonts w:ascii="Times New Roman" w:hAnsi="Times New Roman" w:eastAsia="Times New Roman" w:cs="Times New Roman"/>
          <w:sz w:val="24"/>
        </w:rPr>
        <w:t>Item 5 · Reason for non-return: If you did not come back, was the main reason that you found the experience uncomfortable, embarrassing, or discouraging?</w:t>
      </w:r>
    </w:p>
    <w:p>
      <w:pPr>
        <w:pStyle w:val="Normal"/>
        <w:jc w:val="both"/>
      </w:pPr>
      <w:r>
        <w:rPr>
          <w:szCs w:val="22"/>
          <w:lang w:val="en-US" w:eastAsia="en-US" w:bidi="ar-SA"/>
          <w:rFonts w:ascii="Times New Roman" w:hAnsi="Times New Roman" w:eastAsia="Times New Roman" w:cs="Times New Roman"/>
          <w:sz w:val="24"/>
        </w:rPr>
        <w:t>Item 6 · Future intention: If a friendlier version of the same system were offered, would you be willing to try it again?</w:t>
      </w:r>
    </w:p>
    <w:p>
      <w:pPr>
        <w:pStyle w:val="Normal"/>
        <w:spacing w:after="200" w:line="276" w:lineRule="auto"/>
        <w:rPr>
          <w:rFonts w:asciiTheme="majorHAnsi" w:eastAsiaTheme="majorEastAsia" w:hAnsiTheme="majorHAnsi" w:cstheme="majorBidi"/>
          <w:b/>
          <w:bCs/>
          <w:color w:val="000000"/>
          <w:sz w:val="28"/>
          <w:szCs w:val="26"/>
        </w:rPr>
      </w:pPr>
      <w:bookmarkStart w:id="170" w:name="_Toc23202466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B · Stage-2 FIAS Coding Scheme</w:t>
      </w:r>
      <w:bookmarkEnd w:id="170"/>
    </w:p>
    <w:p>
      <w:pPr>
        <w:pStyle w:val="Normal"/>
        <w:jc w:val="both"/>
      </w:pPr>
      <w:r>
        <w:rPr>
          <w:szCs w:val="22"/>
          <w:lang w:val="en-US" w:eastAsia="en-US" w:bidi="ar-SA"/>
          <w:rFonts w:ascii="Times New Roman" w:hAnsi="Times New Roman" w:eastAsia="Times New Roman" w:cs="Times New Roman"/>
          <w:sz w:val="24"/>
        </w:rPr>
        <w:t>The Stage-2 coding scheme operationalises the provisional FIAS hypothesis through thirteen binary attributes drawn from STAM and selected Octalysis drives, collapsed onto a 0–10 composite. Five descriptive categories are used: F0 (no failure signal), F1 (mild discomfort), F2 (clear distress), F3 (active disengagement) and F4 (observed non-return under the study definition). Outcome-defining variables such as cycle count and return status must not be embedded in a predictor score that is then claimed to predict the same outcome; any validation analysis must be reported separately from the scoring rules, and none is reported in this thesis. The item-level specification of the scheme — every item, weight, threshold, source, missing-data rule and adjudication procedure — is a deliverable of the proposed confirmatory study (§8.8) and is not reproduced here; per §5.6 the composite is a descriptive case-identification device and carries no evidential weight in this thesis.</w:t>
      </w:r>
    </w:p>
    <w:p>
      <w:pPr>
        <w:pStyle w:val="Normal"/>
        <w:keepNext/>
        <w:spacing w:before="160" w:after="40"/>
        <w:jc w:val="center"/>
      </w:pPr>
      <w:r>
        <w:rPr>
          <w:noProof/>
        </w:rPr>
        <w:lastRenderedPageBreak/>
        <w:drawing>
          <wp:inline distT="0" distB="0" distL="0" distR="0" wp14:anchorId="4F4B6A17" wp14:editId="1B31D70A">
            <wp:extent cx="5120640" cy="3170692"/>
            <wp:effectExtent l="0" t="0" r="0" b="0"/>
            <wp:docPr id="9" name="Picture 9" descr="Figure B.1. Distribution of provisional FIAS composite scores across all 30 participants."/>
            <wp:cNvGraphicFramePr>
              <a:graphicFrameLocks noChangeAspect="1"/>
            </wp:cNvGraphicFramePr>
            <a:graphic>
              <a:graphicData uri="http://schemas.openxmlformats.org/drawingml/2006/picture">
                <pic:pic>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pPr>
        <w:pStyle w:val="FigureCaption"/>
        <w:keepLines/>
        <w:jc w:val="center"/>
      </w:pPr>
      <w:bookmarkStart w:id="89" w:name="_Toc232024687"/>
      <w:r>
        <w:rPr>
          <w:sz w:val="24"/>
          <w:szCs w:val="22"/>
          <w:lang w:val="en-US" w:eastAsia="en-US" w:bidi="ar-SA"/>
          <w:rFonts w:ascii="Times New Roman" w:hAnsi="Times New Roman" w:eastAsia="Times New Roman" w:cs="Times New Roman"/>
          <w:i/>
          <w:b/>
        </w:rPr>
        <w:t>Figure B.1. Distribution of provisional FIAS composite scores across all 30 participants. The composite includes engagement-outcome attributes, so the separation of the F4 cluster is expected by construction; the figure is descriptive case identification, not evidence (§5.6). One of the six F4 records (S2-P015) is the record that failed verification (§5.5).</w:t>
      </w:r>
      <w:bookmarkEnd w:id="89"/>
    </w:p>
    <w:p>
      <w:pPr>
        <w:pStyle w:val="Normal"/>
        <w:spacing w:after="200" w:line="276" w:lineRule="auto"/>
        <w:rPr>
          <w:rFonts w:asciiTheme="majorHAnsi" w:eastAsiaTheme="majorEastAsia" w:hAnsiTheme="majorHAnsi" w:cstheme="majorBidi"/>
          <w:b/>
          <w:bCs/>
          <w:color w:val="000000"/>
          <w:sz w:val="28"/>
          <w:szCs w:val="26"/>
        </w:rPr>
      </w:pPr>
      <w:bookmarkStart w:id="171" w:name="_Toc23202466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C · Stage-2 Qualitative Record and the F4 Interview Protocol (Designed, Not Administered)</w:t>
      </w:r>
      <w:bookmarkEnd w:id="171"/>
    </w:p>
    <w:p>
      <w:pPr>
        <w:pStyle w:val="Normal"/>
        <w:jc w:val="both"/>
      </w:pPr>
      <w:r>
        <w:rPr>
          <w:szCs w:val="22"/>
          <w:lang w:val="en-US" w:eastAsia="en-US" w:bidi="ar-SA"/>
          <w:rFonts w:ascii="Times New Roman" w:hAnsi="Times New Roman" w:eastAsia="Times New Roman" w:cs="Times New Roman"/>
          <w:sz w:val="24"/>
        </w:rPr>
        <w:t>The Stage-2 qualitative record has two genuine components. First, an after-game paper questionnaire was completed by every participant at the end of play; it is the source of the satisfaction data reported in Chapter 5. Second, post-deployment interviews were conducted during August and September 2025, in the weeks following the eight-week cycle and the small rewards presentation at which the persistent players' written consent was recorded. Because the game was coupled to the FRA, the interviews were arranged through the facility therapists, who knew the players from the sessions. Each player was invited to an interview after the games; a very few were interviewed immediately, others deferred, and the therapists completed the remaining interviews as players could be reached over this period — all thirty were sought and twenty-nine could be reached. Nine accepted, and the nine who accepted were the nine persistent participants. The interviews were conducted with the therapists' assistance, some in person and some by telephone, in Mandarin or Cantonese at the participant's preference, using the paper interview questionnaire as the schedule. Responses were recorded by the therapists onto the questionnaire forms and into a logbook kept at the centre — in some cases after, rather than during, the interview — and the researcher received the therapists' summaries and collected the logbook, and the therapists reported when all interviews were done. The researcher did not directly observe the interviews, and their individual timing rests on the dated forms and the therapists' report. The therapist-completed record, not researcher notes, is therefore the primary record, and recorded free-text wording is the therapists' rendering rather than the participants' verbatim words. That twenty reachable players declined is itself part of the record: the interview subgroup is self-selected, and the interviews accordingly speak to persistence only. The interview instrument's structure is documented from the author's entry-and-results record (the entry-and-results sheet received 10 September 2026 and the entry workbook received 11 September 2026, both archived with the raw data): nine items - a free-text memorable-experience item; enjoyment, FRA usefulness and discouragement on five-point scales; steering confidence and recovery confidence on 0-10 scales; play-again and FRA-again willingness items; and a free-text reasons item. The entry record holds all nine participants' responses (entered complete, no corrections), and the entry workbook's question guide documents the full bilingual wording of the nine items with their scale anchors (1-5 agreement, strongly disagree to strongly agree; 0-10 confidence, none to complete, the two confidence items assuming the same staff support as at the session; Q7/Q8 offer Yes/Undecided/No and Willing/Undecided/Unwilling), drawn from the researcher's revised-draft pack. A photographic copy of one completed interview form (participant S2-P024, dated 25 August 2025) has been sighted and matches the entry record and the documented wording; archival copies of the completed interview forms (including that exemplar) and of the after-game questionnaire sheets are not filed with the thesis at 30 September 2026; the satisfaction figures in §5.5 are therefore reported from the analysis file (item G.2) as recorded, with the administered form and its response anchors not archived. Entered ratings: enjoyment mean 4.3 (range 4-5), usefulness 4.7 (4-5), discouragement 1.9 (1-3), steering confidence 7.4 (6-8), recovery confidence 7.7 (6-9); all nine would play again and all nine were willing to continue with the FRA. Three further interviews were conducted with centre managers, capturing the operator perspective on the deployment (author's account; no interview record is archived, and nothing in this thesis rests on them). These conversations informed the learn-to-earn design orientation of §1.8 and the requirements mapping of §5.5A (Table 5.3). In addition, a nine-question semi-structured interview protocol was designed for the F4 cluster, to be administered within days of an abandoned session; it was NOT administered in Stage 2 — the F4 residents' negative reaction to the experience made a research interview inappropriate at the time — and no F4 interview data exist. The protocol below is therefore a designed instrument retained for the proposed confirmatory programme (§8.8), not a record of interviews conducted.</w:t>
      </w:r>
    </w:p>
    <w:p>
      <w:pPr>
        <w:pStyle w:val="Heading3"/>
      </w:pPr>
      <w:bookmarkStart w:id="172" w:name="_Toc232024669"/>
      <w:r>
        <w:rPr>
          <w:color w:val="000000"/>
          <w:szCs w:val="26"/>
          <w:lang w:val="en-US" w:eastAsia="en-US" w:bidi="ar-SA"/>
        </w:rPr>
        <w:t>C.1 · Question Set</w:t>
      </w:r>
      <w:bookmarkEnd w:id="172"/>
    </w:p>
    <w:p>
      <w:pPr>
        <w:pStyle w:val="Normal"/>
        <w:jc w:val="both"/>
      </w:pPr>
      <w:r>
        <w:rPr>
          <w:szCs w:val="22"/>
          <w:lang w:val="en-US" w:eastAsia="en-US" w:bidi="ar-SA"/>
          <w:rFonts w:ascii="Times New Roman" w:hAnsi="Times New Roman" w:eastAsia="Times New Roman" w:cs="Times New Roman"/>
          <w:sz w:val="24"/>
        </w:rPr>
        <w:t>Q1 · Recall: Can you tell me, in your own words, what happened during your first session with the system?</w:t>
      </w:r>
    </w:p>
    <w:p>
      <w:pPr>
        <w:pStyle w:val="Normal"/>
        <w:jc w:val="both"/>
      </w:pPr>
      <w:r>
        <w:rPr>
          <w:szCs w:val="22"/>
          <w:lang w:val="en-US" w:eastAsia="en-US" w:bidi="ar-SA"/>
          <w:rFonts w:ascii="Times New Roman" w:hAnsi="Times New Roman" w:eastAsia="Times New Roman" w:cs="Times New Roman"/>
          <w:sz w:val="24"/>
        </w:rPr>
        <w:t>Q2 · Affect: How did you feel at the moment the system gave you the result?</w:t>
      </w:r>
    </w:p>
    <w:p>
      <w:pPr>
        <w:pStyle w:val="Normal"/>
        <w:jc w:val="both"/>
      </w:pPr>
      <w:r>
        <w:rPr>
          <w:szCs w:val="22"/>
          <w:lang w:val="en-US" w:eastAsia="en-US" w:bidi="ar-SA"/>
          <w:rFonts w:ascii="Times New Roman" w:hAnsi="Times New Roman" w:eastAsia="Times New Roman" w:cs="Times New Roman"/>
          <w:sz w:val="24"/>
        </w:rPr>
        <w:t>Q3 · Self-attribution: Looking back, who or what do you feel was responsible for the result?</w:t>
      </w:r>
    </w:p>
    <w:p>
      <w:pPr>
        <w:pStyle w:val="Normal"/>
        <w:jc w:val="both"/>
      </w:pPr>
      <w:r>
        <w:rPr>
          <w:szCs w:val="22"/>
          <w:lang w:val="en-US" w:eastAsia="en-US" w:bidi="ar-SA"/>
          <w:rFonts w:ascii="Times New Roman" w:hAnsi="Times New Roman" w:eastAsia="Times New Roman" w:cs="Times New Roman"/>
          <w:sz w:val="24"/>
        </w:rPr>
        <w:t>Q4 · Identity: When the result came up, what kind of person did you feel the system was telling you that you are?</w:t>
      </w:r>
    </w:p>
    <w:p>
      <w:pPr>
        <w:pStyle w:val="Normal"/>
        <w:jc w:val="both"/>
      </w:pPr>
      <w:r>
        <w:rPr>
          <w:szCs w:val="22"/>
          <w:lang w:val="en-US" w:eastAsia="en-US" w:bidi="ar-SA"/>
          <w:rFonts w:ascii="Times New Roman" w:hAnsi="Times New Roman" w:eastAsia="Times New Roman" w:cs="Times New Roman"/>
          <w:sz w:val="24"/>
        </w:rPr>
        <w:t>Q5 · Comparison: Did you feel the result was about your body, or about you as a person?</w:t>
      </w:r>
    </w:p>
    <w:p>
      <w:pPr>
        <w:pStyle w:val="Normal"/>
        <w:jc w:val="both"/>
      </w:pPr>
      <w:r>
        <w:rPr>
          <w:szCs w:val="22"/>
          <w:lang w:val="en-US" w:eastAsia="en-US" w:bidi="ar-SA"/>
          <w:rFonts w:ascii="Times New Roman" w:hAnsi="Times New Roman" w:eastAsia="Times New Roman" w:cs="Times New Roman"/>
          <w:sz w:val="24"/>
        </w:rPr>
        <w:t>Q6 · Decision: When did you decide you would not come back?</w:t>
      </w:r>
    </w:p>
    <w:p>
      <w:pPr>
        <w:pStyle w:val="Normal"/>
        <w:jc w:val="both"/>
      </w:pPr>
      <w:r>
        <w:rPr>
          <w:szCs w:val="22"/>
          <w:lang w:val="en-US" w:eastAsia="en-US" w:bidi="ar-SA"/>
          <w:rFonts w:ascii="Times New Roman" w:hAnsi="Times New Roman" w:eastAsia="Times New Roman" w:cs="Times New Roman"/>
          <w:sz w:val="24"/>
        </w:rPr>
        <w:t>Q7 · Counter-factual: Is there anything that could have changed your mind that day?</w:t>
      </w:r>
    </w:p>
    <w:p>
      <w:pPr>
        <w:pStyle w:val="Normal"/>
        <w:jc w:val="both"/>
      </w:pPr>
      <w:r>
        <w:rPr>
          <w:szCs w:val="22"/>
          <w:lang w:val="en-US" w:eastAsia="en-US" w:bidi="ar-SA"/>
          <w:rFonts w:ascii="Times New Roman" w:hAnsi="Times New Roman" w:eastAsia="Times New Roman" w:cs="Times New Roman"/>
          <w:sz w:val="24"/>
        </w:rPr>
        <w:t>Q8 · Future framing: If the same activity had been described differently to you, would you have stayed?</w:t>
      </w:r>
    </w:p>
    <w:p>
      <w:pPr>
        <w:pStyle w:val="Normal"/>
        <w:jc w:val="both"/>
      </w:pPr>
      <w:r>
        <w:rPr>
          <w:szCs w:val="22"/>
          <w:lang w:val="en-US" w:eastAsia="en-US" w:bidi="ar-SA"/>
          <w:rFonts w:ascii="Times New Roman" w:hAnsi="Times New Roman" w:eastAsia="Times New Roman" w:cs="Times New Roman"/>
          <w:sz w:val="24"/>
        </w:rPr>
        <w:t>Q9 · Open: Is there anything else you would like the research team to understand?</w:t>
      </w:r>
    </w:p>
    <w:p>
      <w:pPr>
        <w:pStyle w:val="Normal"/>
        <w:spacing w:after="200" w:line="276" w:lineRule="auto"/>
        <w:rPr>
          <w:rFonts w:asciiTheme="majorHAnsi" w:eastAsiaTheme="majorEastAsia" w:hAnsiTheme="majorHAnsi" w:cstheme="majorBidi"/>
          <w:b/>
          <w:bCs/>
          <w:color w:val="000000"/>
          <w:sz w:val="28"/>
          <w:szCs w:val="26"/>
        </w:rPr>
      </w:pPr>
      <w:bookmarkStart w:id="173" w:name="_Toc232024670"/>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D · Stage-3 Decoupling Questionnaire</w:t>
      </w:r>
      <w:bookmarkEnd w:id="173"/>
    </w:p>
    <w:p>
      <w:pPr>
        <w:pStyle w:val="Normal"/>
        <w:jc w:val="both"/>
      </w:pPr>
      <w:r>
        <w:rPr>
          <w:szCs w:val="22"/>
          <w:lang w:val="en-US" w:eastAsia="en-US" w:bidi="ar-SA"/>
          <w:rFonts w:ascii="Times New Roman" w:hAnsi="Times New Roman" w:eastAsia="Times New Roman" w:cs="Times New Roman"/>
          <w:sz w:val="24"/>
        </w:rPr>
        <w:t>The Stage-3 decoupling design used a short two-item post-session instrument to measure coordination-challenge endorsement and long-term commitment intention. Demographic items (age band, gender, education) were collected at enrolment only. The author confirmed on 30 September 2026 that the instrument held only these two items and the demographic items, on the five-point response format reproduced here, with the wording shown, and that a response of 4 or 5 was counted as endorsement. Players answered the two items themselves immediately after playing, at the point they chose to stop. The aggregate summary names the items by shorter labels ('Liked the game as a reflection of eye-leg coordination'; 'Would use for regular health training if accessible'), and the questionnaire as sent has not been linked to the study record. The participant invitation on file (a 4 August 2026 reconstruction; §3.4, §6.4; item G.5) paraphrases the two statements as whether the player 'found it a good coordination challenge' and 'would be willing to play it regularly'; the wording shown in D.1 is the author's confirmation of 30 September 2026, and neither the invitation paraphrase nor the summary labels is the instrument as sent. The author states that the coordination item was included to check whether players recognised the game as exercising the eye-leg coordination that the FRA measures; it records players' perception, not evidence that the game and the FRA measure the same capacity. In the Stage-3 remote deployment the instrument was distributed with the e-mailed game build, and participants returned their responses by e-mail together with their game results, as an exported CSV file or as copied or typed text; with the first build, results and stopping were recorded by hand by assistants (§6.4), and the returned materials were compiled into the July 2026 summary and not retained as separate records (item G.3). The Stage-3B component study used a four-item in-build questionnaire whose D1 and D2 items ('The game was a good coordination challenge.'; 'I would be willing to play this game regularly.') differ in wording from the Stage-3 items; its one pre-specified contrast, defined on its D2 (top-two-box), was not run (Appendix I).</w:t>
      </w:r>
    </w:p>
    <w:p>
      <w:pPr>
        <w:pStyle w:val="Heading3"/>
      </w:pPr>
      <w:bookmarkStart w:id="174" w:name="_Toc232024671"/>
      <w:r>
        <w:rPr>
          <w:color w:val="000000"/>
          <w:szCs w:val="26"/>
          <w:lang w:val="en-US" w:eastAsia="en-US" w:bidi="ar-SA"/>
        </w:rPr>
        <w:t>D.1 · Post-Session Items</w:t>
      </w:r>
      <w:bookmarkEnd w:id="174"/>
    </w:p>
    <w:p>
      <w:pPr>
        <w:pStyle w:val="Normal"/>
        <w:jc w:val="both"/>
      </w:pPr>
      <w:r>
        <w:rPr>
          <w:szCs w:val="22"/>
          <w:lang w:val="en-US" w:eastAsia="en-US" w:bidi="ar-SA"/>
          <w:rFonts w:ascii="Times New Roman" w:hAnsi="Times New Roman" w:eastAsia="Times New Roman" w:cs="Times New Roman"/>
          <w:sz w:val="24"/>
        </w:rPr>
        <w:t>Item D1 · Coordination endorsement: I would describe the activity I just completed as a coordination and balance challenge.</w:t>
      </w:r>
    </w:p>
    <w:p>
      <w:pPr>
        <w:pStyle w:val="Normal"/>
        <w:jc w:val="both"/>
      </w:pPr>
      <w:r>
        <w:rPr>
          <w:szCs w:val="22"/>
          <w:lang w:val="en-US" w:eastAsia="en-US" w:bidi="ar-SA"/>
          <w:rFonts w:ascii="Times New Roman" w:hAnsi="Times New Roman" w:eastAsia="Times New Roman" w:cs="Times New Roman"/>
          <w:sz w:val="24"/>
        </w:rPr>
        <w:t>Item D2 · Commitment intention: I would be willing to come back and do this activity on a regular basis (one or more times per week) over the next three months.</w:t>
      </w:r>
    </w:p>
    <w:p>
      <w:pPr>
        <w:pStyle w:val="Heading3"/>
      </w:pPr>
      <w:bookmarkStart w:id="175" w:name="_Toc232024672"/>
      <w:r>
        <w:rPr>
          <w:color w:val="000000"/>
          <w:szCs w:val="26"/>
          <w:lang w:val="en-US" w:eastAsia="en-US" w:bidi="ar-SA"/>
        </w:rPr>
        <w:t>D.2 · Demographic Block (At Enrolment)</w:t>
      </w:r>
      <w:bookmarkEnd w:id="175"/>
    </w:p>
    <w:p>
      <w:pPr>
        <w:pStyle w:val="Normal"/>
        <w:jc w:val="both"/>
      </w:pPr>
      <w:r>
        <w:rPr>
          <w:szCs w:val="22"/>
          <w:lang w:val="en-US" w:eastAsia="en-US" w:bidi="ar-SA"/>
          <w:rFonts w:ascii="Times New Roman" w:hAnsi="Times New Roman" w:eastAsia="Times New Roman" w:cs="Times New Roman"/>
          <w:sz w:val="24"/>
        </w:rPr>
        <w:t>Age band: 25–44, 45–64, 65–80.</w:t>
      </w:r>
    </w:p>
    <w:p>
      <w:pPr>
        <w:pStyle w:val="Normal"/>
        <w:jc w:val="both"/>
      </w:pPr>
      <w:r>
        <w:rPr>
          <w:szCs w:val="22"/>
          <w:lang w:val="en-US" w:eastAsia="en-US" w:bidi="ar-SA"/>
          <w:rFonts w:ascii="Times New Roman" w:hAnsi="Times New Roman" w:eastAsia="Times New Roman" w:cs="Times New Roman"/>
          <w:sz w:val="24"/>
        </w:rPr>
        <w:t>Gender: Male, Female, Prefer not to say.</w:t>
      </w:r>
    </w:p>
    <w:p>
      <w:pPr>
        <w:pStyle w:val="Normal"/>
        <w:jc w:val="both"/>
      </w:pPr>
      <w:r>
        <w:rPr>
          <w:szCs w:val="22"/>
          <w:lang w:val="en-US" w:eastAsia="en-US" w:bidi="ar-SA"/>
          <w:rFonts w:ascii="Times New Roman" w:hAnsi="Times New Roman" w:eastAsia="Times New Roman" w:cs="Times New Roman"/>
          <w:sz w:val="24"/>
        </w:rPr>
        <w:t>Highest completed education: Primary, Secondary, Tertiary.</w:t>
      </w:r>
    </w:p>
    <w:p>
      <w:pPr>
        <w:pStyle w:val="Normal"/>
        <w:spacing w:after="200" w:line="276" w:lineRule="auto"/>
        <w:rPr>
          <w:rFonts w:asciiTheme="majorHAnsi" w:eastAsiaTheme="majorEastAsia" w:hAnsiTheme="majorHAnsi" w:cstheme="majorBidi"/>
          <w:b/>
          <w:bCs/>
          <w:color w:val="000000"/>
          <w:sz w:val="28"/>
          <w:szCs w:val="26"/>
        </w:rPr>
      </w:pPr>
      <w:bookmarkStart w:id="176" w:name="_Toc232024673"/>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E · Five-Layer Architecture and Adaptive-Learning Reference Stack</w:t>
      </w:r>
      <w:bookmarkEnd w:id="176"/>
    </w:p>
    <w:p>
      <w:pPr>
        <w:pStyle w:val="Normal"/>
        <w:jc w:val="both"/>
      </w:pPr>
      <w:r>
        <w:rPr>
          <w:szCs w:val="22"/>
          <w:lang w:val="en-US" w:eastAsia="en-US" w:bidi="ar-SA"/>
          <w:rFonts w:ascii="Times New Roman" w:hAnsi="Times New Roman" w:eastAsia="Times New Roman" w:cs="Times New Roman"/>
          <w:sz w:val="24"/>
        </w:rPr>
        <w:t>The Stage-2 deployment was built on the five-layer architecture specified here; which functions ran live in the deployed build, which were exercised only against synthetic profiles and which remained specified is recorded per build generation in the build-lineage matrix (Appendix G, item G.0A), and no operational claim is made beyond that record (§5.3.5, §8.9). The decoupled Stage-3 condition ran a separately built, distributable HTML game on participants' own computers: L0 was replaced by keyboard arrow-key input (or a foot-pad sensor where available; some older participants used an iPad with an external keyboard, §6.4), and the L3/L4 clinical pipeline was absent rather than merely suppressed. In-run difficulty adjustment operated in the Stage-3 build as its built-in rule agent only: a distributed HTML file carries no API credentials and browser cross-origin policy blocks direct model calls, so every Stage-3 session ran under rule-based difficulty adaptation — the same fail-safe heuristic that backs L2 in the Stage-2 architecture. No large-language-model call operated in any Stage-3 session. The full adaptive-learning reference stack, specified here as a design direction for future study (Chapter 7; §8.8), adds three further layers (L5 User-Facing Trajectory, L6 Staff Coaching Protocol, L7 Adaptive-Learning Telemetry) without altering the underlying signal path.</w:t>
      </w:r>
    </w:p>
    <w:p>
      <w:pPr>
        <w:pStyle w:val="Heading3"/>
      </w:pPr>
      <w:bookmarkStart w:id="177" w:name="_Toc232024674"/>
      <w:r>
        <w:rPr>
          <w:color w:val="000000"/>
          <w:szCs w:val="26"/>
          <w:lang w:val="en-US" w:eastAsia="en-US" w:bidi="ar-SA"/>
        </w:rPr>
        <w:t>E.1 · Layers L0–L4 (Stage-2 architecture as specified; operational status per build in item G.0A)</w:t>
      </w:r>
      <w:bookmarkEnd w:id="177"/>
    </w:p>
    <w:p>
      <w:pPr>
        <w:pStyle w:val="Normal"/>
        <w:jc w:val="both"/>
      </w:pPr>
      <w:r>
        <w:rPr>
          <w:szCs w:val="22"/>
          <w:lang w:val="en-US" w:eastAsia="en-US" w:bidi="ar-SA"/>
          <w:rFonts w:ascii="Times New Roman" w:hAnsi="Times New Roman" w:eastAsia="Times New Roman" w:cs="Times New Roman"/>
          <w:sz w:val="24"/>
        </w:rPr>
        <w:t>L0 · Input: the control input. In Stage 2, a generic FSR plantar-pressure mat (64 × 64 points, about 3 mm; item G.15) placed on top of the FRA510S footplate and read by the game over a serial connection as a left/right controller, in the manner of a keyboard; its pressure values were not measured or recorded; the first version was tested by keyboard during development only, and no participant played by keyboard. The footplate itself drove the InBody FRA software in parallel, with no application programming interface between the two (§5.2A).</w:t>
      </w:r>
    </w:p>
    <w:p>
      <w:pPr>
        <w:pStyle w:val="Normal"/>
        <w:jc w:val="both"/>
      </w:pPr>
      <w:r>
        <w:rPr>
          <w:szCs w:val="22"/>
          <w:lang w:val="en-US" w:eastAsia="en-US" w:bidi="ar-SA"/>
          <w:rFonts w:ascii="Times New Roman" w:hAnsi="Times New Roman" w:eastAsia="Times New Roman" w:cs="Times New Roman"/>
          <w:sz w:val="24"/>
        </w:rPr>
        <w:t>L1 · Game Engine: Three.js skiing scene with Cannon.js physics (Chinese interface); obstacles (trees, rocks) and coins; a run ends at the first obstacle collision; difficulty set once before play by three formulas from the ability form (§5.2A).</w:t>
      </w:r>
    </w:p>
    <w:p>
      <w:pPr>
        <w:pStyle w:val="Normal"/>
        <w:jc w:val="both"/>
      </w:pPr>
      <w:r>
        <w:rPr>
          <w:szCs w:val="22"/>
          <w:lang w:val="en-US" w:eastAsia="en-US" w:bidi="ar-SA"/>
          <w:rFonts w:ascii="Times New Roman" w:hAnsi="Times New Roman" w:eastAsia="Times New Roman" w:cs="Times New Roman"/>
          <w:sz w:val="24"/>
        </w:rPr>
        <w:t>L2 · AI component: in the deployed Stage-2 game, the post-game analysis-and-recommendation module — in v1 a rule-based report in the page, in v2 a server-side LangChain call over the OpenAI API whose prompt template is deposited (item G.7); v2 was deployed (author's account, 7 October 2026); whether the server-side call completed in each session, and the model version and settings, are not on record. No in-run adaptation operated in Stage 2; the in-run rule agent (80%/40%) belongs to the Stage-3 builds (Appendix I).</w:t>
      </w:r>
    </w:p>
    <w:p>
      <w:pPr>
        <w:pStyle w:val="Normal"/>
        <w:jc w:val="both"/>
      </w:pPr>
      <w:r>
        <w:rPr>
          <w:szCs w:val="22"/>
          <w:lang w:val="en-US" w:eastAsia="en-US" w:bidi="ar-SA"/>
          <w:rFonts w:ascii="Times New Roman" w:hAnsi="Times New Roman" w:eastAsia="Times New Roman" w:cs="Times New Roman"/>
          <w:sz w:val="24"/>
        </w:rPr>
        <w:t>L3 · Logging: in-memory per-run statistics (duration, score, coins, obstacles avoided) feeding the analysis report; nothing written to disk; play recorded by hand (§5.2A).</w:t>
      </w:r>
    </w:p>
    <w:p>
      <w:pPr>
        <w:pStyle w:val="Normal"/>
        <w:jc w:val="both"/>
      </w:pPr>
      <w:r>
        <w:rPr>
          <w:szCs w:val="22"/>
          <w:lang w:val="en-US" w:eastAsia="en-US" w:bidi="ar-SA"/>
          <w:rFonts w:ascii="Times New Roman" w:hAnsi="Times New Roman" w:eastAsia="Times New Roman" w:cs="Times New Roman"/>
          <w:sz w:val="24"/>
        </w:rPr>
        <w:t>L4 · Clinical Output: the InBody FRA measurement running in parallel on the footplate beneath the game's mat, read and logged by the therapist (§5.2A); not part of the game software and receiving no data from it; absent in the Stage-3 decoupled condition (the HTML build had no clinical pipeline).</w:t>
      </w:r>
    </w:p>
    <w:p>
      <w:pPr>
        <w:pStyle w:val="Heading3"/>
      </w:pPr>
      <w:bookmarkStart w:id="178" w:name="_Toc232024675"/>
      <w:r>
        <w:rPr>
          <w:color w:val="000000"/>
          <w:szCs w:val="26"/>
          <w:lang w:val="en-US" w:eastAsia="en-US" w:bidi="ar-SA"/>
        </w:rPr>
        <w:t>E.2 · Layers L5–L7 (Adaptive-Learning Reference Stack)</w:t>
      </w:r>
      <w:bookmarkEnd w:id="178"/>
    </w:p>
    <w:p>
      <w:pPr>
        <w:pStyle w:val="Normal"/>
        <w:jc w:val="both"/>
      </w:pPr>
      <w:r>
        <w:rPr>
          <w:szCs w:val="22"/>
          <w:lang w:val="en-US" w:eastAsia="en-US" w:bidi="ar-SA"/>
          <w:rFonts w:ascii="Times New Roman" w:hAnsi="Times New Roman" w:eastAsia="Times New Roman" w:cs="Times New Roman"/>
          <w:sz w:val="24"/>
        </w:rPr>
        <w:t>L5 · User-Facing Trajectory: Plain-language, learning-anchored progress display that frames the next session against the previous session's calibrated band, never against a clinical norm.</w:t>
      </w:r>
    </w:p>
    <w:p>
      <w:pPr>
        <w:pStyle w:val="Normal"/>
        <w:jc w:val="both"/>
      </w:pPr>
      <w:r>
        <w:rPr>
          <w:szCs w:val="22"/>
          <w:lang w:val="en-US" w:eastAsia="en-US" w:bidi="ar-SA"/>
          <w:rFonts w:ascii="Times New Roman" w:hAnsi="Times New Roman" w:eastAsia="Times New Roman" w:cs="Times New Roman"/>
          <w:sz w:val="24"/>
        </w:rPr>
        <w:t>L6 · Staff Coaching Protocol: Standardised post-failure interaction script, triggered by L7 telemetry, designed to absorb the failure event into a learning-oriented reframe before the participant leaves the room.</w:t>
      </w:r>
    </w:p>
    <w:p>
      <w:pPr>
        <w:pStyle w:val="Normal"/>
        <w:jc w:val="both"/>
      </w:pPr>
      <w:r>
        <w:rPr>
          <w:szCs w:val="22"/>
          <w:lang w:val="en-US" w:eastAsia="en-US" w:bidi="ar-SA"/>
          <w:rFonts w:ascii="Times New Roman" w:hAnsi="Times New Roman" w:eastAsia="Times New Roman" w:cs="Times New Roman"/>
          <w:sz w:val="24"/>
        </w:rPr>
        <w:t>L7 · Adaptive-Learning Telemetry: Real-time monitoring of risk indicators (consecutive failures, abrupt session abandonment, post-failure latency to next attempt); fires coaching triggers and updates trajectory parameters.</w:t>
      </w:r>
    </w:p>
    <w:p>
      <w:pPr>
        <w:pStyle w:val="Heading3"/>
      </w:pPr>
      <w:bookmarkStart w:id="179" w:name="_Toc232024676"/>
      <w:r>
        <w:rPr>
          <w:color w:val="000000"/>
          <w:szCs w:val="26"/>
          <w:lang w:val="en-US" w:eastAsia="en-US" w:bidi="ar-SA"/>
        </w:rPr>
        <w:t>E.3 · AI Safety Provisions</w:t>
      </w:r>
      <w:bookmarkEnd w:id="179"/>
    </w:p>
    <w:p>
      <w:pPr>
        <w:pStyle w:val="Normal"/>
        <w:jc w:val="both"/>
      </w:pPr>
      <w:r>
        <w:rPr>
          <w:szCs w:val="22"/>
          <w:lang w:val="en-US" w:eastAsia="en-US" w:bidi="ar-SA"/>
          <w:rFonts w:ascii="Times New Roman" w:hAnsi="Times New Roman" w:eastAsia="Times New Roman" w:cs="Times New Roman"/>
          <w:sz w:val="24"/>
        </w:rPr>
        <w:t>Graceful degradation is specified at all layers: if the model endpoint is unavailable, L2 falls back to a rule-based difficulty heuristic without interrupting gameplay. No participant identifiers are transmitted off-device. The architecture logs all AI calls at Layer 3; this states logging capability, not retained evidence — the retention status of the Stage-2 AI-call logs is recorded against items G.2 and G.7 (§8.9), and no evidential claim rests on a log that was not retained. A manual override is specified at the staff console.</w:t>
      </w:r>
    </w:p>
    <w:p>
      <w:pPr>
        <w:pStyle w:val="Normal"/>
        <w:spacing w:after="200" w:line="276" w:lineRule="auto"/>
        <w:rPr>
          <w:rFonts w:asciiTheme="majorHAnsi" w:eastAsiaTheme="majorEastAsia" w:hAnsiTheme="majorHAnsi" w:cstheme="majorBidi"/>
          <w:b/>
          <w:bCs/>
          <w:color w:val="000000"/>
          <w:sz w:val="28"/>
          <w:szCs w:val="26"/>
        </w:rPr>
      </w:pPr>
      <w:bookmarkStart w:id="180" w:name="_Toc23202467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F · Glossary of Key Constructs</w:t>
      </w:r>
      <w:bookmarkEnd w:id="180"/>
    </w:p>
    <w:p>
      <w:pPr>
        <w:pStyle w:val="Normal"/>
        <w:jc w:val="both"/>
      </w:pPr>
      <w:r>
        <w:rPr>
          <w:szCs w:val="22"/>
          <w:lang w:val="en-US" w:eastAsia="en-US" w:bidi="ar-SA"/>
          <w:rFonts w:ascii="Times New Roman" w:hAnsi="Times New Roman" w:eastAsia="Times New Roman" w:cs="Times New Roman"/>
          <w:sz w:val="24"/>
        </w:rP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8505" w:type="dxa"/>
        <w:jc w:val="center"/>
        <w:tblLayout w:type="fixed"/>
        <w:tblLook w:val="04A0" w:firstRow="1" w:lastRow="0" w:firstColumn="1" w:lastColumn="0" w:noHBand="0" w:noVBand="1"/>
      </w:tblPr>
      <w:tblGrid>
        <w:gridCol w:w="1989"/>
        <w:gridCol w:w="6516"/>
      </w:tblGrid>
      <w:tr w:rsidR="0062437E" w14:paraId="051C2B91" w14:textId="77777777" w:rsidTr="00FD5D21">
        <w:trPr>
          <w:jc w:val="center"/>
          <w:tblHeader/>
          <w:cantSplit/>
        </w:trPr>
        <w:tc>
          <w:tcPr>
            <w:tcW w:w="1989" w:type="dxa"/>
          </w:tcPr>
          <w:p>
            <w:pPr>
              <w:pStyle w:val="Normal"/>
              <w:keepNext w:val="0"/>
              <w:keepLines/>
            </w:pPr>
            <w:r>
              <w:rPr>
                <w:b/>
                <w:sz w:val="18"/>
                <w:szCs w:val="22"/>
                <w:lang w:val="en-US" w:eastAsia="en-US" w:bidi="ar-SA"/>
                <w:rFonts w:ascii="Times New Roman" w:hAnsi="Times New Roman" w:eastAsia="Times New Roman" w:cs="Times New Roman"/>
              </w:rPr>
              <w:t>Construct</w:t>
            </w:r>
          </w:p>
        </w:tc>
        <w:tc>
          <w:tcPr>
            <w:tcW w:w="6516" w:type="dxa"/>
          </w:tcPr>
          <w:p>
            <w:pPr>
              <w:pStyle w:val="Normal"/>
              <w:keepNext w:val="0"/>
              <w:keepLines/>
            </w:pPr>
            <w:r>
              <w:rPr>
                <w:b/>
                <w:sz w:val="18"/>
                <w:szCs w:val="22"/>
                <w:lang w:val="en-US" w:eastAsia="en-US" w:bidi="ar-SA"/>
                <w:rFonts w:ascii="Times New Roman" w:hAnsi="Times New Roman" w:eastAsia="Times New Roman" w:cs="Times New Roman"/>
              </w:rPr>
              <w:t>Definition</w:t>
            </w:r>
          </w:p>
        </w:tc>
      </w:tr>
      <w:tr w:rsidR="0062437E" w14:paraId="662CB72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FIDS</w:t>
            </w:r>
          </w:p>
        </w:tc>
        <w:tc>
          <w:tcPr>
            <w:tcW w:w="6516" w:type="dxa"/>
          </w:tcPr>
          <w:p>
            <w:pPr>
              <w:pStyle w:val="Normal"/>
            </w:pPr>
            <w:r>
              <w:rPr>
                <w:szCs w:val="22"/>
                <w:lang w:val="en-US" w:eastAsia="en-US" w:bidi="ar-SA"/>
                <w:rFonts w:ascii="Times New Roman" w:hAnsi="Times New Roman" w:eastAsia="Times New Roman" w:cs="Times New Roman"/>
                <w:sz w:val="24"/>
              </w:rPr>
              <w:t>Failure-Induced Dropout Syndrome - the initial working label for failure-associated disengagement. It was a hypothesis, not a validated syndrome.</w:t>
            </w:r>
          </w:p>
        </w:tc>
      </w:tr>
      <w:tr w:rsidR="0062437E" w14:paraId="66A2E48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FIAS</w:t>
            </w:r>
          </w:p>
        </w:tc>
        <w:tc>
          <w:tcPr>
            <w:tcW w:w="6516" w:type="dxa"/>
          </w:tcPr>
          <w:p>
            <w:pPr>
              <w:pStyle w:val="Normal"/>
            </w:pPr>
            <w:r>
              <w:rPr>
                <w:szCs w:val="22"/>
                <w:lang w:val="en-US" w:eastAsia="en-US" w:bidi="ar-SA"/>
                <w:rFonts w:ascii="Times New Roman" w:hAnsi="Times New Roman" w:eastAsia="Times New Roman" w:cs="Times New Roman"/>
                <w:sz w:val="24"/>
              </w:rPr>
              <w:t>Failure-Induced Abandonment Syndrome: a provisional, non-diagnostic construct describing failure-associated non-return in the studied setting. Active avoidance, identity-related mechanisms, reliability and incremental prediction remain to be established.</w:t>
            </w:r>
          </w:p>
        </w:tc>
      </w:tr>
      <w:tr w:rsidR="0062437E" w14:paraId="6EC0C8E6"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Recorded-Score–Engagement Discrepancy</w:t>
            </w:r>
            <w:r>
              <w:t xml:space="preserve"> (formerly: Objective-Score-Improvement/Non-Return Paradox)</w:t>
            </w:r>
          </w:p>
        </w:tc>
        <w:tc>
          <w:tcPr>
            <w:tcW w:w="6516" w:type="dxa"/>
          </w:tcPr>
          <w:p>
            <w:pPr>
              <w:pStyle w:val="Normal"/>
            </w:pPr>
            <w:r>
              <w:rPr>
                <w:szCs w:val="22"/>
                <w:lang w:val="en-US" w:eastAsia="en-US" w:bidi="ar-SA"/>
                <w:rFonts w:ascii="Times New Roman" w:hAnsi="Times New Roman" w:eastAsia="Times New Roman" w:cs="Times New Roman"/>
                <w:sz w:val="24"/>
              </w:rP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Decoupling</w:t>
            </w:r>
          </w:p>
        </w:tc>
        <w:tc>
          <w:tcPr>
            <w:tcW w:w="6516" w:type="dxa"/>
          </w:tcPr>
          <w:p>
            <w:pPr>
              <w:pStyle w:val="Normal"/>
            </w:pPr>
            <w:r>
              <w:rPr>
                <w:szCs w:val="22"/>
                <w:lang w:val="en-US" w:eastAsia="en-US" w:bidi="ar-SA"/>
                <w:rFonts w:ascii="Times New Roman" w:hAnsi="Times New Roman" w:eastAsia="Times New Roman" w:cs="Times New Roman"/>
                <w:sz w:val="24"/>
              </w:rP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Mental Accounting of Health Outcomes</w:t>
            </w:r>
          </w:p>
        </w:tc>
        <w:tc>
          <w:tcPr>
            <w:tcW w:w="6516" w:type="dxa"/>
          </w:tcPr>
          <w:p>
            <w:pPr>
              <w:pStyle w:val="Normal"/>
            </w:pPr>
            <w:r>
              <w:rPr>
                <w:szCs w:val="22"/>
                <w:lang w:val="en-US" w:eastAsia="en-US" w:bidi="ar-SA"/>
                <w:rFonts w:ascii="Times New Roman" w:hAnsi="Times New Roman" w:eastAsia="Times New Roman" w:cs="Times New Roman"/>
                <w:sz w:val="24"/>
              </w:rP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Frame-Suppression</w:t>
            </w:r>
          </w:p>
        </w:tc>
        <w:tc>
          <w:tcPr>
            <w:tcW w:w="6516" w:type="dxa"/>
          </w:tcPr>
          <w:p>
            <w:pPr>
              <w:pStyle w:val="Normal"/>
            </w:pPr>
            <w:r>
              <w:rPr>
                <w:szCs w:val="22"/>
                <w:lang w:val="en-US" w:eastAsia="en-US" w:bidi="ar-SA"/>
                <w:rFonts w:ascii="Times New Roman" w:hAnsi="Times New Roman" w:eastAsia="Times New Roman" w:cs="Times New Roman"/>
                <w:sz w:val="24"/>
              </w:rP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Commitment Gap</w:t>
            </w:r>
          </w:p>
        </w:tc>
        <w:tc>
          <w:tcPr>
            <w:tcW w:w="6516" w:type="dxa"/>
          </w:tcPr>
          <w:p>
            <w:pPr>
              <w:pStyle w:val="Normal"/>
            </w:pPr>
            <w:r>
              <w:rPr>
                <w:szCs w:val="22"/>
                <w:lang w:val="en-US" w:eastAsia="en-US" w:bidi="ar-SA"/>
                <w:rFonts w:ascii="Times New Roman" w:hAnsi="Times New Roman" w:eastAsia="Times New Roman" w:cs="Times New Roman"/>
                <w:sz w:val="24"/>
              </w:rPr>
              <w:t>The 29.3-percentage-point difference in the 65–80 band between continued or resumed play (85.4%) and stated regular-use intention (56.1%). It is descriptive and does not identify a single cause.</w:t>
            </w:r>
          </w:p>
        </w:tc>
      </w:tr>
      <w:tr w:rsidR="0062437E" w14:paraId="291D7747"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Adaptive-Learning Framework</w:t>
            </w:r>
          </w:p>
        </w:tc>
        <w:tc>
          <w:tcPr>
            <w:tcW w:w="6516" w:type="dxa"/>
          </w:tcPr>
          <w:p>
            <w:pPr>
              <w:pStyle w:val="Normal"/>
            </w:pPr>
            <w:r>
              <w:rPr>
                <w:szCs w:val="22"/>
                <w:lang w:val="en-US" w:eastAsia="en-US" w:bidi="ar-SA"/>
                <w:rFonts w:ascii="Times New Roman" w:hAnsi="Times New Roman" w:eastAsia="Times New Roman" w:cs="Times New Roman"/>
                <w:sz w:val="24"/>
              </w:rPr>
              <w:t>The thesis's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Entropy Constraint</w:t>
            </w:r>
          </w:p>
        </w:tc>
        <w:tc>
          <w:tcPr>
            <w:tcW w:w="6516" w:type="dxa"/>
          </w:tcPr>
          <w:p>
            <w:pPr>
              <w:pStyle w:val="Normal"/>
            </w:pPr>
            <w:r>
              <w:rPr>
                <w:szCs w:val="22"/>
                <w:lang w:val="en-US" w:eastAsia="en-US" w:bidi="ar-SA"/>
                <w:rFonts w:ascii="Times New Roman" w:hAnsi="Times New Roman" w:eastAsia="Times New Roman" w:cs="Times New Roman"/>
                <w:sz w:val="24"/>
              </w:rP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M0 / M1 / M2</w:t>
            </w:r>
          </w:p>
        </w:tc>
        <w:tc>
          <w:tcPr>
            <w:tcW w:w="6516" w:type="dxa"/>
          </w:tcPr>
          <w:p>
            <w:pPr>
              <w:pStyle w:val="Normal"/>
            </w:pPr>
            <w:r>
              <w:rPr>
                <w:sz w:val="24"/>
                <w:szCs w:val="22"/>
                <w:lang w:val="en-US" w:eastAsia="en-US" w:bidi="ar-SA"/>
                <w:rFonts w:ascii="Times New Roman" w:hAnsi="Times New Roman" w:eastAsia="Times New Roman" w:cs="Times New Roman"/>
              </w:rPr>
              <w:t>The three nested models specified in §6.10 for quantitative comparison: demographic baseline (M0), STAM-only (M1), STAM augmented with FIAS operators (M2). Proposed for comparison using LRT, ΔAIC, ΔBIC, McFadden's pseudo-R², Harrell's C-index and decision-curve analysis.</w:t>
            </w:r>
          </w:p>
        </w:tc>
      </w:tr>
      <w:tr w:rsidR="0062437E" w14:paraId="6C76D9EB"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Decision-Curve Analysis</w:t>
            </w:r>
          </w:p>
        </w:tc>
        <w:tc>
          <w:tcPr>
            <w:tcW w:w="6516" w:type="dxa"/>
          </w:tcPr>
          <w:p>
            <w:pPr>
              <w:pStyle w:val="Normal"/>
            </w:pPr>
            <w:r>
              <w:rPr>
                <w:sz w:val="24"/>
                <w:szCs w:val="22"/>
                <w:lang w:val="en-US" w:eastAsia="en-US" w:bidi="ar-SA"/>
                <w:rFonts w:ascii="Times New Roman" w:hAnsi="Times New Roman" w:eastAsia="Times New Roman" w:cs="Times New Roman"/>
              </w:rPr>
              <w:t>A method for evaluating the net benefit of a prediction-guided decision across specified thresholds and relative consequences of true and false positives (Vickers &amp; Elkin, 2006). Proposed here for future decision evaluation, not performed in the present programme.</w:t>
            </w:r>
          </w:p>
        </w:tc>
      </w:tr>
      <w:tr w:rsidR="0062437E" w14:paraId="049A1C1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Adaptive Learning</w:t>
            </w:r>
          </w:p>
        </w:tc>
        <w:tc>
          <w:tcPr>
            <w:tcW w:w="6516" w:type="dxa"/>
          </w:tcPr>
          <w:p>
            <w:pPr>
              <w:pStyle w:val="Normal"/>
            </w:pPr>
            <w:r>
              <w:rPr>
                <w:szCs w:val="22"/>
                <w:lang w:val="en-US" w:eastAsia="en-US" w:bidi="ar-SA"/>
                <w:rFonts w:ascii="Times New Roman" w:hAnsi="Times New Roman" w:eastAsia="Times New Roman" w:cs="Times New Roman"/>
                <w:sz w:val="24"/>
              </w:rPr>
              <w:t>A proposed design regime that combines trajectory-oriented feedback with calibrated challenge, pacing and support. It is hypothesised to reduce the dominance of fixed-verdict appraisal; structural incompatibility with endowment was not empirically tested.</w:t>
            </w:r>
          </w:p>
        </w:tc>
      </w:tr>
    </w:tbl>
    <w:p>
      <w:pPr>
        <w:pStyle w:val="Normal"/>
        <w:spacing w:after="40"/>
      </w:pPr>
    </w:p>
    <w:p>
      <w:pPr>
        <w:pStyle w:val="Normal"/>
        <w:spacing w:after="200" w:line="276" w:lineRule="auto"/>
        <w:rPr>
          <w:rFonts w:asciiTheme="majorHAnsi" w:eastAsiaTheme="majorEastAsia" w:hAnsiTheme="majorHAnsi" w:cstheme="majorBidi"/>
          <w:b/>
          <w:bCs/>
          <w:color w:val="000000"/>
          <w:sz w:val="28"/>
          <w:szCs w:val="26"/>
        </w:rPr>
      </w:pPr>
      <w:bookmarkStart w:id="181" w:name="_Toc23202467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G · Raw Data, Photographs and Supplementary Materials</w:t>
      </w:r>
      <w:bookmarkEnd w:id="181"/>
    </w:p>
    <w:p>
      <w:pPr>
        <w:jc w:val="both"/>
      </w:pPr>
      <w:r>
        <w:t>G.0 Source-to-result manifest. One row per artifact on which a result exhibit or statement in this thesis depends, compiled on 2 October 2026 from the thesis repository (docs/thesis/) and the records described in items G.1–G.14. 'Not deposited' means the thesis holds no copy; 'not retained' means no copy exists; a path is a repository path. Synthetic and reconstructed files (item G.8; data_entry/SYNTHETIC_copies_received/) are listed only so that they are recognised, and feed no result.</w:t>
      </w:r>
    </w:p>
    <w:tbl>
      <w:tblPr>
        <w:tblStyle w:val="TableGrid"/>
        <w:tblLook w:firstColumn="1" w:firstRow="1" w:lastColumn="0" w:lastRow="0" w:noHBand="0" w:noVBand="1" w:val="04A0"/>
        <w:tblW w:w="9360" w:type="dxa"/>
        <w:tblLayout w:type="fixed"/>
      </w:tblPr>
      <w:tblGrid>
        <w:gridCol w:w="1591"/>
        <w:gridCol w:w="2340"/>
        <w:gridCol w:w="1029"/>
        <w:gridCol w:w="1029"/>
        <w:gridCol w:w="1123"/>
        <w:gridCol w:w="1123"/>
        <w:gridCol w:w="1123"/>
      </w:tblGrid>
      <w:tr>
        <w:tc>
          <w:tcPr>
            <w:tcW w:type="dxa" w:w="1591"/>
          </w:tcPr>
          <w:p>
            <w:r>
              <w:rPr>
                <w:sz w:val="15"/>
              </w:rPr>
              <w:t>Artifact</w:t>
            </w:r>
          </w:p>
        </w:tc>
        <w:tc>
          <w:tcPr>
            <w:tcW w:type="dxa" w:w="2340"/>
          </w:tcPr>
          <w:p>
            <w:r>
              <w:rPr>
                <w:sz w:val="15"/>
              </w:rPr>
              <w:t>Source / repository path</w:t>
            </w:r>
          </w:p>
        </w:tc>
        <w:tc>
          <w:tcPr>
            <w:tcW w:type="dxa" w:w="1029"/>
          </w:tcPr>
          <w:p>
            <w:r>
              <w:rPr>
                <w:sz w:val="15"/>
              </w:rPr>
              <w:t>Collection or receipt date</w:t>
            </w:r>
          </w:p>
        </w:tc>
        <w:tc>
          <w:tcPr>
            <w:tcW w:type="dxa" w:w="1029"/>
          </w:tcPr>
          <w:p>
            <w:r>
              <w:rPr>
                <w:sz w:val="15"/>
              </w:rPr>
              <w:t>Participants covered</w:t>
            </w:r>
          </w:p>
        </w:tc>
        <w:tc>
          <w:tcPr>
            <w:tcW w:type="dxa" w:w="1123"/>
          </w:tcPr>
          <w:p>
            <w:r>
              <w:rPr>
                <w:sz w:val="15"/>
              </w:rPr>
              <w:t>Derivation</w:t>
            </w:r>
          </w:p>
        </w:tc>
        <w:tc>
          <w:tcPr>
            <w:tcW w:type="dxa" w:w="1123"/>
          </w:tcPr>
          <w:p>
            <w:r>
              <w:rPr>
                <w:sz w:val="15"/>
              </w:rPr>
              <w:t>Feeds</w:t>
            </w:r>
          </w:p>
        </w:tc>
        <w:tc>
          <w:tcPr>
            <w:tcW w:type="dxa" w:w="1123"/>
          </w:tcPr>
          <w:p>
            <w:r>
              <w:rPr>
                <w:sz w:val="15"/>
              </w:rPr>
              <w:t>Status at 30 Sep 2026</w:t>
            </w:r>
          </w:p>
        </w:tc>
      </w:tr>
      <w:tr>
        <w:tc>
          <w:tcPr>
            <w:tcW w:type="dxa" w:w="1591"/>
          </w:tcPr>
          <w:p>
            <w:r>
              <w:rPr>
                <w:sz w:val="15"/>
              </w:rPr>
              <w:t>Stage-1 survey instrument (six items)</w:t>
            </w:r>
          </w:p>
        </w:tc>
        <w:tc>
          <w:tcPr>
            <w:tcW w:type="dxa" w:w="2340"/>
          </w:tcPr>
          <w:p>
            <w:r>
              <w:rPr>
                <w:sz w:val="15"/>
              </w:rPr>
              <w:t>Appendix A</w:t>
            </w:r>
          </w:p>
        </w:tc>
        <w:tc>
          <w:tcPr>
            <w:tcW w:type="dxa" w:w="1029"/>
          </w:tcPr>
          <w:p>
            <w:r>
              <w:rPr>
                <w:sz w:val="15"/>
              </w:rPr>
              <w:t>July–August 2024</w:t>
            </w:r>
          </w:p>
        </w:tc>
        <w:tc>
          <w:tcPr>
            <w:tcW w:type="dxa" w:w="1029"/>
          </w:tcPr>
          <w:p>
            <w:r>
              <w:rPr>
                <w:sz w:val="15"/>
              </w:rPr>
              <w:t>200 of 280 residents</w:t>
            </w:r>
          </w:p>
        </w:tc>
        <w:tc>
          <w:tcPr>
            <w:tcW w:type="dxa" w:w="1123"/>
          </w:tcPr>
          <w:p>
            <w:r>
              <w:rPr>
                <w:sz w:val="15"/>
              </w:rPr>
              <w:t>—</w:t>
            </w:r>
          </w:p>
        </w:tc>
        <w:tc>
          <w:tcPr>
            <w:tcW w:type="dxa" w:w="1123"/>
          </w:tcPr>
          <w:p>
            <w:r>
              <w:rPr>
                <w:sz w:val="15"/>
              </w:rPr>
              <w:t>Table 4.1 labels</w:t>
            </w:r>
          </w:p>
        </w:tc>
        <w:tc>
          <w:tcPr>
            <w:tcW w:type="dxa" w:w="1123"/>
          </w:tcPr>
          <w:p>
            <w:r>
              <w:rPr>
                <w:sz w:val="15"/>
              </w:rPr>
              <w:t>Bound (instrument only)</w:t>
            </w:r>
          </w:p>
        </w:tc>
      </w:tr>
      <w:tr>
        <w:tc>
          <w:tcPr>
            <w:tcW w:type="dxa" w:w="1591"/>
          </w:tcPr>
          <w:p>
            <w:r>
              <w:rPr>
                <w:sz w:val="15"/>
              </w:rPr>
              <w:t>Stage-1 per-respondent response file (G.1)</w:t>
            </w:r>
          </w:p>
        </w:tc>
        <w:tc>
          <w:tcPr>
            <w:tcW w:type="dxa" w:w="2340"/>
          </w:tcPr>
          <w:p>
            <w:r>
              <w:rPr>
                <w:sz w:val="15"/>
              </w:rPr>
              <w:t>Not in repository</w:t>
            </w:r>
          </w:p>
        </w:tc>
        <w:tc>
          <w:tcPr>
            <w:tcW w:type="dxa" w:w="1029"/>
          </w:tcPr>
          <w:p>
            <w:r>
              <w:rPr>
                <w:sz w:val="15"/>
              </w:rPr>
              <w:t>July–August 2024</w:t>
            </w:r>
          </w:p>
        </w:tc>
        <w:tc>
          <w:tcPr>
            <w:tcW w:type="dxa" w:w="1029"/>
          </w:tcPr>
          <w:p>
            <w:r>
              <w:rPr>
                <w:sz w:val="15"/>
              </w:rPr>
              <w:t>200 residents</w:t>
            </w:r>
          </w:p>
        </w:tc>
        <w:tc>
          <w:tcPr>
            <w:tcW w:type="dxa" w:w="1123"/>
          </w:tcPr>
          <w:p>
            <w:r>
              <w:rPr>
                <w:sz w:val="15"/>
              </w:rPr>
              <w:t>—</w:t>
            </w:r>
          </w:p>
        </w:tc>
        <w:tc>
          <w:tcPr>
            <w:tcW w:type="dxa" w:w="1123"/>
          </w:tcPr>
          <w:p>
            <w:r>
              <w:rPr>
                <w:sz w:val="15"/>
              </w:rPr>
              <w:t>Table 4.1 (aggregate percentages reported as recorded)</w:t>
            </w:r>
          </w:p>
        </w:tc>
        <w:tc>
          <w:tcPr>
            <w:tcW w:type="dxa" w:w="1123"/>
          </w:tcPr>
          <w:p>
            <w:r>
              <w:rPr>
                <w:sz w:val="15"/>
              </w:rPr>
              <w:t>Not archived; conditional figures not reproducible as counts</w:t>
            </w:r>
          </w:p>
        </w:tc>
      </w:tr>
      <w:tr>
        <w:tc>
          <w:tcPr>
            <w:tcW w:type="dxa" w:w="1591"/>
          </w:tcPr>
          <w:p>
            <w:r>
              <w:rPr>
                <w:sz w:val="15"/>
              </w:rPr>
              <w:t>Stage-2 analysis file (G.2)</w:t>
            </w:r>
          </w:p>
        </w:tc>
        <w:tc>
          <w:tcPr>
            <w:tcW w:type="dxa" w:w="2340"/>
          </w:tcPr>
          <w:p>
            <w:r>
              <w:rPr>
                <w:sz w:val="15"/>
              </w:rPr>
              <w:t>docs/thesis/stage2_clean.csv</w:t>
            </w:r>
          </w:p>
        </w:tc>
        <w:tc>
          <w:tcPr>
            <w:tcW w:type="dxa" w:w="1029"/>
          </w:tcPr>
          <w:p>
            <w:r>
              <w:rPr>
                <w:sz w:val="15"/>
              </w:rPr>
              <w:t>Archived 12 Jul 2026</w:t>
            </w:r>
          </w:p>
        </w:tc>
        <w:tc>
          <w:tcPr>
            <w:tcW w:type="dxa" w:w="1029"/>
          </w:tcPr>
          <w:p>
            <w:r>
              <w:rPr>
                <w:sz w:val="15"/>
              </w:rPr>
              <w:t>S2-P001–S2-P030 (30 analysed)</w:t>
            </w:r>
          </w:p>
        </w:tc>
        <w:tc>
          <w:tcPr>
            <w:tcW w:type="dxa" w:w="1123"/>
          </w:tcPr>
          <w:p>
            <w:r>
              <w:rPr>
                <w:sz w:val="15"/>
              </w:rPr>
              <w:t>Direct counts, paired differences, Wilson intervals, Fisher exact (no script deposited)</w:t>
            </w:r>
          </w:p>
        </w:tc>
        <w:tc>
          <w:tcPr>
            <w:tcW w:type="dxa" w:w="1123"/>
          </w:tcPr>
          <w:p>
            <w:r>
              <w:rPr>
                <w:sz w:val="15"/>
              </w:rPr>
              <w:t>§5.5; Tables 5.2, 6.5 (Stage-2 rows); Figures 5.4, 5.5</w:t>
            </w:r>
          </w:p>
        </w:tc>
        <w:tc>
          <w:tcPr>
            <w:tcW w:type="dxa" w:w="1123"/>
          </w:tcPr>
          <w:p>
            <w:r>
              <w:rPr>
                <w:sz w:val="15"/>
              </w:rPr>
              <w:t>Bound; S2-P015 failed verification, retained with sensitivity note</w:t>
            </w:r>
          </w:p>
        </w:tc>
      </w:tr>
      <w:tr>
        <w:tc>
          <w:tcPr>
            <w:tcW w:type="dxa" w:w="1591"/>
          </w:tcPr>
          <w:p>
            <w:r>
              <w:rPr>
                <w:sz w:val="15"/>
              </w:rPr>
              <w:t>FRA_32 data set as received (G.2)</w:t>
            </w:r>
          </w:p>
        </w:tc>
        <w:tc>
          <w:tcPr>
            <w:tcW w:type="dxa" w:w="2340"/>
          </w:tcPr>
          <w:p>
            <w:r>
              <w:rPr>
                <w:sz w:val="15"/>
              </w:rPr>
              <w:t>data_entry/incoming/stage2/FRA_32_Data_set_updated_as_received_2026-09-05.docx</w:t>
            </w:r>
          </w:p>
        </w:tc>
        <w:tc>
          <w:tcPr>
            <w:tcW w:type="dxa" w:w="1029"/>
          </w:tcPr>
          <w:p>
            <w:r>
              <w:rPr>
                <w:sz w:val="15"/>
              </w:rPr>
              <w:t>Received 5 Sep 2026; reconciled 6 Sep 2026</w:t>
            </w:r>
          </w:p>
        </w:tc>
        <w:tc>
          <w:tcPr>
            <w:tcW w:type="dxa" w:w="1029"/>
          </w:tcPr>
          <w:p>
            <w:r>
              <w:rPr>
                <w:sz w:val="15"/>
              </w:rPr>
              <w:t>32 records (30 + S2-C001, S2-C002)</w:t>
            </w:r>
          </w:p>
        </w:tc>
        <w:tc>
          <w:tcPr>
            <w:tcW w:type="dxa" w:w="1123"/>
          </w:tcPr>
          <w:p>
            <w:r>
              <w:rPr>
                <w:sz w:val="15"/>
              </w:rPr>
              <w:t>Reconciled against the analysis file</w:t>
            </w:r>
          </w:p>
        </w:tc>
        <w:tc>
          <w:tcPr>
            <w:tcW w:type="dxa" w:w="1123"/>
          </w:tcPr>
          <w:p>
            <w:r>
              <w:rPr>
                <w:sz w:val="15"/>
              </w:rPr>
              <w:t>§5.5 provenance</w:t>
            </w:r>
          </w:p>
        </w:tc>
        <w:tc>
          <w:tcPr>
            <w:tcW w:type="dxa" w:w="1123"/>
          </w:tcPr>
          <w:p>
            <w:r>
              <w:rPr>
                <w:sz w:val="15"/>
              </w:rPr>
              <w:t>Held in repository</w:t>
            </w:r>
          </w:p>
        </w:tc>
      </w:tr>
      <w:tr>
        <w:tc>
          <w:tcPr>
            <w:tcW w:type="dxa" w:w="1591"/>
          </w:tcPr>
          <w:p>
            <w:r>
              <w:rPr>
                <w:sz w:val="15"/>
              </w:rPr>
              <w:t>Stage-2 logbook with player IDs (ID register) (G.2)</w:t>
            </w:r>
          </w:p>
        </w:tc>
        <w:tc>
          <w:tcPr>
            <w:tcW w:type="dxa" w:w="2340"/>
          </w:tcPr>
          <w:p>
            <w:r>
              <w:rPr>
                <w:sz w:val="15"/>
              </w:rPr>
              <w:t>data_entry/incoming/stage2/Stage2_FRA_Logbook_with_Player_IDs_as_received_2026-09-11.pdf</w:t>
            </w:r>
          </w:p>
        </w:tc>
        <w:tc>
          <w:tcPr>
            <w:tcW w:type="dxa" w:w="1029"/>
          </w:tcPr>
          <w:p>
            <w:r>
              <w:rPr>
                <w:sz w:val="15"/>
              </w:rPr>
              <w:t>Received 11 Sep 2026</w:t>
            </w:r>
          </w:p>
        </w:tc>
        <w:tc>
          <w:tcPr>
            <w:tcW w:type="dxa" w:w="1029"/>
          </w:tcPr>
          <w:p>
            <w:r>
              <w:rPr>
                <w:sz w:val="15"/>
              </w:rPr>
              <w:t>32 records</w:t>
            </w:r>
          </w:p>
        </w:tc>
        <w:tc>
          <w:tcPr>
            <w:tcW w:type="dxa" w:w="1123"/>
          </w:tcPr>
          <w:p>
            <w:r>
              <w:rPr>
                <w:sz w:val="15"/>
              </w:rPr>
              <w:t>Column-provenance source for satisfaction and symptom variables</w:t>
            </w:r>
          </w:p>
        </w:tc>
        <w:tc>
          <w:tcPr>
            <w:tcW w:type="dxa" w:w="1123"/>
          </w:tcPr>
          <w:p>
            <w:r>
              <w:rPr>
                <w:sz w:val="15"/>
              </w:rPr>
              <w:t>§3.4, §5.5, §5.6 (F4 identifiers)</w:t>
            </w:r>
          </w:p>
        </w:tc>
        <w:tc>
          <w:tcPr>
            <w:tcW w:type="dxa" w:w="1123"/>
          </w:tcPr>
          <w:p>
            <w:r>
              <w:rPr>
                <w:sz w:val="15"/>
              </w:rPr>
              <w:t>Held in repository</w:t>
            </w:r>
          </w:p>
        </w:tc>
      </w:tr>
      <w:tr>
        <w:tc>
          <w:tcPr>
            <w:tcW w:type="dxa" w:w="1591"/>
          </w:tcPr>
          <w:p>
            <w:r>
              <w:rPr>
                <w:sz w:val="15"/>
              </w:rPr>
              <w:t>Stage-2 after-game questionnaire sheets (Appendix C)</w:t>
            </w:r>
          </w:p>
        </w:tc>
        <w:tc>
          <w:tcPr>
            <w:tcW w:type="dxa" w:w="2340"/>
          </w:tcPr>
          <w:p>
            <w:r>
              <w:rPr>
                <w:sz w:val="15"/>
              </w:rPr>
              <w:t>Not in repository</w:t>
            </w:r>
          </w:p>
        </w:tc>
        <w:tc>
          <w:tcPr>
            <w:tcW w:type="dxa" w:w="1029"/>
          </w:tcPr>
          <w:p>
            <w:r>
              <w:rPr>
                <w:sz w:val="15"/>
              </w:rPr>
              <w:t>June–August 2025</w:t>
            </w:r>
          </w:p>
        </w:tc>
        <w:tc>
          <w:tcPr>
            <w:tcW w:type="dxa" w:w="1029"/>
          </w:tcPr>
          <w:p>
            <w:r>
              <w:rPr>
                <w:sz w:val="15"/>
              </w:rPr>
              <w:t>30 participants</w:t>
            </w:r>
          </w:p>
        </w:tc>
        <w:tc>
          <w:tcPr>
            <w:tcW w:type="dxa" w:w="1123"/>
          </w:tcPr>
          <w:p>
            <w:r>
              <w:rPr>
                <w:sz w:val="15"/>
              </w:rPr>
              <w:t>Satisfaction category per participant carried into G.2</w:t>
            </w:r>
          </w:p>
        </w:tc>
        <w:tc>
          <w:tcPr>
            <w:tcW w:type="dxa" w:w="1123"/>
          </w:tcPr>
          <w:p>
            <w:r>
              <w:rPr>
                <w:sz w:val="15"/>
              </w:rPr>
              <w:t>§5.5 satisfaction association (p = 0.013)</w:t>
            </w:r>
          </w:p>
        </w:tc>
        <w:tc>
          <w:tcPr>
            <w:tcW w:type="dxa" w:w="1123"/>
          </w:tcPr>
          <w:p>
            <w:r>
              <w:rPr>
                <w:sz w:val="15"/>
              </w:rPr>
              <w:t>Not filed; form and anchors not on file</w:t>
            </w:r>
          </w:p>
        </w:tc>
      </w:tr>
      <w:tr>
        <w:tc>
          <w:tcPr>
            <w:tcW w:type="dxa" w:w="1591"/>
          </w:tcPr>
          <w:p>
            <w:r>
              <w:rPr>
                <w:sz w:val="15"/>
              </w:rPr>
              <w:t>Stage-2 nine post-deployment interviews (Appendix C)</w:t>
            </w:r>
          </w:p>
        </w:tc>
        <w:tc>
          <w:tcPr>
            <w:tcW w:type="dxa" w:w="2340"/>
          </w:tcPr>
          <w:p>
            <w:r>
              <w:rPr>
                <w:sz w:val="15"/>
              </w:rPr>
              <w:t>data_entry/incoming/stage2/Stage2_Questionnaire_9Interviews_as_received_2026-09-10.pdf; Stage2_Questionnaire_Entry_Workbook_as_received_2026-09-11.xlsx</w:t>
            </w:r>
          </w:p>
        </w:tc>
        <w:tc>
          <w:tcPr>
            <w:tcW w:type="dxa" w:w="1029"/>
          </w:tcPr>
          <w:p>
            <w:r>
              <w:rPr>
                <w:sz w:val="15"/>
              </w:rPr>
              <w:t>Interviews Aug–Sep 2025; entry record received 10–11 Sep 2026</w:t>
            </w:r>
          </w:p>
        </w:tc>
        <w:tc>
          <w:tcPr>
            <w:tcW w:type="dxa" w:w="1029"/>
          </w:tcPr>
          <w:p>
            <w:r>
              <w:rPr>
                <w:sz w:val="15"/>
              </w:rPr>
              <w:t>9 sustained participants</w:t>
            </w:r>
          </w:p>
        </w:tc>
        <w:tc>
          <w:tcPr>
            <w:tcW w:type="dxa" w:w="1123"/>
          </w:tcPr>
          <w:p>
            <w:r>
              <w:rPr>
                <w:sz w:val="15"/>
              </w:rPr>
              <w:t>Entered ratings and free text</w:t>
            </w:r>
          </w:p>
        </w:tc>
        <w:tc>
          <w:tcPr>
            <w:tcW w:type="dxa" w:w="1123"/>
          </w:tcPr>
          <w:p>
            <w:r>
              <w:rPr>
                <w:sz w:val="15"/>
              </w:rPr>
              <w:t>Appendix C ratings; §5.6</w:t>
            </w:r>
          </w:p>
        </w:tc>
        <w:tc>
          <w:tcPr>
            <w:tcW w:type="dxa" w:w="1123"/>
          </w:tcPr>
          <w:p>
            <w:r>
              <w:rPr>
                <w:sz w:val="15"/>
              </w:rPr>
              <w:t>Held in repository (entry record); completed forms not filed</w:t>
            </w:r>
          </w:p>
        </w:tc>
      </w:tr>
      <w:tr>
        <w:tc>
          <w:tcPr>
            <w:tcW w:type="dxa" w:w="1591"/>
          </w:tcPr>
          <w:p>
            <w:r>
              <w:rPr>
                <w:sz w:val="15"/>
              </w:rPr>
              <w:t>Stage-2 FIAS composite scores (Appendix B)</w:t>
            </w:r>
          </w:p>
        </w:tc>
        <w:tc>
          <w:tcPr>
            <w:tcW w:type="dxa" w:w="2340"/>
          </w:tcPr>
          <w:p>
            <w:r>
              <w:rPr>
                <w:sz w:val="15"/>
              </w:rPr>
              <w:t>Author's working record</w:t>
            </w:r>
          </w:p>
        </w:tc>
        <w:tc>
          <w:tcPr>
            <w:tcW w:type="dxa" w:w="1029"/>
          </w:tcPr>
          <w:p>
            <w:r>
              <w:rPr>
                <w:sz w:val="15"/>
              </w:rPr>
              <w:t>2025</w:t>
            </w:r>
          </w:p>
        </w:tc>
        <w:tc>
          <w:tcPr>
            <w:tcW w:type="dxa" w:w="1029"/>
          </w:tcPr>
          <w:p>
            <w:r>
              <w:rPr>
                <w:sz w:val="15"/>
              </w:rPr>
              <w:t>30 participants</w:t>
            </w:r>
          </w:p>
        </w:tc>
        <w:tc>
          <w:tcPr>
            <w:tcW w:type="dxa" w:w="1123"/>
          </w:tcPr>
          <w:p>
            <w:r>
              <w:rPr>
                <w:sz w:val="15"/>
              </w:rPr>
              <w:t>Thirteen-attribute rule (not reproduced)</w:t>
            </w:r>
          </w:p>
        </w:tc>
        <w:tc>
          <w:tcPr>
            <w:tcW w:type="dxa" w:w="1123"/>
          </w:tcPr>
          <w:p>
            <w:r>
              <w:rPr>
                <w:sz w:val="15"/>
              </w:rPr>
              <w:t>Figure B.1 (descriptive only)</w:t>
            </w:r>
          </w:p>
        </w:tc>
        <w:tc>
          <w:tcPr>
            <w:tcW w:type="dxa" w:w="1123"/>
          </w:tcPr>
          <w:p>
            <w:r>
              <w:rPr>
                <w:sz w:val="15"/>
              </w:rPr>
              <w:t>Rule not deposited; composite carries no evidential weight</w:t>
            </w:r>
          </w:p>
        </w:tc>
      </w:tr>
      <w:tr>
        <w:tc>
          <w:tcPr>
            <w:tcW w:type="dxa" w:w="1591"/>
          </w:tcPr>
          <w:p>
            <w:r>
              <w:rPr>
                <w:sz w:val="15"/>
              </w:rPr>
              <w:t>Stage-3 data logbook with aggregate summary (G.3)</w:t>
            </w:r>
          </w:p>
        </w:tc>
        <w:tc>
          <w:tcPr>
            <w:tcW w:type="dxa" w:w="2340"/>
          </w:tcPr>
          <w:p>
            <w:r>
              <w:rPr>
                <w:sz w:val="15"/>
              </w:rPr>
              <w:t>docs/thesis/Stage3_Data_Logbook_120cases_with_Reconciliation.xlsx (Preliminary_Summary sheet)</w:t>
            </w:r>
          </w:p>
        </w:tc>
        <w:tc>
          <w:tcPr>
            <w:tcW w:type="dxa" w:w="1029"/>
          </w:tcPr>
          <w:p>
            <w:r>
              <w:rPr>
                <w:sz w:val="15"/>
              </w:rPr>
              <w:t>Summary compiled July 2026</w:t>
            </w:r>
          </w:p>
        </w:tc>
        <w:tc>
          <w:tcPr>
            <w:tcW w:type="dxa" w:w="1029"/>
          </w:tcPr>
          <w:p>
            <w:r>
              <w:rPr>
                <w:sz w:val="15"/>
              </w:rPr>
              <w:t>120 compiled participants (38/41/41)</w:t>
            </w:r>
          </w:p>
        </w:tc>
        <w:tc>
          <w:tcPr>
            <w:tcW w:type="dxa" w:w="1123"/>
          </w:tcPr>
          <w:p>
            <w:r>
              <w:rPr>
                <w:sz w:val="15"/>
              </w:rPr>
              <w:t>Author's compilation; internal arithmetic only</w:t>
            </w:r>
          </w:p>
        </w:tc>
        <w:tc>
          <w:tcPr>
            <w:tcW w:type="dxa" w:w="1123"/>
          </w:tcPr>
          <w:p>
            <w:r>
              <w:rPr>
                <w:sz w:val="15"/>
              </w:rPr>
              <w:t>Tables 6.1–6.3, 6.5 (Stage-3 rows); Figures 6.1–6.3; abstract</w:t>
            </w:r>
          </w:p>
        </w:tc>
        <w:tc>
          <w:tcPr>
            <w:tcW w:type="dxa" w:w="1123"/>
          </w:tcPr>
          <w:p>
            <w:r>
              <w:rPr>
                <w:sz w:val="15"/>
              </w:rPr>
              <w:t>Bound; participant-level sheets empty; returns not retained</w:t>
            </w:r>
          </w:p>
        </w:tc>
      </w:tr>
      <w:tr>
        <w:tc>
          <w:tcPr>
            <w:tcW w:type="dxa" w:w="1591"/>
          </w:tcPr>
          <w:p>
            <w:r>
              <w:rPr>
                <w:sz w:val="15"/>
              </w:rPr>
              <w:t>Stage-3 returned results and questionnaire responses</w:t>
            </w:r>
          </w:p>
        </w:tc>
        <w:tc>
          <w:tcPr>
            <w:tcW w:type="dxa" w:w="2340"/>
          </w:tcPr>
          <w:p>
            <w:r>
              <w:rPr>
                <w:sz w:val="15"/>
              </w:rPr>
              <w:t>Not retained</w:t>
            </w:r>
          </w:p>
        </w:tc>
        <w:tc>
          <w:tcPr>
            <w:tcW w:type="dxa" w:w="1029"/>
          </w:tcPr>
          <w:p>
            <w:r>
              <w:rPr>
                <w:sz w:val="15"/>
              </w:rPr>
              <w:t>April–July 2026</w:t>
            </w:r>
          </w:p>
        </w:tc>
        <w:tc>
          <w:tcPr>
            <w:tcW w:type="dxa" w:w="1029"/>
          </w:tcPr>
          <w:p>
            <w:r>
              <w:rPr>
                <w:sz w:val="15"/>
              </w:rPr>
              <w:t>120 participants</w:t>
            </w:r>
          </w:p>
        </w:tc>
        <w:tc>
          <w:tcPr>
            <w:tcW w:type="dxa" w:w="1123"/>
          </w:tcPr>
          <w:p>
            <w:r>
              <w:rPr>
                <w:sz w:val="15"/>
              </w:rPr>
              <w:t>Compiled into the summary</w:t>
            </w:r>
          </w:p>
        </w:tc>
        <w:tc>
          <w:tcPr>
            <w:tcW w:type="dxa" w:w="1123"/>
          </w:tcPr>
          <w:p>
            <w:r>
              <w:rPr>
                <w:sz w:val="15"/>
              </w:rPr>
              <w:t>—</w:t>
            </w:r>
          </w:p>
        </w:tc>
        <w:tc>
          <w:tcPr>
            <w:tcW w:type="dxa" w:w="1123"/>
          </w:tcPr>
          <w:p>
            <w:r>
              <w:rPr>
                <w:sz w:val="15"/>
              </w:rPr>
              <w:t>Not retained as separate records</w:t>
            </w:r>
          </w:p>
        </w:tc>
      </w:tr>
      <w:tr>
        <w:tc>
          <w:tcPr>
            <w:tcW w:type="dxa" w:w="1591"/>
          </w:tcPr>
          <w:p>
            <w:r>
              <w:rPr>
                <w:sz w:val="15"/>
              </w:rPr>
              <w:t>Stage-3A game builds (G.0A)</w:t>
            </w:r>
          </w:p>
        </w:tc>
        <w:tc>
          <w:tcPr>
            <w:tcW w:type="dxa" w:w="2340"/>
          </w:tcPr>
          <w:p>
            <w:r>
              <w:rPr>
                <w:sz w:val="15"/>
              </w:rPr>
              <w:t>docs/thesis/game/Alpine_Coordination_Game_Stage31_v1.0_as_received_2026-09-30.html; Alpine_Coordination_Game_Stage3_v2.2.html</w:t>
            </w:r>
          </w:p>
        </w:tc>
        <w:tc>
          <w:tcPr>
            <w:tcW w:type="dxa" w:w="1029"/>
          </w:tcPr>
          <w:p>
            <w:r>
              <w:rPr>
                <w:sz w:val="15"/>
              </w:rPr>
              <w:t>v1.0 received 30 Sep 2026; v2.2 created 13 Jul 2026</w:t>
            </w:r>
          </w:p>
        </w:tc>
        <w:tc>
          <w:tcPr>
            <w:tcW w:type="dxa" w:w="1029"/>
          </w:tcPr>
          <w:p>
            <w:r>
              <w:rPr>
                <w:sz w:val="15"/>
              </w:rPr>
              <w:t>Build per participant not recorded</w:t>
            </w:r>
          </w:p>
        </w:tc>
        <w:tc>
          <w:tcPr>
            <w:tcW w:type="dxa" w:w="1123"/>
          </w:tcPr>
          <w:p>
            <w:r>
              <w:rPr>
                <w:sz w:val="15"/>
              </w:rPr>
              <w:t>—</w:t>
            </w:r>
          </w:p>
        </w:tc>
        <w:tc>
          <w:tcPr>
            <w:tcW w:type="dxa" w:w="1123"/>
          </w:tcPr>
          <w:p>
            <w:r>
              <w:rPr>
                <w:sz w:val="15"/>
              </w:rPr>
              <w:t>§6.4; Paper 3 Figure 1</w:t>
            </w:r>
          </w:p>
        </w:tc>
        <w:tc>
          <w:tcPr>
            <w:tcW w:type="dxa" w:w="1123"/>
          </w:tcPr>
          <w:p>
            <w:r>
              <w:rPr>
                <w:sz w:val="15"/>
              </w:rPr>
              <w:t>Held in repository</w:t>
            </w:r>
          </w:p>
        </w:tc>
      </w:tr>
      <w:tr>
        <w:tc>
          <w:tcPr>
            <w:tcW w:type="dxa" w:w="1591"/>
          </w:tcPr>
          <w:p>
            <w:r>
              <w:rPr>
                <w:sz w:val="15"/>
              </w:rPr>
              <w:t>Stage-3 distributor invitations and participant invitation (G.5)</w:t>
            </w:r>
          </w:p>
        </w:tc>
        <w:tc>
          <w:tcPr>
            <w:tcW w:type="dxa" w:w="2340"/>
          </w:tcPr>
          <w:p>
            <w:r>
              <w:rPr>
                <w:sz w:val="15"/>
              </w:rPr>
              <w:t>docs/thesis/evidence/Stage3_distributor_invitation_*.jpeg; Research_Participant_Invitation_Decoupled_Skiing_Game_as_received_2026-08-04.docx</w:t>
            </w:r>
          </w:p>
        </w:tc>
        <w:tc>
          <w:tcPr>
            <w:tcW w:type="dxa" w:w="1029"/>
          </w:tcPr>
          <w:p>
            <w:r>
              <w:rPr>
                <w:sz w:val="15"/>
              </w:rPr>
              <w:t>Received 4 Aug 2026 (reconstruction) and Sep 2026</w:t>
            </w:r>
          </w:p>
        </w:tc>
        <w:tc>
          <w:tcPr>
            <w:tcW w:type="dxa" w:w="1029"/>
          </w:tcPr>
          <w:p>
            <w:r>
              <w:rPr>
                <w:sz w:val="15"/>
              </w:rPr>
              <w:t>—</w:t>
            </w:r>
          </w:p>
        </w:tc>
        <w:tc>
          <w:tcPr>
            <w:tcW w:type="dxa" w:w="1123"/>
          </w:tcPr>
          <w:p>
            <w:r>
              <w:rPr>
                <w:sz w:val="15"/>
              </w:rPr>
              <w:t>—</w:t>
            </w:r>
          </w:p>
        </w:tc>
        <w:tc>
          <w:tcPr>
            <w:tcW w:type="dxa" w:w="1123"/>
          </w:tcPr>
          <w:p>
            <w:r>
              <w:rPr>
                <w:sz w:val="15"/>
              </w:rPr>
              <w:t>§3.4, §6.4</w:t>
            </w:r>
          </w:p>
        </w:tc>
        <w:tc>
          <w:tcPr>
            <w:tcW w:type="dxa" w:w="1123"/>
          </w:tcPr>
          <w:p>
            <w:r>
              <w:rPr>
                <w:sz w:val="15"/>
              </w:rPr>
              <w:t>Held in repository; no return index</w:t>
            </w:r>
          </w:p>
        </w:tc>
      </w:tr>
      <w:tr>
        <w:tc>
          <w:tcPr>
            <w:tcW w:type="dxa" w:w="1591"/>
          </w:tcPr>
          <w:p>
            <w:r>
              <w:rPr>
                <w:sz w:val="15"/>
              </w:rPr>
              <w:t>Synthetic and reconstructed Stage-3 files (G.8)</w:t>
            </w:r>
          </w:p>
        </w:tc>
        <w:tc>
          <w:tcPr>
            <w:tcW w:type="dxa" w:w="2340"/>
          </w:tcPr>
          <w:p>
            <w:r>
              <w:rPr>
                <w:sz w:val="15"/>
              </w:rPr>
              <w:t>data_entry/Stage3_Data_Entry_DEMO_SYNTHETIC.xlsx; data_entry/SYNTHETIC_copies_received/</w:t>
            </w:r>
          </w:p>
        </w:tc>
        <w:tc>
          <w:tcPr>
            <w:tcW w:type="dxa" w:w="1029"/>
          </w:tcPr>
          <w:p>
            <w:r>
              <w:rPr>
                <w:sz w:val="15"/>
              </w:rPr>
              <w:t>Jul–Oct 2026</w:t>
            </w:r>
          </w:p>
        </w:tc>
        <w:tc>
          <w:tcPr>
            <w:tcW w:type="dxa" w:w="1029"/>
          </w:tcPr>
          <w:p>
            <w:r>
              <w:rPr>
                <w:sz w:val="15"/>
              </w:rPr>
              <w:t>None (fictitious)</w:t>
            </w:r>
          </w:p>
        </w:tc>
        <w:tc>
          <w:tcPr>
            <w:tcW w:type="dxa" w:w="1123"/>
          </w:tcPr>
          <w:p>
            <w:r>
              <w:rPr>
                <w:sz w:val="15"/>
              </w:rPr>
              <w:t>—</w:t>
            </w:r>
          </w:p>
        </w:tc>
        <w:tc>
          <w:tcPr>
            <w:tcW w:type="dxa" w:w="1123"/>
          </w:tcPr>
          <w:p>
            <w:r>
              <w:rPr>
                <w:sz w:val="15"/>
              </w:rPr>
              <w:t>None</w:t>
            </w:r>
          </w:p>
        </w:tc>
        <w:tc>
          <w:tcPr>
            <w:tcW w:type="dxa" w:w="1123"/>
          </w:tcPr>
          <w:p>
            <w:r>
              <w:rPr>
                <w:sz w:val="15"/>
              </w:rPr>
              <w:t>Labelled; never evidence</w:t>
            </w:r>
          </w:p>
        </w:tc>
      </w:tr>
      <w:tr>
        <w:tc>
          <w:tcPr>
            <w:tcW w:type="dxa" w:w="1591"/>
          </w:tcPr>
          <w:p>
            <w:r>
              <w:rPr>
                <w:sz w:val="15"/>
              </w:rPr>
              <w:t>Expert consultation consents and records (Appendix H)</w:t>
            </w:r>
          </w:p>
        </w:tc>
        <w:tc>
          <w:tcPr>
            <w:tcW w:type="dxa" w:w="2340"/>
          </w:tcPr>
          <w:p>
            <w:r>
              <w:rPr>
                <w:sz w:val="15"/>
              </w:rPr>
              <w:t>docs/thesis/evidence/Consent_Form_*.pdf; Expert_Interview_Guide_2026.docx</w:t>
            </w:r>
          </w:p>
        </w:tc>
        <w:tc>
          <w:tcPr>
            <w:tcW w:type="dxa" w:w="1029"/>
          </w:tcPr>
          <w:p>
            <w:r>
              <w:rPr>
                <w:sz w:val="15"/>
              </w:rPr>
              <w:t>Signed 22 Jul–11 Aug 2026</w:t>
            </w:r>
          </w:p>
        </w:tc>
        <w:tc>
          <w:tcPr>
            <w:tcW w:type="dxa" w:w="1029"/>
          </w:tcPr>
          <w:p>
            <w:r>
              <w:rPr>
                <w:sz w:val="15"/>
              </w:rPr>
              <w:t>4 experts</w:t>
            </w:r>
          </w:p>
        </w:tc>
        <w:tc>
          <w:tcPr>
            <w:tcW w:type="dxa" w:w="1123"/>
          </w:tcPr>
          <w:p>
            <w:r>
              <w:rPr>
                <w:sz w:val="15"/>
              </w:rPr>
              <w:t>Author's notes; one audio transcript (7 Sep 2026)</w:t>
            </w:r>
          </w:p>
        </w:tc>
        <w:tc>
          <w:tcPr>
            <w:tcW w:type="dxa" w:w="1123"/>
          </w:tcPr>
          <w:p>
            <w:r>
              <w:rPr>
                <w:sz w:val="15"/>
              </w:rPr>
              <w:t>§6.12; Appendix H</w:t>
            </w:r>
          </w:p>
        </w:tc>
        <w:tc>
          <w:tcPr>
            <w:tcW w:type="dxa" w:w="1123"/>
          </w:tcPr>
          <w:p>
            <w:r>
              <w:rPr>
                <w:sz w:val="15"/>
              </w:rPr>
              <w:t>Held in repository; two member-checks not returned</w:t>
            </w:r>
          </w:p>
        </w:tc>
      </w:tr>
      <w:tr>
        <w:tc>
          <w:tcPr>
            <w:tcW w:type="dxa" w:w="1591"/>
          </w:tcPr>
          <w:p>
            <w:r>
              <w:rPr>
                <w:sz w:val="15"/>
              </w:rPr>
              <w:t>Ethics approval memo and application drafts</w:t>
            </w:r>
          </w:p>
        </w:tc>
        <w:tc>
          <w:tcPr>
            <w:tcW w:type="dxa" w:w="2340"/>
          </w:tcPr>
          <w:p>
            <w:r>
              <w:rPr>
                <w:sz w:val="15"/>
              </w:rPr>
              <w:t>docs/thesis/ethics/HSEARS20260805008_Approval_Memo_as_received_2026-09-11.pdf; HSESC_*.docx (pre-submission drafts)</w:t>
            </w:r>
          </w:p>
        </w:tc>
        <w:tc>
          <w:tcPr>
            <w:tcW w:type="dxa" w:w="1029"/>
          </w:tcPr>
          <w:p>
            <w:r>
              <w:rPr>
                <w:sz w:val="15"/>
              </w:rPr>
              <w:t>Approved 6 Aug 2026</w:t>
            </w:r>
          </w:p>
        </w:tc>
        <w:tc>
          <w:tcPr>
            <w:tcW w:type="dxa" w:w="1029"/>
          </w:tcPr>
          <w:p>
            <w:r>
              <w:rPr>
                <w:sz w:val="15"/>
              </w:rPr>
              <w:t>—</w:t>
            </w:r>
          </w:p>
        </w:tc>
        <w:tc>
          <w:tcPr>
            <w:tcW w:type="dxa" w:w="1123"/>
          </w:tcPr>
          <w:p>
            <w:r>
              <w:rPr>
                <w:sz w:val="15"/>
              </w:rPr>
              <w:t>—</w:t>
            </w:r>
          </w:p>
        </w:tc>
        <w:tc>
          <w:tcPr>
            <w:tcW w:type="dxa" w:w="1123"/>
          </w:tcPr>
          <w:p>
            <w:r>
              <w:rPr>
                <w:sz w:val="15"/>
              </w:rPr>
              <w:t>§3.4; Appendix I.7</w:t>
            </w:r>
          </w:p>
        </w:tc>
        <w:tc>
          <w:tcPr>
            <w:tcW w:type="dxa" w:w="1123"/>
          </w:tcPr>
          <w:p>
            <w:r>
              <w:rPr>
                <w:sz w:val="15"/>
              </w:rPr>
              <w:t>Memo held; application as submitted held by the author</w:t>
            </w:r>
          </w:p>
        </w:tc>
      </w:tr>
      <w:tr>
        <w:tc>
          <w:tcPr>
            <w:tcW w:type="dxa" w:w="1591"/>
          </w:tcPr>
          <w:p>
            <w:r>
              <w:rPr>
                <w:sz w:val="15"/>
              </w:rPr>
              <w:t>Development-office videos and facility photograph (G.4, G.10)</w:t>
            </w:r>
          </w:p>
        </w:tc>
        <w:tc>
          <w:tcPr>
            <w:tcW w:type="dxa" w:w="2340"/>
          </w:tcPr>
          <w:p>
            <w:r>
              <w:rPr>
                <w:sz w:val="15"/>
              </w:rPr>
              <w:t>docs/thesis/evidence/platform_demo_2024-08-27_1082.mov; gameplay_screenrecording_2024-08-27_1074.mov; FRA_station_Guangzhou_IMG_0886_original.jpeg</w:t>
            </w:r>
          </w:p>
        </w:tc>
        <w:tc>
          <w:tcPr>
            <w:tcW w:type="dxa" w:w="1029"/>
          </w:tcPr>
          <w:p>
            <w:r>
              <w:rPr>
                <w:sz w:val="15"/>
              </w:rPr>
              <w:t>27 Aug 2024; 2025</w:t>
            </w:r>
          </w:p>
        </w:tc>
        <w:tc>
          <w:tcPr>
            <w:tcW w:type="dxa" w:w="1029"/>
          </w:tcPr>
          <w:p>
            <w:r>
              <w:rPr>
                <w:sz w:val="15"/>
              </w:rPr>
              <w:t>Two control persons; no participant</w:t>
            </w:r>
          </w:p>
        </w:tc>
        <w:tc>
          <w:tcPr>
            <w:tcW w:type="dxa" w:w="1123"/>
          </w:tcPr>
          <w:p>
            <w:r>
              <w:rPr>
                <w:sz w:val="15"/>
              </w:rPr>
              <w:t>—</w:t>
            </w:r>
          </w:p>
        </w:tc>
        <w:tc>
          <w:tcPr>
            <w:tcW w:type="dxa" w:w="1123"/>
          </w:tcPr>
          <w:p>
            <w:r>
              <w:rPr>
                <w:sz w:val="15"/>
              </w:rPr>
              <w:t>Figures 4.1B, 5.1A</w:t>
            </w:r>
          </w:p>
        </w:tc>
        <w:tc>
          <w:tcPr>
            <w:tcW w:type="dxa" w:w="1123"/>
          </w:tcPr>
          <w:p>
            <w:r>
              <w:rPr>
                <w:sz w:val="15"/>
              </w:rPr>
              <w:t>Held in repository; control person's consent not on file</w:t>
            </w:r>
          </w:p>
        </w:tc>
      </w:tr>
      <w:tr>
        <w:tc>
          <w:tcPr>
            <w:tcW w:type="dxa" w:w="1591"/>
          </w:tcPr>
          <w:p>
            <w:r>
              <w:rPr>
                <w:sz w:val="15"/>
              </w:rPr>
              <w:t>Deployed Stage-2 game records: specification (29 Aug 2024), code print, game.html v1, game_v2.html v2, July 2026 overview (G.7, G.0A)</w:t>
            </w:r>
          </w:p>
        </w:tc>
        <w:tc>
          <w:tcPr>
            <w:tcW w:type="dxa" w:w="2340"/>
          </w:tcPr>
          <w:p>
            <w:r>
              <w:rPr>
                <w:sz w:val="15"/>
              </w:rPr>
              <w:t>docs/thesis/game/2024_threejs_prototype/</w:t>
            </w:r>
          </w:p>
        </w:tc>
        <w:tc>
          <w:tcPr>
            <w:tcW w:type="dxa" w:w="1029"/>
          </w:tcPr>
          <w:p>
            <w:r>
              <w:rPr>
                <w:sz w:val="15"/>
              </w:rPr>
              <w:t>29–30 Aug 2024; 12 Jul 2026; received 3 Oct 2026</w:t>
            </w:r>
          </w:p>
        </w:tc>
        <w:tc>
          <w:tcPr>
            <w:tcW w:type="dxa" w:w="1029"/>
          </w:tcPr>
          <w:p>
            <w:r>
              <w:rPr>
                <w:sz w:val="15"/>
              </w:rPr>
              <w:t>None (artefact record)</w:t>
            </w:r>
          </w:p>
        </w:tc>
        <w:tc>
          <w:tcPr>
            <w:tcW w:type="dxa" w:w="1123"/>
          </w:tcPr>
          <w:p>
            <w:r>
              <w:rPr>
                <w:sz w:val="15"/>
              </w:rPr>
              <w:t>—</w:t>
            </w:r>
          </w:p>
        </w:tc>
        <w:tc>
          <w:tcPr>
            <w:tcW w:type="dxa" w:w="1123"/>
          </w:tcPr>
          <w:p>
            <w:r>
              <w:rPr>
                <w:sz w:val="15"/>
              </w:rPr>
              <w:t>§5.2A, §5.3–§5.3.7 and Appendix E.1 (artefact description); G.0A row 2</w:t>
            </w:r>
          </w:p>
        </w:tc>
        <w:tc>
          <w:tcPr>
            <w:tcW w:type="dxa" w:w="1123"/>
          </w:tcPr>
          <w:p>
            <w:r>
              <w:rPr>
                <w:sz w:val="15"/>
              </w:rPr>
              <w:t>Held in repository with SHA-256</w:t>
            </w:r>
          </w:p>
        </w:tc>
      </w:tr>
      <w:tr>
        <w:tc>
          <w:tcPr>
            <w:tcW w:type="dxa" w:w="1591"/>
          </w:tcPr>
          <w:p>
            <w:r>
              <w:rPr>
                <w:sz w:val="15"/>
              </w:rPr>
              <w:t>Stage-2 game screen recording, 15 Jan 2025 (G.17)</w:t>
            </w:r>
          </w:p>
        </w:tc>
        <w:tc>
          <w:tcPr>
            <w:tcW w:type="dxa" w:w="2340"/>
          </w:tcPr>
          <w:p>
            <w:r>
              <w:rPr>
                <w:sz w:val="15"/>
              </w:rPr>
              <w:t>docs/thesis/evidence/stage2_game_screen_recording_2025-01-15/</w:t>
            </w:r>
          </w:p>
        </w:tc>
        <w:tc>
          <w:tcPr>
            <w:tcW w:type="dxa" w:w="1029"/>
          </w:tcPr>
          <w:p>
            <w:r>
              <w:rPr>
                <w:sz w:val="15"/>
              </w:rPr>
              <w:t>15 Jan 2025 (re-exports 7 Sep 2025); received 4 Oct 2026</w:t>
            </w:r>
          </w:p>
        </w:tc>
        <w:tc>
          <w:tcPr>
            <w:tcW w:type="dxa" w:w="1029"/>
          </w:tcPr>
          <w:p>
            <w:r>
              <w:rPr>
                <w:sz w:val="15"/>
              </w:rPr>
              <w:t>None (artefact record)</w:t>
            </w:r>
          </w:p>
        </w:tc>
        <w:tc>
          <w:tcPr>
            <w:tcW w:type="dxa" w:w="1123"/>
          </w:tcPr>
          <w:p>
            <w:r>
              <w:rPr>
                <w:sz w:val="15"/>
              </w:rPr>
              <w:t>—</w:t>
            </w:r>
          </w:p>
        </w:tc>
        <w:tc>
          <w:tcPr>
            <w:tcW w:type="dxa" w:w="1123"/>
          </w:tcPr>
          <w:p>
            <w:r>
              <w:rPr>
                <w:sz w:val="15"/>
              </w:rPr>
              <w:t>§5.2A, §5.3.9 (identifies the deployed game)</w:t>
            </w:r>
          </w:p>
        </w:tc>
        <w:tc>
          <w:tcPr>
            <w:tcW w:type="dxa" w:w="1123"/>
          </w:tcPr>
          <w:p>
            <w:r>
              <w:rPr>
                <w:sz w:val="15"/>
              </w:rPr>
              <w:t>Held in repository with SHA-256</w:t>
            </w:r>
          </w:p>
        </w:tc>
      </w:tr>
      <w:tr>
        <w:tc>
          <w:tcPr>
            <w:tcW w:type="dxa" w:w="1591"/>
          </w:tcPr>
          <w:p>
            <w:r>
              <w:rPr>
                <w:sz w:val="15"/>
              </w:rPr>
              <w:t>Early Stage-3 build index.html, demo script and synthetic demo animation (G.18)</w:t>
            </w:r>
          </w:p>
        </w:tc>
        <w:tc>
          <w:tcPr>
            <w:tcW w:type="dxa" w:w="2340"/>
          </w:tcPr>
          <w:p>
            <w:r>
              <w:rPr>
                <w:sz w:val="15"/>
              </w:rPr>
              <w:t>docs/thesis/game/intelligent_skiing_trainer_build_received_2026-10-04/</w:t>
            </w:r>
          </w:p>
        </w:tc>
        <w:tc>
          <w:tcPr>
            <w:tcW w:type="dxa" w:w="1029"/>
          </w:tcPr>
          <w:p>
            <w:r>
              <w:rPr>
                <w:sz w:val="15"/>
              </w:rPr>
              <w:t>2026, date not stated; received 4 Oct 2026</w:t>
            </w:r>
          </w:p>
        </w:tc>
        <w:tc>
          <w:tcPr>
            <w:tcW w:type="dxa" w:w="1029"/>
          </w:tcPr>
          <w:p>
            <w:r>
              <w:rPr>
                <w:sz w:val="15"/>
              </w:rPr>
              <w:t>None (not distributed)</w:t>
            </w:r>
          </w:p>
        </w:tc>
        <w:tc>
          <w:tcPr>
            <w:tcW w:type="dxa" w:w="1123"/>
          </w:tcPr>
          <w:p>
            <w:r>
              <w:rPr>
                <w:sz w:val="15"/>
              </w:rPr>
              <w:t>—</w:t>
            </w:r>
          </w:p>
        </w:tc>
        <w:tc>
          <w:tcPr>
            <w:tcW w:type="dxa" w:w="1123"/>
          </w:tcPr>
          <w:p>
            <w:r>
              <w:rPr>
                <w:sz w:val="15"/>
              </w:rPr>
              <w:t>Table 5.0, §5.2A, G.14 (parameter source); the animation is a scripted render, not gameplay, and is not cited</w:t>
            </w:r>
          </w:p>
        </w:tc>
        <w:tc>
          <w:tcPr>
            <w:tcW w:type="dxa" w:w="1123"/>
          </w:tcPr>
          <w:p>
            <w:r>
              <w:rPr>
                <w:sz w:val="15"/>
              </w:rPr>
              <w:t>Held in repository with SHA-256</w:t>
            </w:r>
          </w:p>
        </w:tc>
      </w:tr>
      <w:tr>
        <w:tc>
          <w:tcPr>
            <w:tcW w:type="dxa" w:w="1591"/>
          </w:tcPr>
          <w:p>
            <w:r>
              <w:rPr>
                <w:sz w:val="15"/>
              </w:rPr>
              <w:t>Stage-2 input mat vendor listing (G.15)</w:t>
            </w:r>
          </w:p>
        </w:tc>
        <w:tc>
          <w:tcPr>
            <w:tcW w:type="dxa" w:w="2340"/>
          </w:tcPr>
          <w:p>
            <w:r>
              <w:rPr>
                <w:sz w:val="15"/>
              </w:rPr>
              <w:t>docs/thesis/evidence/stage2_input_mat/</w:t>
            </w:r>
          </w:p>
        </w:tc>
        <w:tc>
          <w:tcPr>
            <w:tcW w:type="dxa" w:w="1029"/>
          </w:tcPr>
          <w:p>
            <w:r>
              <w:rPr>
                <w:sz w:val="15"/>
              </w:rPr>
              <w:t>Supplied 3 Oct 2026</w:t>
            </w:r>
          </w:p>
        </w:tc>
        <w:tc>
          <w:tcPr>
            <w:tcW w:type="dxa" w:w="1029"/>
          </w:tcPr>
          <w:p>
            <w:r>
              <w:rPr>
                <w:sz w:val="15"/>
              </w:rPr>
              <w:t>None</w:t>
            </w:r>
          </w:p>
        </w:tc>
        <w:tc>
          <w:tcPr>
            <w:tcW w:type="dxa" w:w="1123"/>
          </w:tcPr>
          <w:p>
            <w:r>
              <w:rPr>
                <w:sz w:val="15"/>
              </w:rPr>
              <w:t>—</w:t>
            </w:r>
          </w:p>
        </w:tc>
        <w:tc>
          <w:tcPr>
            <w:tcW w:type="dxa" w:w="1123"/>
          </w:tcPr>
          <w:p>
            <w:r>
              <w:rPr>
                <w:sz w:val="15"/>
              </w:rPr>
              <w:t>§5.2A, §5.3.1, Appendix E.1, G.0A row 2 (device identification only)</w:t>
            </w:r>
          </w:p>
        </w:tc>
        <w:tc>
          <w:tcPr>
            <w:tcW w:type="dxa" w:w="1123"/>
          </w:tcPr>
          <w:p>
            <w:r>
              <w:rPr>
                <w:sz w:val="15"/>
              </w:rPr>
              <w:t>Held in repository</w:t>
            </w:r>
          </w:p>
        </w:tc>
      </w:tr>
      <w:tr>
        <w:tc>
          <w:tcPr>
            <w:tcW w:type="dxa" w:w="1591"/>
          </w:tcPr>
          <w:p>
            <w:r>
              <w:rPr>
                <w:sz w:val="15"/>
              </w:rPr>
              <w:t>Stage-2 data-structure illustrations, 2026 (G.16) — not records</w:t>
            </w:r>
          </w:p>
        </w:tc>
        <w:tc>
          <w:tcPr>
            <w:tcW w:type="dxa" w:w="2340"/>
          </w:tcPr>
          <w:p>
            <w:r>
              <w:rPr>
                <w:sz w:val="15"/>
              </w:rPr>
              <w:t>docs/thesis/data_entry/SYNTHETIC_copies_received/</w:t>
            </w:r>
          </w:p>
        </w:tc>
        <w:tc>
          <w:tcPr>
            <w:tcW w:type="dxa" w:w="1029"/>
          </w:tcPr>
          <w:p>
            <w:r>
              <w:rPr>
                <w:sz w:val="15"/>
              </w:rPr>
              <w:t>Received 3 Oct 2026; made in 2026</w:t>
            </w:r>
          </w:p>
        </w:tc>
        <w:tc>
          <w:tcPr>
            <w:tcW w:type="dxa" w:w="1029"/>
          </w:tcPr>
          <w:p>
            <w:r>
              <w:rPr>
                <w:sz w:val="15"/>
              </w:rPr>
              <w:t>None (values copied from G.2)</w:t>
            </w:r>
          </w:p>
        </w:tc>
        <w:tc>
          <w:tcPr>
            <w:tcW w:type="dxa" w:w="1123"/>
          </w:tcPr>
          <w:p>
            <w:r>
              <w:rPr>
                <w:sz w:val="15"/>
              </w:rPr>
              <w:t>—</w:t>
            </w:r>
          </w:p>
        </w:tc>
        <w:tc>
          <w:tcPr>
            <w:tcW w:type="dxa" w:w="1123"/>
          </w:tcPr>
          <w:p>
            <w:r>
              <w:rPr>
                <w:sz w:val="15"/>
              </w:rPr>
              <w:t>None</w:t>
            </w:r>
          </w:p>
        </w:tc>
        <w:tc>
          <w:tcPr>
            <w:tcW w:type="dxa" w:w="1123"/>
          </w:tcPr>
          <w:p>
            <w:r>
              <w:rPr>
                <w:sz w:val="15"/>
              </w:rPr>
              <w:t>Held in repository, not evidence</w:t>
            </w:r>
          </w:p>
        </w:tc>
      </w:tr>
      <w:tr>
        <w:tc>
          <w:tcPr>
            <w:tcW w:type="dxa" w:w="1591"/>
          </w:tcPr>
          <w:p>
            <w:r>
              <w:rPr>
                <w:sz w:val="15"/>
              </w:rPr>
              <w:t>Programme progress report, April 2024</w:t>
            </w:r>
          </w:p>
        </w:tc>
        <w:tc>
          <w:tcPr>
            <w:tcW w:type="dxa" w:w="2340"/>
          </w:tcPr>
          <w:p>
            <w:r>
              <w:rPr>
                <w:sz w:val="15"/>
              </w:rPr>
              <w:t>docs/thesis/evidence/programme_reports/</w:t>
            </w:r>
          </w:p>
        </w:tc>
        <w:tc>
          <w:tcPr>
            <w:tcW w:type="dxa" w:w="1029"/>
          </w:tcPr>
          <w:p>
            <w:r>
              <w:rPr>
                <w:sz w:val="15"/>
              </w:rPr>
              <w:t>28 Apr 2024 (PDF modified 18 Oct 2024); received 3 Oct 2026</w:t>
            </w:r>
          </w:p>
        </w:tc>
        <w:tc>
          <w:tcPr>
            <w:tcW w:type="dxa" w:w="1029"/>
          </w:tcPr>
          <w:p>
            <w:r>
              <w:rPr>
                <w:sz w:val="15"/>
              </w:rPr>
              <w:t>None</w:t>
            </w:r>
          </w:p>
        </w:tc>
        <w:tc>
          <w:tcPr>
            <w:tcW w:type="dxa" w:w="1123"/>
          </w:tcPr>
          <w:p>
            <w:r>
              <w:rPr>
                <w:sz w:val="15"/>
              </w:rPr>
              <w:t>—</w:t>
            </w:r>
          </w:p>
        </w:tc>
        <w:tc>
          <w:tcPr>
            <w:tcW w:type="dxa" w:w="1123"/>
          </w:tcPr>
          <w:p>
            <w:r>
              <w:rPr>
                <w:sz w:val="15"/>
              </w:rPr>
              <w:t>None (dated record of the 2024 design direction)</w:t>
            </w:r>
          </w:p>
        </w:tc>
        <w:tc>
          <w:tcPr>
            <w:tcW w:type="dxa" w:w="1123"/>
          </w:tcPr>
          <w:p>
            <w:r>
              <w:rPr>
                <w:sz w:val="15"/>
              </w:rPr>
              <w:t>Held in repository</w:t>
            </w:r>
          </w:p>
        </w:tc>
      </w:tr>
      <w:tr>
        <w:tc>
          <w:tcPr>
            <w:tcW w:type="dxa" w:w="1591"/>
          </w:tcPr>
          <w:p>
            <w:r>
              <w:rPr>
                <w:sz w:val="15"/>
              </w:rPr>
              <w:t>Stage-3B protocol, builds, device copies, frozen edition, returns, decision notes (G.12)</w:t>
            </w:r>
          </w:p>
        </w:tc>
        <w:tc>
          <w:tcPr>
            <w:tcW w:type="dxa" w:w="2340"/>
          </w:tcPr>
          <w:p>
            <w:r>
              <w:rPr>
                <w:sz w:val="15"/>
              </w:rPr>
              <w:t>docs/thesis/stage3b/ (Mini_Protocol, device_sets, study_build_FROZEN_2026-09-15, DECISION_2026-09-26, DECISION_2026-10-02); data_entry/incoming/stage3b_returns/</w:t>
            </w:r>
          </w:p>
        </w:tc>
        <w:tc>
          <w:tcPr>
            <w:tcW w:type="dxa" w:w="1029"/>
          </w:tcPr>
          <w:p>
            <w:r>
              <w:rPr>
                <w:sz w:val="15"/>
              </w:rPr>
              <w:t>8 Aug–30 Sep 2026</w:t>
            </w:r>
          </w:p>
        </w:tc>
        <w:tc>
          <w:tcPr>
            <w:tcW w:type="dxa" w:w="1029"/>
          </w:tcPr>
          <w:p>
            <w:r>
              <w:rPr>
                <w:sz w:val="15"/>
              </w:rPr>
              <w:t>11 returns on record (codes only)</w:t>
            </w:r>
          </w:p>
        </w:tc>
        <w:tc>
          <w:tcPr>
            <w:tcW w:type="dxa" w:w="1123"/>
          </w:tcPr>
          <w:p>
            <w:r>
              <w:rPr>
                <w:sz w:val="15"/>
              </w:rPr>
              <w:t>Verification checks as recorded</w:t>
            </w:r>
          </w:p>
        </w:tc>
        <w:tc>
          <w:tcPr>
            <w:tcW w:type="dxa" w:w="1123"/>
          </w:tcPr>
          <w:p>
            <w:r>
              <w:rPr>
                <w:sz w:val="15"/>
              </w:rPr>
              <w:t>Appendix I (descriptive only)</w:t>
            </w:r>
          </w:p>
        </w:tc>
        <w:tc>
          <w:tcPr>
            <w:tcW w:type="dxa" w:w="1123"/>
          </w:tcPr>
          <w:p>
            <w:r>
              <w:rPr>
                <w:sz w:val="15"/>
              </w:rPr>
              <w:t>Held in repository with SHA-256</w:t>
            </w:r>
          </w:p>
        </w:tc>
      </w:tr>
      <w:tr>
        <w:tc>
          <w:tcPr>
            <w:tcW w:type="dxa" w:w="1591"/>
          </w:tcPr>
          <w:p>
            <w:r>
              <w:rPr>
                <w:sz w:val="15"/>
              </w:rPr>
              <w:t>Stage-3B Pro v4.1 self-test package, reports and exports (G.13)</w:t>
            </w:r>
          </w:p>
        </w:tc>
        <w:tc>
          <w:tcPr>
            <w:tcW w:type="dxa" w:w="2340"/>
          </w:tcPr>
          <w:p>
            <w:r>
              <w:rPr>
                <w:sz w:val="15"/>
              </w:rPr>
              <w:t>docs/thesis/stage3b/pro_v4_selftest/</w:t>
            </w:r>
          </w:p>
        </w:tc>
        <w:tc>
          <w:tcPr>
            <w:tcW w:type="dxa" w:w="1029"/>
          </w:tcPr>
          <w:p>
            <w:r>
              <w:rPr>
                <w:sz w:val="15"/>
              </w:rPr>
              <w:t>19–30 Sep 2026</w:t>
            </w:r>
          </w:p>
        </w:tc>
        <w:tc>
          <w:tcPr>
            <w:tcW w:type="dxa" w:w="1029"/>
          </w:tcPr>
          <w:p>
            <w:r>
              <w:rPr>
                <w:sz w:val="15"/>
              </w:rPr>
              <w:t>7 codes (identities unverified)</w:t>
            </w:r>
          </w:p>
        </w:tc>
        <w:tc>
          <w:tcPr>
            <w:tcW w:type="dxa" w:w="1123"/>
          </w:tcPr>
          <w:p>
            <w:r>
              <w:rPr>
                <w:sz w:val="15"/>
              </w:rPr>
              <w:t>Reports as received; counts verified from raw exports</w:t>
            </w:r>
          </w:p>
        </w:tc>
        <w:tc>
          <w:tcPr>
            <w:tcW w:type="dxa" w:w="1123"/>
          </w:tcPr>
          <w:p>
            <w:r>
              <w:rPr>
                <w:sz w:val="15"/>
              </w:rPr>
              <w:t>Appendix I.5 (descriptive only)</w:t>
            </w:r>
          </w:p>
        </w:tc>
        <w:tc>
          <w:tcPr>
            <w:tcW w:type="dxa" w:w="1123"/>
          </w:tcPr>
          <w:p>
            <w:r>
              <w:rPr>
                <w:sz w:val="15"/>
              </w:rPr>
              <w:t>Held in repository; derived workbooks and scripts not deposited</w:t>
            </w:r>
          </w:p>
        </w:tc>
      </w:tr>
      <w:tr>
        <w:tc>
          <w:tcPr>
            <w:tcW w:type="dxa" w:w="1591"/>
          </w:tcPr>
          <w:p>
            <w:r>
              <w:rPr>
                <w:sz w:val="15"/>
              </w:rPr>
              <w:t>Paper 1 record</w:t>
            </w:r>
          </w:p>
        </w:tc>
        <w:tc>
          <w:tcPr>
            <w:tcW w:type="dxa" w:w="2340"/>
          </w:tcPr>
          <w:p>
            <w:r>
              <w:rPr>
                <w:sz w:val="15"/>
              </w:rPr>
              <w:t>docs/papers/paper1_icmss/</w:t>
            </w:r>
          </w:p>
        </w:tc>
        <w:tc>
          <w:tcPr>
            <w:tcW w:type="dxa" w:w="1029"/>
          </w:tcPr>
          <w:p>
            <w:r>
              <w:rPr>
                <w:sz w:val="15"/>
              </w:rPr>
              <w:t>March 2026</w:t>
            </w:r>
          </w:p>
        </w:tc>
        <w:tc>
          <w:tcPr>
            <w:tcW w:type="dxa" w:w="1029"/>
          </w:tcPr>
          <w:p>
            <w:r>
              <w:rPr>
                <w:sz w:val="15"/>
              </w:rPr>
              <w:t>—</w:t>
            </w:r>
          </w:p>
        </w:tc>
        <w:tc>
          <w:tcPr>
            <w:tcW w:type="dxa" w:w="1123"/>
          </w:tcPr>
          <w:p>
            <w:r>
              <w:rPr>
                <w:sz w:val="15"/>
              </w:rPr>
              <w:t>—</w:t>
            </w:r>
          </w:p>
        </w:tc>
        <w:tc>
          <w:tcPr>
            <w:tcW w:type="dxa" w:w="1123"/>
          </w:tcPr>
          <w:p>
            <w:r>
              <w:rPr>
                <w:sz w:val="15"/>
              </w:rPr>
              <w:t>Chapter 4</w:t>
            </w:r>
          </w:p>
        </w:tc>
        <w:tc>
          <w:tcPr>
            <w:tcW w:type="dxa" w:w="1123"/>
          </w:tcPr>
          <w:p>
            <w:r>
              <w:rPr>
                <w:sz w:val="15"/>
              </w:rPr>
              <w:t>Held in repository</w:t>
            </w:r>
          </w:p>
        </w:tc>
      </w:tr>
    </w:tbl>
    <w:p>
      <w:pPr>
        <w:jc w:val="both"/>
      </w:pPr>
      <w:r>
        <w:t>G.0A Build-lineage matrix. One row per build generation, compiled on 2 October 2026 from the repository record, the archived build files and the thesis text. Where a cell says 'not on record', the thesis makes no claim for that generation on that point.</w:t>
      </w:r>
    </w:p>
    <w:tbl>
      <w:tblPr>
        <w:tblStyle w:val="TableGrid"/>
        <w:tblLook w:firstColumn="1" w:firstRow="1" w:lastColumn="0" w:lastRow="0" w:noHBand="0" w:noVBand="1" w:val="04A0"/>
        <w:tblW w:w="9360" w:type="dxa"/>
        <w:tblLayout w:type="fixed"/>
      </w:tblPr>
      <w:tblGrid>
        <w:gridCol w:w="1404"/>
        <w:gridCol w:w="1123"/>
        <w:gridCol w:w="1404"/>
        <w:gridCol w:w="1310"/>
        <w:gridCol w:w="1497"/>
        <w:gridCol w:w="1310"/>
        <w:gridCol w:w="1310"/>
      </w:tblGrid>
      <w:tr>
        <w:tc>
          <w:tcPr>
            <w:tcW w:type="dxa" w:w="1404"/>
          </w:tcPr>
          <w:p>
            <w:r>
              <w:rPr>
                <w:sz w:val="15"/>
              </w:rPr>
              <w:t>Generation</w:t>
            </w:r>
          </w:p>
        </w:tc>
        <w:tc>
          <w:tcPr>
            <w:tcW w:type="dxa" w:w="1123"/>
          </w:tcPr>
          <w:p>
            <w:r>
              <w:rPr>
                <w:sz w:val="15"/>
              </w:rPr>
              <w:t>Dates</w:t>
            </w:r>
          </w:p>
        </w:tc>
        <w:tc>
          <w:tcPr>
            <w:tcW w:type="dxa" w:w="1404"/>
          </w:tcPr>
          <w:p>
            <w:r>
              <w:rPr>
                <w:sz w:val="15"/>
              </w:rPr>
              <w:t>Code version / hash</w:t>
            </w:r>
          </w:p>
        </w:tc>
        <w:tc>
          <w:tcPr>
            <w:tcW w:type="dxa" w:w="1310"/>
          </w:tcPr>
          <w:p>
            <w:r>
              <w:rPr>
                <w:sz w:val="15"/>
              </w:rPr>
              <w:t>Hardware and input</w:t>
            </w:r>
          </w:p>
        </w:tc>
        <w:tc>
          <w:tcPr>
            <w:tcW w:type="dxa" w:w="1497"/>
          </w:tcPr>
          <w:p>
            <w:r>
              <w:rPr>
                <w:sz w:val="15"/>
              </w:rPr>
              <w:t>Adaptation mechanism</w:t>
            </w:r>
          </w:p>
        </w:tc>
        <w:tc>
          <w:tcPr>
            <w:tcW w:type="dxa" w:w="1310"/>
          </w:tcPr>
          <w:p>
            <w:r>
              <w:rPr>
                <w:sz w:val="15"/>
              </w:rPr>
              <w:t>Logging capability vs retained logs</w:t>
            </w:r>
          </w:p>
        </w:tc>
        <w:tc>
          <w:tcPr>
            <w:tcW w:type="dxa" w:w="1310"/>
          </w:tcPr>
          <w:p>
            <w:r>
              <w:rPr>
                <w:sz w:val="15"/>
              </w:rPr>
              <w:t>Who used it (as recorded)</w:t>
            </w:r>
          </w:p>
        </w:tc>
      </w:tr>
      <w:tr>
        <w:tc>
          <w:tcPr>
            <w:tcW w:type="dxa" w:w="1404"/>
          </w:tcPr>
          <w:p>
            <w:r>
              <w:rPr>
                <w:sz w:val="15"/>
              </w:rPr>
              <w:t>1. Off-the-shelf scaffold demonstration (Tux Racer coupled to the balance platform)</w:t>
            </w:r>
          </w:p>
        </w:tc>
        <w:tc>
          <w:tcPr>
            <w:tcW w:type="dxa" w:w="1123"/>
          </w:tcPr>
          <w:p>
            <w:r>
              <w:rPr>
                <w:sz w:val="15"/>
              </w:rPr>
              <w:t>27 Aug 2024 (videos, item G.10)</w:t>
            </w:r>
          </w:p>
        </w:tc>
        <w:tc>
          <w:tcPr>
            <w:tcW w:type="dxa" w:w="1404"/>
          </w:tcPr>
          <w:p>
            <w:r>
              <w:rPr>
                <w:sz w:val="15"/>
              </w:rPr>
              <w:t>No code retained; open-source scaffold contributed no code to later builds</w:t>
            </w:r>
          </w:p>
        </w:tc>
        <w:tc>
          <w:tcPr>
            <w:tcW w:type="dxa" w:w="1310"/>
          </w:tcPr>
          <w:p>
            <w:r>
              <w:rPr>
                <w:sz w:val="15"/>
              </w:rPr>
              <w:t>Balance platform, weight-shift steering</w:t>
            </w:r>
          </w:p>
        </w:tc>
        <w:tc>
          <w:tcPr>
            <w:tcW w:type="dxa" w:w="1497"/>
          </w:tcPr>
          <w:p>
            <w:r>
              <w:rPr>
                <w:sz w:val="15"/>
              </w:rPr>
              <w:t>None (static)</w:t>
            </w:r>
          </w:p>
        </w:tc>
        <w:tc>
          <w:tcPr>
            <w:tcW w:type="dxa" w:w="1310"/>
          </w:tcPr>
          <w:p>
            <w:r>
              <w:rPr>
                <w:sz w:val="15"/>
              </w:rPr>
              <w:t>No logs; two videos retained</w:t>
            </w:r>
          </w:p>
        </w:tc>
        <w:tc>
          <w:tcPr>
            <w:tcW w:type="dxa" w:w="1310"/>
          </w:tcPr>
          <w:p>
            <w:r>
              <w:rPr>
                <w:sz w:val="15"/>
              </w:rPr>
              <w:t>Two control persons; no study participant</w:t>
            </w:r>
          </w:p>
        </w:tc>
      </w:tr>
      <w:tr>
        <w:tc>
          <w:tcPr>
            <w:tcW w:type="dxa" w:w="1404"/>
          </w:tcPr>
          <w:p>
            <w:r>
              <w:rPr>
                <w:sz w:val="15"/>
              </w:rPr>
              <w:t>2. Deployed Stage-2 game: Three.js/Cannon.js browser game (Chinese interface) with a nine-item pre-game ability form</w:t>
            </w:r>
          </w:p>
        </w:tc>
        <w:tc>
          <w:tcPr>
            <w:tcW w:type="dxa" w:w="1123"/>
          </w:tcPr>
          <w:p>
            <w:r>
              <w:rPr>
                <w:sz w:val="15"/>
              </w:rPr>
              <w:t>Specification 29 Aug 2024; code print 30 Aug 2024; screen recording 15 Jan 2025 (G.17); deployed June–August 2025</w:t>
            </w:r>
          </w:p>
        </w:tc>
        <w:tc>
          <w:tcPr>
            <w:tcW w:type="dxa" w:w="1404"/>
          </w:tcPr>
          <w:p>
            <w:r>
              <w:rPr>
                <w:sz w:val="15"/>
              </w:rPr>
              <w:t>game.html (v1, SHA-256 2955c9cf…, 73,101 bytes; rule-based analysis in the page) and game_v2.html (v2, SHA-256 ef12145a…, 75,344 bytes; server-side analysis call); v2 deployed (author's account, 7 Oct 2026); created with ChatGPT, then Claude Code, under the author's instruction (approximately fifteen iterations by the author's count)</w:t>
            </w:r>
          </w:p>
        </w:tc>
        <w:tc>
          <w:tcPr>
            <w:tcW w:type="dxa" w:w="1310"/>
          </w:tcPr>
          <w:p>
            <w:r>
              <w:rPr>
                <w:sz w:val="15"/>
              </w:rPr>
              <w:t>FSR plantar-pressure mat (G.15) on the InBody FRA510S footplate, read as left/right arrow keys (keyboard in testing only; no participant played by keyboard); the footplate drove the InBody software in parallel (no API; separate data sets joined by the therapist's hand record); clinician-side InBody terminal</w:t>
            </w:r>
          </w:p>
        </w:tc>
        <w:tc>
          <w:tcPr>
            <w:tcW w:type="dxa" w:w="1497"/>
          </w:tcPr>
          <w:p>
            <w:r>
              <w:rPr>
                <w:sz w:val="15"/>
              </w:rPr>
              <w:t>Difficulty set once before each run from the ability form by three deterministic formulas; no in-run adaptation; a run ends at the first obstacle collision; post-run analysis report (v1 rules in the page; v2 server-side LangChain/OpenAI call, prompt deposited in G.7)</w:t>
            </w:r>
          </w:p>
        </w:tc>
        <w:tc>
          <w:tcPr>
            <w:tcW w:type="dxa" w:w="1310"/>
          </w:tcPr>
          <w:p>
            <w:r>
              <w:rPr>
                <w:sz w:val="15"/>
              </w:rPr>
              <w:t>In-memory run statistics for the report only; nothing written; no logs retained; play recorded by hand at the end of each game</w:t>
            </w:r>
          </w:p>
        </w:tc>
        <w:tc>
          <w:tcPr>
            <w:tcW w:type="dxa" w:w="1310"/>
          </w:tcPr>
          <w:p>
            <w:r>
              <w:rPr>
                <w:sz w:val="15"/>
              </w:rPr>
              <w:t>30 Stage-2 participants and 2 staff test plays, June–August 2025</w:t>
            </w:r>
          </w:p>
        </w:tc>
      </w:tr>
      <w:tr>
        <w:tc>
          <w:tcPr>
            <w:tcW w:type="dxa" w:w="1404"/>
          </w:tcPr>
          <w:p>
            <w:r>
              <w:rPr>
                <w:sz w:val="15"/>
              </w:rPr>
              <w:t>2b. Early Stage-3 build: 'Intelligent Skiing Rehabilitation Training Game' (Three.js r134, English interface)</w:t>
            </w:r>
          </w:p>
        </w:tc>
        <w:tc>
          <w:tcPr>
            <w:tcW w:type="dxa" w:w="1123"/>
          </w:tcPr>
          <w:p>
            <w:r>
              <w:rPr>
                <w:sz w:val="15"/>
              </w:rPr>
              <w:t>2026 (date not stated; title matches the 12 Jul 2026 overview); received 4 Oct 2026</w:t>
            </w:r>
          </w:p>
        </w:tc>
        <w:tc>
          <w:tcPr>
            <w:tcW w:type="dxa" w:w="1404"/>
          </w:tcPr>
          <w:p>
            <w:r>
              <w:rPr>
                <w:sz w:val="15"/>
              </w:rPr>
              <w:t>index.html as received 4 Oct 2026 (SHA-256 175eccf4…, 57,297 bytes); the Table 5.0 parameters and the four-state machine (G.14, G.18)</w:t>
            </w:r>
          </w:p>
        </w:tc>
        <w:tc>
          <w:tcPr>
            <w:tcW w:type="dxa" w:w="1310"/>
          </w:tcPr>
          <w:p>
            <w:r>
              <w:rPr>
                <w:sz w:val="15"/>
              </w:rPr>
              <w:t>Browser on a computer; arrow or A/D keys, mouse position, gamepad stick or D-pad</w:t>
            </w:r>
          </w:p>
        </w:tc>
        <w:tc>
          <w:tcPr>
            <w:tcW w:type="dxa" w:w="1497"/>
          </w:tcPr>
          <w:p>
            <w:r>
              <w:rPr>
                <w:sz w:val="15"/>
              </w:rPr>
              <w:t>Pre-game profile multipliers (age group; balance ability) and +0.15 per 200 m; three lives with speed −30% after the first hit and 60% of obstacles cleared after the second; rule-based post-run advice; five-trial report; no model call</w:t>
            </w:r>
          </w:p>
        </w:tc>
        <w:tc>
          <w:tcPr>
            <w:tcW w:type="dxa" w:w="1310"/>
          </w:tcPr>
          <w:p>
            <w:r>
              <w:rPr>
                <w:sz w:val="15"/>
              </w:rPr>
              <w:t>In-memory trial history for the report; no logs retained</w:t>
            </w:r>
          </w:p>
        </w:tc>
        <w:tc>
          <w:tcPr>
            <w:tcW w:type="dxa" w:w="1310"/>
          </w:tcPr>
          <w:p>
            <w:r>
              <w:rPr>
                <w:sz w:val="15"/>
              </w:rPr>
              <w:t>Not distributed to participants (author's identification, 4 Oct 2026)</w:t>
            </w:r>
          </w:p>
        </w:tc>
      </w:tr>
      <w:tr>
        <w:tc>
          <w:tcPr>
            <w:tcW w:type="dxa" w:w="1404"/>
          </w:tcPr>
          <w:p>
            <w:r>
              <w:rPr>
                <w:sz w:val="15"/>
              </w:rPr>
              <w:t>3. Stage-3A HTML port v1.0 ('STAGE 3 RESEARCH BUILD v1.0')</w:t>
            </w:r>
          </w:p>
        </w:tc>
        <w:tc>
          <w:tcPr>
            <w:tcW w:type="dxa" w:w="1123"/>
          </w:tcPr>
          <w:p>
            <w:r>
              <w:rPr>
                <w:sz w:val="15"/>
              </w:rPr>
              <w:t>Distributed from April 2026; file received 30 Sep 2026</w:t>
            </w:r>
          </w:p>
        </w:tc>
        <w:tc>
          <w:tcPr>
            <w:tcW w:type="dxa" w:w="1404"/>
          </w:tcPr>
          <w:p>
            <w:r>
              <w:rPr>
                <w:sz w:val="15"/>
              </w:rPr>
              <w:t>SHA-256 3200618c…; 21,521 bytes</w:t>
            </w:r>
          </w:p>
        </w:tc>
        <w:tc>
          <w:tcPr>
            <w:tcW w:type="dxa" w:w="1310"/>
          </w:tcPr>
          <w:p>
            <w:r>
              <w:rPr>
                <w:sz w:val="15"/>
              </w:rPr>
              <w:t>Participants' own computers (keyboard arrows or gamepad/foot pad); pre-installed iPad with external keyboard for some older participants</w:t>
            </w:r>
          </w:p>
        </w:tc>
        <w:tc>
          <w:tcPr>
            <w:tcW w:type="dxa" w:w="1497"/>
          </w:tcPr>
          <w:p>
            <w:r>
              <w:rPr>
                <w:sz w:val="15"/>
              </w:rPr>
              <w:t>Built-in rule agent (step up above 80% avoidance, ease off below 40%); optional model call with no embedded credential, falling back to the rule agent</w:t>
            </w:r>
          </w:p>
        </w:tc>
        <w:tc>
          <w:tcPr>
            <w:tcW w:type="dxa" w:w="1310"/>
          </w:tcPr>
          <w:p>
            <w:r>
              <w:rPr>
                <w:sz w:val="15"/>
              </w:rPr>
              <w:t>Per-run CSV export by the player; nothing saved automatically; returns not retained</w:t>
            </w:r>
          </w:p>
        </w:tc>
        <w:tc>
          <w:tcPr>
            <w:tcW w:type="dxa" w:w="1310"/>
          </w:tcPr>
          <w:p>
            <w:r>
              <w:rPr>
                <w:sz w:val="15"/>
              </w:rPr>
              <w:t>Stage-3A participants; build per participant not recorded</w:t>
            </w:r>
          </w:p>
        </w:tc>
      </w:tr>
      <w:tr>
        <w:tc>
          <w:tcPr>
            <w:tcW w:type="dxa" w:w="1404"/>
          </w:tcPr>
          <w:p>
            <w:r>
              <w:rPr>
                <w:sz w:val="15"/>
              </w:rPr>
              <w:t>4. Stage-3A redesign v2/v2.1/v2.2 ('Stage 3 Short-Run Build v2.2')</w:t>
            </w:r>
          </w:p>
        </w:tc>
        <w:tc>
          <w:tcPr>
            <w:tcW w:type="dxa" w:w="1123"/>
          </w:tcPr>
          <w:p>
            <w:r>
              <w:rPr>
                <w:sz w:val="15"/>
              </w:rPr>
              <w:t>Created 13 Jul 2026 (commits ba8f122, 2927329, f09fff9); main play from late July 2026</w:t>
            </w:r>
          </w:p>
        </w:tc>
        <w:tc>
          <w:tcPr>
            <w:tcW w:type="dxa" w:w="1404"/>
          </w:tcPr>
          <w:p>
            <w:r>
              <w:rPr>
                <w:sz w:val="15"/>
              </w:rPr>
              <w:t>SHA-256 42bc3df6…; 37,279 bytes</w:t>
            </w:r>
          </w:p>
        </w:tc>
        <w:tc>
          <w:tcPr>
            <w:tcW w:type="dxa" w:w="1310"/>
          </w:tcPr>
          <w:p>
            <w:r>
              <w:rPr>
                <w:sz w:val="15"/>
              </w:rPr>
              <w:t>As generation 3; 200 m / 30 s and 400 m / 60 s runs</w:t>
            </w:r>
          </w:p>
        </w:tc>
        <w:tc>
          <w:tcPr>
            <w:tcW w:type="dxa" w:w="1497"/>
          </w:tcPr>
          <w:p>
            <w:r>
              <w:rPr>
                <w:sz w:val="15"/>
              </w:rPr>
              <w:t>Built-in rule agent at a 6-s interval; optional model call, no credential</w:t>
            </w:r>
          </w:p>
        </w:tc>
        <w:tc>
          <w:tcPr>
            <w:tcW w:type="dxa" w:w="1310"/>
          </w:tcPr>
          <w:p>
            <w:r>
              <w:rPr>
                <w:sz w:val="15"/>
              </w:rPr>
              <w:t>As generation 3</w:t>
            </w:r>
          </w:p>
        </w:tc>
        <w:tc>
          <w:tcPr>
            <w:tcW w:type="dxa" w:w="1310"/>
          </w:tcPr>
          <w:p>
            <w:r>
              <w:rPr>
                <w:sz w:val="15"/>
              </w:rPr>
              <w:t>Stage-3A participants, including the distributors; build per participant not recorded</w:t>
            </w:r>
          </w:p>
        </w:tc>
      </w:tr>
      <w:tr>
        <w:tc>
          <w:tcPr>
            <w:tcW w:type="dxa" w:w="1404"/>
          </w:tcPr>
          <w:p>
            <w:r>
              <w:rPr>
                <w:sz w:val="15"/>
              </w:rPr>
              <w:t>5. v2.3 iOS touch build</w:t>
            </w:r>
          </w:p>
        </w:tc>
        <w:tc>
          <w:tcPr>
            <w:tcW w:type="dxa" w:w="1123"/>
          </w:tcPr>
          <w:p>
            <w:r>
              <w:rPr>
                <w:sz w:val="15"/>
              </w:rPr>
              <w:t>2 Aug 2026 (commit 5278f1a)</w:t>
            </w:r>
          </w:p>
        </w:tc>
        <w:tc>
          <w:tcPr>
            <w:tcW w:type="dxa" w:w="1404"/>
          </w:tcPr>
          <w:p>
            <w:r>
              <w:rPr>
                <w:sz w:val="15"/>
              </w:rPr>
              <w:t>Repository file</w:t>
            </w:r>
          </w:p>
        </w:tc>
        <w:tc>
          <w:tcPr>
            <w:tcW w:type="dxa" w:w="1310"/>
          </w:tcPr>
          <w:p>
            <w:r>
              <w:rPr>
                <w:sz w:val="15"/>
              </w:rPr>
              <w:t>Touch input</w:t>
            </w:r>
          </w:p>
        </w:tc>
        <w:tc>
          <w:tcPr>
            <w:tcW w:type="dxa" w:w="1497"/>
          </w:tcPr>
          <w:p>
            <w:r>
              <w:rPr>
                <w:sz w:val="15"/>
              </w:rPr>
              <w:t>As generation 4</w:t>
            </w:r>
          </w:p>
        </w:tc>
        <w:tc>
          <w:tcPr>
            <w:tcW w:type="dxa" w:w="1310"/>
          </w:tcPr>
          <w:p>
            <w:r>
              <w:rPr>
                <w:sz w:val="15"/>
              </w:rPr>
              <w:t>As generation 3</w:t>
            </w:r>
          </w:p>
        </w:tc>
        <w:tc>
          <w:tcPr>
            <w:tcW w:type="dxa" w:w="1310"/>
          </w:tcPr>
          <w:p>
            <w:r>
              <w:rPr>
                <w:sz w:val="15"/>
              </w:rPr>
              <w:t>Played by Expert P on 5 Aug 2026; not distributed to any cohort</w:t>
            </w:r>
          </w:p>
        </w:tc>
      </w:tr>
      <w:tr>
        <w:tc>
          <w:tcPr>
            <w:tcW w:type="dxa" w:w="1404"/>
          </w:tcPr>
          <w:p>
            <w:r>
              <w:rPr>
                <w:sz w:val="15"/>
              </w:rPr>
              <w:t>6. Stage-3B v3.0 and device copies DEV1–DEV5</w:t>
            </w:r>
          </w:p>
        </w:tc>
        <w:tc>
          <w:tcPr>
            <w:tcW w:type="dxa" w:w="1123"/>
          </w:tcPr>
          <w:p>
            <w:r>
              <w:rPr>
                <w:sz w:val="15"/>
              </w:rPr>
              <w:t>9 Aug 2026 (commits 6ef4f3f, abf1603, 59b7881); distributed 10–12 Aug</w:t>
            </w:r>
          </w:p>
        </w:tc>
        <w:tc>
          <w:tcPr>
            <w:tcW w:type="dxa" w:w="1404"/>
          </w:tcPr>
          <w:p>
            <w:r>
              <w:rPr>
                <w:sz w:val="15"/>
              </w:rPr>
              <w:t>Build string Alpine_Coordination_Game_v3.0_Stage3B</w:t>
            </w:r>
          </w:p>
        </w:tc>
        <w:tc>
          <w:tcPr>
            <w:tcW w:type="dxa" w:w="1310"/>
          </w:tcPr>
          <w:p>
            <w:r>
              <w:rPr>
                <w:sz w:val="15"/>
              </w:rPr>
              <w:t>Participants' own phones and computers; keyboard and touch; WeChat in-app browser mode</w:t>
            </w:r>
          </w:p>
        </w:tc>
        <w:tc>
          <w:tcPr>
            <w:tcW w:type="dxa" w:w="1497"/>
          </w:tcPr>
          <w:p>
            <w:r>
              <w:rPr>
                <w:sz w:val="15"/>
              </w:rPr>
              <w:t>Adaptive arm: rule agent with coaching; static arm: fixed ×0.85; 2×2 with failure mode; assignment per browser profile</w:t>
            </w:r>
          </w:p>
        </w:tc>
        <w:tc>
          <w:tcPr>
            <w:tcW w:type="dxa" w:w="1310"/>
          </w:tcPr>
          <w:p>
            <w:r>
              <w:rPr>
                <w:sz w:val="15"/>
              </w:rPr>
              <w:t>Enrolment, consent, per-run state and questionnaire written locally; returned only by participant export</w:t>
            </w:r>
          </w:p>
        </w:tc>
        <w:tc>
          <w:tcPr>
            <w:tcW w:type="dxa" w:w="1310"/>
          </w:tcPr>
          <w:p>
            <w:r>
              <w:rPr>
                <w:sz w:val="15"/>
              </w:rPr>
              <w:t>One verified return (B9V8YA); recipient counts author-reported</w:t>
            </w:r>
          </w:p>
        </w:tc>
      </w:tr>
      <w:tr>
        <w:tc>
          <w:tcPr>
            <w:tcW w:type="dxa" w:w="1404"/>
          </w:tcPr>
          <w:p>
            <w:r>
              <w:rPr>
                <w:sz w:val="15"/>
              </w:rPr>
              <w:t>7. v3.1 revisions (CSV export, gains-only scoring, input-mode logging)</w:t>
            </w:r>
          </w:p>
        </w:tc>
        <w:tc>
          <w:tcPr>
            <w:tcW w:type="dxa" w:w="1123"/>
          </w:tcPr>
          <w:p>
            <w:r>
              <w:rPr>
                <w:sz w:val="15"/>
              </w:rPr>
              <w:t>13 Aug 2026 (commits b8028e5, 923a25e, a1afc42)</w:t>
            </w:r>
          </w:p>
        </w:tc>
        <w:tc>
          <w:tcPr>
            <w:tcW w:type="dxa" w:w="1404"/>
          </w:tcPr>
          <w:p>
            <w:r>
              <w:rPr>
                <w:sz w:val="15"/>
              </w:rPr>
              <w:t>As recorded in Table I.3</w:t>
            </w:r>
          </w:p>
        </w:tc>
        <w:tc>
          <w:tcPr>
            <w:tcW w:type="dxa" w:w="1310"/>
          </w:tcPr>
          <w:p>
            <w:r>
              <w:rPr>
                <w:sz w:val="15"/>
              </w:rPr>
              <w:t>As generation 6</w:t>
            </w:r>
          </w:p>
        </w:tc>
        <w:tc>
          <w:tcPr>
            <w:tcW w:type="dxa" w:w="1497"/>
          </w:tcPr>
          <w:p>
            <w:r>
              <w:rPr>
                <w:sz w:val="15"/>
              </w:rPr>
              <w:t>As generation 6</w:t>
            </w:r>
          </w:p>
        </w:tc>
        <w:tc>
          <w:tcPr>
            <w:tcW w:type="dxa" w:w="1310"/>
          </w:tcPr>
          <w:p>
            <w:r>
              <w:rPr>
                <w:sz w:val="15"/>
              </w:rPr>
              <w:t>As generation 6 plus run-end CSV export</w:t>
            </w:r>
          </w:p>
        </w:tc>
        <w:tc>
          <w:tcPr>
            <w:tcW w:type="dxa" w:w="1310"/>
          </w:tcPr>
          <w:p>
            <w:r>
              <w:rPr>
                <w:sz w:val="15"/>
              </w:rPr>
              <w:t>Not distributed to the August cohort; five solicited plays on 15 Sep 2026 (excluded)</w:t>
            </w:r>
          </w:p>
        </w:tc>
      </w:tr>
      <w:tr>
        <w:tc>
          <w:tcPr>
            <w:tcW w:type="dxa" w:w="1404"/>
          </w:tcPr>
          <w:p>
            <w:r>
              <w:rPr>
                <w:sz w:val="15"/>
              </w:rPr>
              <w:t>8. Frozen study edition FROZEN20260915, copies D01–D20 and hosted links</w:t>
            </w:r>
          </w:p>
        </w:tc>
        <w:tc>
          <w:tcPr>
            <w:tcW w:type="dxa" w:w="1123"/>
          </w:tcPr>
          <w:p>
            <w:r>
              <w:rPr>
                <w:sz w:val="15"/>
              </w:rPr>
              <w:t>15–17 Sep 2026 (commit 2f61e62 and following)</w:t>
            </w:r>
          </w:p>
        </w:tc>
        <w:tc>
          <w:tcPr>
            <w:tcW w:type="dxa" w:w="1404"/>
          </w:tcPr>
          <w:p>
            <w:r>
              <w:rPr>
                <w:sz w:val="15"/>
              </w:rPr>
              <w:t>Stamp Alpine_Coordination_Game_v3.1s_Stage3B_FROZEN20260915; SHA-256 in CHECKSUMS</w:t>
            </w:r>
          </w:p>
        </w:tc>
        <w:tc>
          <w:tcPr>
            <w:tcW w:type="dxa" w:w="1310"/>
          </w:tcPr>
          <w:p>
            <w:r>
              <w:rPr>
                <w:sz w:val="15"/>
              </w:rPr>
              <w:t>As generation 6</w:t>
            </w:r>
          </w:p>
        </w:tc>
        <w:tc>
          <w:tcPr>
            <w:tcW w:type="dxa" w:w="1497"/>
          </w:tcPr>
          <w:p>
            <w:r>
              <w:rPr>
                <w:sz w:val="15"/>
              </w:rPr>
              <w:t>As generation 6</w:t>
            </w:r>
          </w:p>
        </w:tc>
        <w:tc>
          <w:tcPr>
            <w:tcW w:type="dxa" w:w="1310"/>
          </w:tcPr>
          <w:p>
            <w:r>
              <w:rPr>
                <w:sz w:val="15"/>
              </w:rPr>
              <w:t>As generation 7</w:t>
            </w:r>
          </w:p>
        </w:tc>
        <w:tc>
          <w:tcPr>
            <w:tcW w:type="dxa" w:w="1310"/>
          </w:tcPr>
          <w:p>
            <w:r>
              <w:rPr>
                <w:sz w:val="15"/>
              </w:rPr>
              <w:t>Five clean-run returns (D13: one; D01: four) to 30 Sep 2026</w:t>
            </w:r>
          </w:p>
        </w:tc>
      </w:tr>
      <w:tr>
        <w:tc>
          <w:tcPr>
            <w:tcW w:type="dxa" w:w="1404"/>
          </w:tcPr>
          <w:p>
            <w:r>
              <w:rPr>
                <w:sz w:val="15"/>
              </w:rPr>
              <w:t>9. Pro v4.1 / 4.1.1 researcher self-test</w:t>
            </w:r>
          </w:p>
        </w:tc>
        <w:tc>
          <w:tcPr>
            <w:tcW w:type="dxa" w:w="1123"/>
          </w:tcPr>
          <w:p>
            <w:r>
              <w:rPr>
                <w:sz w:val="15"/>
              </w:rPr>
              <w:t>19–20 Sep 2026 (received 19 Sep; commits e0961a8, d30d4ac)</w:t>
            </w:r>
          </w:p>
        </w:tc>
        <w:tc>
          <w:tcPr>
            <w:tcW w:type="dxa" w:w="1404"/>
          </w:tcPr>
          <w:p>
            <w:r>
              <w:rPr>
                <w:sz w:val="15"/>
              </w:rPr>
              <w:t>Separate namespace; package and HTML archived as received</w:t>
            </w:r>
          </w:p>
        </w:tc>
        <w:tc>
          <w:tcPr>
            <w:tcW w:type="dxa" w:w="1310"/>
          </w:tcPr>
          <w:p>
            <w:r>
              <w:rPr>
                <w:sz w:val="15"/>
              </w:rPr>
              <w:t>Touch and keyboard; participant release disabled</w:t>
            </w:r>
          </w:p>
        </w:tc>
        <w:tc>
          <w:tcPr>
            <w:tcW w:type="dxa" w:w="1497"/>
          </w:tcPr>
          <w:p>
            <w:r>
              <w:rPr>
                <w:sz w:val="15"/>
              </w:rPr>
              <w:t>Feedback-conditioned practice-proposal policy (local rules); optional external-judgement step not configured</w:t>
            </w:r>
          </w:p>
        </w:tc>
        <w:tc>
          <w:tcPr>
            <w:tcW w:type="dxa" w:w="1310"/>
          </w:tcPr>
          <w:p>
            <w:r>
              <w:rPr>
                <w:sz w:val="15"/>
              </w:rPr>
              <w:t>Per-code exports retained as received (seven codes)</w:t>
            </w:r>
          </w:p>
        </w:tc>
        <w:tc>
          <w:tcPr>
            <w:tcW w:type="dxa" w:w="1310"/>
          </w:tcPr>
          <w:p>
            <w:r>
              <w:rPr>
                <w:sz w:val="15"/>
              </w:rPr>
              <w:t>Volunteers and their families or friends, by the author's account; identities unverified</w:t>
            </w:r>
          </w:p>
        </w:tc>
      </w:tr>
    </w:tbl>
    <w:p>
      <w:pPr>
        <w:pStyle w:val="Normal"/>
        <w:jc w:val="both"/>
      </w:pPr>
      <w:r>
        <w:rPr>
          <w:szCs w:val="22"/>
          <w:lang w:val="en-US" w:eastAsia="en-US" w:bidi="ar-SA"/>
          <w:rFonts w:ascii="Times New Roman" w:hAnsi="Times New Roman" w:eastAsia="Times New Roman" w:cs="Times New Roman"/>
          <w:sz w:val="24"/>
        </w:rPr>
        <w:t>Appendix G lists the raw data, photographs and supplementary materials below, each with its status at 30 September 2026: bound with the thesis, held in the thesis repository, not deposited, or not retained (§8.9). Where a bound item cannot be shared openly, the access procedure and restrictions are stated in its entry; a file name alone does not constitute deposit.</w:t>
      </w:r>
    </w:p>
    <w:p>
      <w:pPr>
        <w:pStyle w:val="Normal"/>
      </w:pPr>
      <w:r>
        <w:rPr>
          <w:i w:val="0"/>
          <w:szCs w:val="22"/>
          <w:lang w:val="en-US" w:eastAsia="en-US" w:bidi="ar-SA"/>
          <w:rFonts w:ascii="Times New Roman" w:hAnsi="Times New Roman" w:eastAsia="Times New Roman" w:cs="Times New Roman"/>
          <w:sz w:val="24"/>
        </w:rPr>
        <w:t>G.1  Cleaned Stage-1 survey response file (CSV). Status: not archived at 30 September 2026. Table 4.1 reports the aggregate percentages as recorded; the two conditional figures (~74%, ~82%) cannot be reproduced as item-level counts, and no age range is claimed for the interviewed sample (§4.2, §4.8).</w:t>
      </w:r>
    </w:p>
    <w:p>
      <w:pPr>
        <w:pStyle w:val="Normal"/>
        <w:jc w:val="both"/>
      </w:pPr>
      <w:r>
        <w:rPr>
          <w:i w:val="0"/>
          <w:szCs w:val="22"/>
          <w:lang w:val="en-US" w:eastAsia="en-US" w:bidi="ar-SA"/>
          <w:rFonts w:ascii="Times New Roman" w:hAnsi="Times New Roman" w:eastAsia="Times New Roman" w:cs="Times New Roman"/>
          <w:sz w:val="24"/>
        </w:rPr>
        <w:t>G.2  Stage-2 participant dataset (analysis file stage2_clean.csv, archived 12 July 2026; the FRA_32 data set received 5 September 2026 and reconciled on 6 September 2026; the Stage-2 logbook with player IDs received 11 September 2026; 30 older-adult participants plus two younger staff test plays; stable pseudonymous IDs S2-P001–S2-P030 and S2-C001/S2-C002 per the Stage-2 ID register, received 11 September 2026; on the author's account the facility used running numbers 0001–0030 in 2025 and the 'S2' prefix was added in 2026 when the archive was organised; if the running numbers correspond, the facility can re-identify participants from them): gender, age, pre/post recorded FRA index, presenting symptoms, completed game cycles, therapist-reported symptom change, satisfaction and verification flag. The analysis file is the source for every Stage-2 statistic in §5.5 and for Figure 5.4. Play was recorded by hand at the centre by the therapist beside the player: game states at the end of each game, then the FRA indices read from the InBody FRA system, graded and entered in the FRA logbook; the game (driven by a foot pad on the footplate) and the FRA system (measuring from the footplate) kept separate data sets with no application programming interface between them, and the game software's electronic session records were not kept (§5.2A, §8.9).</w:t>
      </w:r>
    </w:p>
    <w:p>
      <w:pPr>
        <w:pStyle w:val="Normal"/>
        <w:jc w:val="both"/>
      </w:pPr>
      <w:r>
        <w:rPr>
          <w:szCs w:val="22"/>
          <w:lang w:val="en-US" w:eastAsia="en-US" w:bidi="ar-SA"/>
          <w:rFonts w:ascii="Times New Roman" w:hAnsi="Times New Roman" w:eastAsia="Times New Roman" w:cs="Times New Roman"/>
          <w:sz w:val="24"/>
        </w:rPr>
        <w:t>G.3  Stage-3 data logbook (Stage3_Data_Logbook_120cases_with_Reconciliation.xlsx): codebook with provenance note; the aggregate results compiled in July 2026 (Preliminary_Summary sheet), which are the source of every Stage-3 figure in Chapter 6; participant, telemetry, questionnaire and outcome sheets for IDs 3001–3120, which are not populated; and a Reconciliation sheet, which therefore cannot yet check the summary against individual entries. A raw import sheet whose figures disagree with the summary is retained but quarantined and is not used. It was imported on 25 July 2026 from a file received that week whose own annotations describe the 120 participants as 'divided into four behavioural groups to correspond to your needs', and a companion file received the same week declares itself a synthetic, constrained simulation built to match the summary targets. The sheet matches the summary's five headline totals but not ten of its per-band values (sex, dropout, non-return and intention by band) because it is a constructed file, not a transcription of the returns; its disagreement therefore says nothing about the summary's accuracy. The summary itself cannot be verified against individual records. It is reported as the author's July 2026 compilation; its only checks are internal arithmetic (band counts sum to the totals, and returns plus non-returns equal initial dropouts in every band) and agreement with the participant register's band sizes (38, 41 and 41). The primary records were the returned materials - hand records made by assistants for the first build, and e-mails carrying the game results in mixed formats (exported CSV files or copied or typed text) together with the questionnaire responses. They were compiled into the summary in July 2026 and were not retained as separate records, so the summary cannot be checked against individual returns. Later attempts to rebuild participant-level records (October 2026) could not be traced to retained records and are not used.</w:t>
      </w:r>
    </w:p>
    <w:p>
      <w:pPr>
        <w:jc w:val="both"/>
      </w:pPr>
      <w:r>
        <w:t>G.4  Photographic record of the Guangzhou Stage-2 deployment. One photograph is archived: the author's photograph of the FRA balance station as installed in the facility's rehabilitation room — the source of Figure 4.1B — showing the equipment and the room only; no person appears (original held in the programme evidence archive; EXIF metadata absent in transit). Photography of study participants was not permitted under the residential facility's privacy rules, so no participant play imagery exists (see the Figure 5.1A caption); the development-office demonstration videos of 27 August 2024 are archived as item G.10 and the game screenshots as item G.6.</w:t>
      </w:r>
    </w:p>
    <w:p>
      <w:pPr>
        <w:jc w:val="both"/>
      </w:pPr>
      <w:r>
        <w:t>G.5  The Stage-3 distribution record: the distributor-tier invitations on file (two screenshots, docs/thesis/evidence/) and the participant invitation on file, a reconstruction received 4 August 2026 and headed 'From March to April 2026' (§3.4, §6.4), which describes the two after-game statements and the arrow-key or touch-screen controls as the recipients were told of them. No return index exists, because the returns were not retained as separate records (item G.3). The Stage-3B distribution and return record is held separately with item G.12: device-copy distributions of 10–12 August 2026, the one verified return of 15 August 2026, the five returns of 15 September 2026 excluded on verification, and the frozen study edition's distributor copies (Appendix I).</w:t>
      </w:r>
    </w:p>
    <w:p>
      <w:pPr>
        <w:jc w:val="both"/>
      </w:pPr>
      <w:r>
        <w:t>G.6  Screenshots of the skiing game at each difficulty level (1–5), captured from the programme's archived successor build in the same design lineage as the Stage-2 deployment (the Figure 5.1B panels; provenance stated in that figure's caption).</w:t>
      </w:r>
    </w:p>
    <w:p>
      <w:pPr>
        <w:jc w:val="both"/>
      </w:pPr>
      <w:r>
        <w:rPr>
          <w:i w:val="0"/>
        </w:rPr>
        <w:t>G.7  The deployed Stage-2 game and its AI prompt template. Held in the thesis repository (docs/thesis/game/2024_threejs_prototype/, with SHA-256): the game's design specification dated 29 August 2024, whose appendix reproduces the large-language-model prompt of the analysis-and-recommendation module and which names the endpoint family (LangChain over the OpenAI API, called server-side); a one-page code print of 30 August 2024; the two runnable versions as received on 3 October 2026 — game.html (v1; local rule-based analysis; 73,101 bytes, SHA-256 2955c9cf…) and game_v2.html (v2; adds the server-side analysis call; 75,344 bytes, SHA-256 ef12145a…; no credential embedded; a project-server address, not reproduced here); and a seven-page overview dated 12 July 2026. Identified by the author on 3–4 October 2026, with the screen recording of item G.17, as the game the Stage-2 participants played. On the author's account of 7 October 2026, v2 was the version deployed. Not on record: whether the server-side call completed in each session, the model version and run-time settings, and any AI-call log (item G.2); no claim in this thesis rests on them (§5.3.5, §8.9).</w:t>
      </w:r>
    </w:p>
    <w:p>
      <w:pPr>
        <w:jc w:val="both"/>
      </w:pPr>
      <w:r>
        <w:t>G.8  Synthetic pipeline-test dataset (Stage3_Data_Entry_DEMO_SYNTHETIC.xlsx, docs/thesis/data_entry/): a simulation-generated workbook of 120 fictitious records (IDs TEST-001 to TEST-120, outside the study ID range) used to verify the Stage-3 logbook structure, formulas and analysis pipeline. Its front sheet is labelled as synthetic test data, the TEST- prefix marks every record, and the workbook deliberately does not match the study aggregates; copies of it, and files derived from it, found in the author's and research assistant's records between 30 September and 2 October 2026 are archived under SYNTHETIC and RECONSTRUCTED labels (docs/thesis/data_entry/SYNTHETIC_copies_received/) and are never evidence. It is archived solely as a pipeline-verification artifact, as a pipeline-verification artifact, and contains no data from any human participant.</w:t>
      </w:r>
    </w:p>
    <w:p>
      <w:pPr/>
      <w:r>
        <w:t>G.9  HUR SmartBalance vendor brochure (the author's industry documentation supporting the §4.1A platform-lineage account; two screenshots). Added 3 October 2026: the author's own showroom photograph of an InBody FRA510S with the vendor's balance-training game menu on screen (taken in an earlier year and kept in his files; the year and location were not recorded; Korean signage; held in docs/thesis/evidence/photos_received_2026-10-03/), supporting the statement that the InBody edition added games to the HUR design.</w:t>
      </w:r>
    </w:p>
    <w:p>
      <w:pPr/>
      <w:r>
        <w:t>G.10  The two development-office demonstration videos of 27 August 2024 (platform-to-game coupling on the off-the-shelf scaffold; source of the Figure 5.1A frame), held in the thesis repository (docs/thesis/evidence/); the written consent of the person shown is not on file at 30 September 2026 (§8.9).</w:t>
      </w:r>
    </w:p>
    <w:p>
      <w:pPr/>
      <w:r>
        <w:t>G.11  Expert interview guide (Expert_Interview_Guide_2026.docx), the semi-structured guide used across the consultation panel; reproduced compactly as Appendix H.5.</w:t>
      </w:r>
    </w:p>
    <w:p>
      <w:pPr/>
      <w:r>
        <w:t>G.12  Stage-3B component-study record, closed at 30 September 2026 (Appendix I): the mini-protocol and pre-specified analysis hierarchy (repository-dated 8–9 August 2026); the deployed device copies (DEV1–DEV5) and the frozen study edition of 15 September 2026 with its freeze record and checksums; the as-received return archive (one verified return, 15 August 2026; the five clean-run returns received 29–30 September 2026, with SHA-256); the verification findings for the five excluded returns of 15 September 2026; and the dated decision record of 26 September 2026 with its amendment of 29 September 2026 (which named the close of the clean-run window, 15 October 2026, as the intended cut-off) and the author's decision of 2 October 2026 closing the record stated in this thesis at 30 September 2026 (DECISION_2026-10-02_record_closed_30_September_2026.md, docs/thesis/stage3b/). No result table outside Appendix I draws on these files; the Appendix I tables reproduce them as descriptive record only.</w:t>
      </w:r>
    </w:p>
    <w:p>
      <w:pPr/>
      <w:r>
        <w:t>G.13  Stage-3B Pro v4.1 self-test, Batch 01 (19–20 September 2026): the as-received package (policy, adapter, server, validation record and self-test HTML, received 19 September 2026) and the two as-received reports of 20 September 2026 with their checksums, all labelled researcher self-test by the software, with players described by the author as volunteers and their families or friends; archived as a Pro development record (Appendix I.5), not as participant data. The derived workbooks and the extraction scripts named in the reports are not deposited (Appendix I.7); the raw exports for P8P2Z9, PT8FJC, PEVNZ8, PZTPCG and PU5K58, and the two later-received exports for PFWU9V and PXG3R9, are archived as received with SHA-256 (29–30 September 2026), and each Batch 01 file matches the reports run for run.</w:t>
      </w:r>
    </w:p>
    <w:p>
      <w:pPr/>
      <w:r>
        <w:t>G.14  Game-state and parameter specification workbook (Game_States_and_Parameters.xlsx): the author's project-internal design-specification record of the early Stage-3 build (item G.18) — the four-state machine and the design parameters from which Table 5.0 is extracted (§5.2A). It does not describe the deployed Stage-2 game. Status: not deposited at 30 September 2026; Table 5.0 is reported as a specification extracted from it by the author.</w:t>
      </w:r>
    </w:p>
    <w:p>
      <w:pPr/>
      <w:r>
        <w:t>G.15  Vendor listing of the Stage-2 game input device: the force-sensing-resistor plantar-pressure mat placed on the FRA510S footplate (specification text and three vendor product images as supplied by the author on 3 October 2026; a generic Guangdong original-equipment product, listed part number FSR-PP1-6464-4096, 64 × 64 points, about 3 mm thick, serial output, stated accuracy ±10%). The images are the vendor's, not photographs of the study set-up; the unit used was not retained and its purchase record is not on file. Held in the thesis repository (docs/thesis/evidence/stage2_input_mat/).</w:t>
      </w:r>
    </w:p>
    <w:p>
      <w:pPr/>
      <w:r>
        <w:t>G.16  Illustrations of the Stage-2 data structure, produced in 2026 — not records. Five images received on 3 October 2026 (a register-style page in a handwriting typeface listing ten participants, and four per-participant 'record form' pages on a printed template for S2-001 in two versions, S2-0022 and S2-0025) are, on the author's definitive statement of 3 October 2026, a template reconstructed in 2026 while organising the archive to illustrate the data structure; no corresponding paper forms exist from the deployment period, the therapists kept no written personal records (§3.4), and the date fields, tick boxes, signatures and notes on the images are template content that represent no actual entries. Their numerical values were copied from the Stage-2 ID register (item G.2). They are held in docs/thesis/data_entry/SYNTHETIC_copies_received/ with checksums so that they are recognised if they resurface; nothing in this thesis rests on them.</w:t>
      </w:r>
    </w:p>
    <w:p>
      <w:pPr/>
      <w:r>
        <w:t>G.17  Screen recording of the Stage-2 game, 15 January 2025 (docs/thesis/evidence/stage2_game_screen_recording_2025-01-15/; three files, the original and two re-exports of 7 September 2025; 1534 × 862, 38 s; SHA-256 in the folder). Supplied by the author on 4 October 2026 as "the Stage 2 game video". It shows the ability-assessment form being completed (a 60-year-old male test profile) and the 3D game running; no participant, camera view or FRA station appears; which of v1 or v2 is running cannot be read from it (the author states v2 was deployed). It establishes which game was deployed (item G.7), five months before the June–August 2025 deployment.</w:t>
      </w:r>
    </w:p>
    <w:p>
      <w:pPr/>
      <w:r>
        <w:t>G.18  Early Stage-3 build, "Intelligent Skiing Rehabilitation Training Game" (docs/thesis/game/intelligent_skiing_trainer_build_received_2026-10-04/; index.html, 57,297 bytes, SHA-256 175eccf4…; received 4 October 2026 and identified by the author as early Stage 3; creation date not stated, title matching the 12 July 2026 overview of item G.7). A Three.js r134 browser game, English interface: three-option assessment screen (age group, balance ability, rehabilitation goal), three lives with speed −30% after the first hit and 60% of obstacles cleared after the second, a five-trial session with a trial-by-trial report, rule-based advice text, no model call; arrow or A/D keys, mouse and gamepad input. Its parameters are those of Table 5.0 and of Game_States_and_Parameters.xlsx (item G.14). Not distributed to any participant. Archived with it: a Python script that renders a synthetic demonstration animation, and that animation (skiing_game_demo, 1280 × 720, 26.5 s) — a scripted render with planned collisions, not gameplay footage, and never cited as such.</w:t>
      </w:r>
    </w:p>
    <w:p>
      <w:pPr>
        <w:pStyle w:val="Heading2"/>
      </w:pPr>
      <w:r>
        <w:rPr>
          <w:color w:val="000000"/>
        </w:rPr>
        <w:t>Appendix H · Expert Consultation Record</w:t>
      </w:r>
    </w:p>
    <w:p>
      <w:pPr>
        <w:jc w:val="both"/>
      </w:pPr>
      <w:r>
        <w:t>H.1  Expert and scope. Dr Sarah C.W. Yuan, Specialist, Center on the Family, University of Hawai'i at Mānoa; PhD and MA in Sociology (University of Hawai'i at Mānoa), MSc in Applied Social Research (University of Stirling). Research expertise: medical sociology, demography of aging, survey methodology; projects include the Hawai'i Healthy Aging Partnership; recognitions include the Hawai'i Pacific Gerontological Society Research and Teaching Award (2010). Her field of practice relevant to this consultation is community group falls-prevention programming: non-electronic group exercise and physical games whose objective is to improve older adults' balance and reduce fall risk. Credentials verified against her University of Hawai'i faculty profiles at the time of writing.</w:t>
      </w:r>
    </w:p>
    <w:p>
      <w:pPr>
        <w:jc w:val="both"/>
      </w:pPr>
      <w:r>
        <w:t>H.2  Conduct and record. The consultation was a single semi-structured conversation between the author and Dr Yuan, conducted by telephone in English on 25 July 2026 and lasting approximately 35 minutes; her signed consent form is dated 22 July 2026 and its transmittal e-mail is archived with the programme records. The author first presented the three-stage programme, its findings and the null-hypothesis architecture; Dr Yuan then described her own research area and findings, and responded to the programme's constructs. The record is the author's structured notes, summarised at H.3. Dr Yuan is named with her consent; the consultation record and the attribution confirmation are held with the programme records.</w:t>
      </w:r>
    </w:p>
    <w:p>
      <w:pPr>
        <w:jc w:val="both"/>
      </w:pPr>
      <w:r>
        <w:t>H.3  Summary of the consultation (author's notes). (1) The author introduced the research: Stages 1-3, the findings, and the initial design expectation (H0). (2) Dr Yuan's falls-related work concerns non-clinical assessment and group work — exercise and group dynamic physical games, not electronic games — whose objective is to improve balance and avoid fall risk. (3) From her findings, including her publications: when older adults join a social exercise group, they tend to drop out after failure unless a physician or assistant helps them overcome the rejection; they perform better when playing in a group with a coach who leads them to continue, and continuation is difficult otherwise. (4) She agreed that older adults intrinsically reject clinical assessment or diagnosis of their current health status, and psychologically avoid facing the clinical evidence that explains their condition. (5) In her experience, older adults avoid individual assessment when it is straight clinically oriented, for fear of facing negative risk results. (6) She stated that, in her experience, gamification is very effective for promoting health technology, but that older adults reject it hard when the game or exercise is linked to clinical results; on this basis she supported the Stage-3 decoupling approach. (7) Speaking from a sociology perspective rather than an engineering one, she shared the same view of older adults' behaviour, supported the FIDS-to-FIAS construction and the adaptive-learning proposition, and stated that older adults perform better when grouped and building dynamics: partnering and group dynamics reduce initial dropout and, eventually, abandonment of the health technology. She emphasised that the key components extend beyond engineering excellence and design: the environment, the people who are using the same technology, and predictable or expected results are the key components that support older adults in adopting health technologies.</w:t>
      </w:r>
    </w:p>
    <w:p>
      <w:pPr>
        <w:jc w:val="both"/>
      </w:pPr>
      <w:r>
        <w:t>H.4  Use in the thesis. The consultation is cited at §3.2 (method), §6.8A (interpretation of the commitment gap), §7.5.3 (coaching-protocol support) and §8.5 (candidate moderators). It is treated throughout as interpretive evidence from an independent discipline — one consultation, recorded in the author's notes — and not as participant data, validation, or a demonstrated result for electronic games.</w:t>
      </w:r>
    </w:p>
    <w:p>
      <w:pPr>
        <w:jc w:val="both"/>
      </w:pPr>
      <w:r>
        <w:t>H.5  Interview guide (as used). The consultation followed a semi-structured guide (45-60 minutes; archived as Expert_Interview_Guide_2026.docx, Appendix G item G.11), designed to elicit the expert's independent reading before study specifics were revealed. Its sections and questions, in compact form: A. Background — the expert's role and what their discipline sees about falls that other fields miss. B. The engagement problem — after hearing the field observation (adverse first experience, non-return even where measured performance improved): does the pattern match their experience; what is happening inside the non-return; why does the first experience carry so much weight. C. Framing and purpose — after hearing the decoupled-deployment result: why would removing the clinical frame change behaviour; is a "test" socially different from a "game" for this generation. D. The commitment gap — what would explain high session completion with low regular-use intention; what builds the habit rather than the visit. E. The social dimension — asked open-endedly BEFORE revealing that study play was individual: does alone-versus-together change the experience; would group play change engagement and in which direction; when would social play backfire; how does culture shape the answer. F. Adaptive learning and design — reaction to the adaptive-learning proposal; through what channel adaptation would actually operate (private mastery or between people); one measure they would add to a follow-up study. G. Closing — anything not covered; other perspectives to seek; confirmation of attribution preference and quote-approval contact. The guide's post-interview checklist requires the record to be written within 48 hours, the consent filed, and attribution sentences approved before binding.</w:t>
      </w:r>
    </w:p>
    <w:p>
      <w:pPr>
        <w:jc w:val="both"/>
      </w:pPr>
      <w:r>
        <w:t>H.6  Consultation record - Dr Gary Kui-Kai Lau. Standpoint: stroke neurologist; Assistant Dean (Education Innovations) and Clinical Associate Professor, Division of Neurology, LKS Faculty of Medicine, The University of Hong Kong; founder of the HKU STROKE Research Group (2018); developer of AI-enabled mobile applications for stroke recovery. Prior collaboration with the author on stroke-prevention education games is disclosed. Conduct: June 2026, in person, approximately one hour, Cantonese mixed with English; author's notes primary. Consent: obtained after the June consultation, completed 10 August 2026 (nine statements initialled GL; signature image), countersigned 11 August 2026; named attribution elected in writing ('Ok to be identified', WhatsApp, 11 Aug 2026) - the form's tick transcribes that written election, and both artifacts are archived. Substance: patients lack patience with slow-improving health technology; gamification contributes joyful participation; the long recovery journey is difficult, boring and lonely, and current technology shows no progressive positive signs; older patients give up easily and many abandon rehabilitation entirely - not a minority group; coaching is the best and most direct approach but cannot scale (family cost; therapist scarcity); whether games change minds and behaviour he cannot yet be sure - 'a good start to find out'.</w:t>
      </w:r>
    </w:p>
    <w:p>
      <w:pPr>
        <w:jc w:val="both"/>
      </w:pPr>
      <w:r>
        <w:rPr/>
        <w:t>Record status at 30 September 2026: a second consultation took place in September 2026 (in person, approximately thirty minutes, audio-recorded; transcript dated 7 September 2026), joined by Dr Lau's doctoral researcher, and is summarised at §6.12; a member-check form covering both summaries was issued on 7 September 2026 and no response was on file; Dr Lau's named attribution rests on his written election of 11 August 2026; the doctoral researcher is reported pseudonymously, no attribution election having been received; his remarks on a product under development are withheld in the absence of his sensitivity election. If no member-check response is on file at submission, the status stands as stated here.</w:t>
      </w:r>
    </w:p>
    <w:p>
      <w:pPr>
        <w:jc w:val="both"/>
      </w:pPr>
      <w:r>
        <w:t>H.7  Consultation record - Dr Philip Choy. Standpoint: certified naturopathic physician (ANMCB 06394) and Doctor of Natural Medicine; President of the Hong Kong Academy of Naturopath; over twenty-five years of clinical practice in Hong Kong with more than one thousand older patients, concentrated in chronic disease. He practises naturopathic and complementary medicine and is not a registered medical practitioner under the Medical Registration Ordinance; his contribution is practice-based insight into older adults' health behaviour. Conduct: 4 August 2026, telephone, approximately 30 minutes, Cantonese and English; not audio-recorded; author's notes primary. Consent: signed the same day (all nine statements initialled) - the only record in which consent and consultation fall on the same day. The named-attribution box was ticked on-screen by the researcher on Dr Choy's behalf, after Dr Choy had returned the form with neither identification box marked and asked whether he needed to resend a corrected version; the researcher sent him the completed form, and Dr Choy acknowledged it in writing by WhatsApp the same evening (4 August 2026, 7:20 PM) and again on 5 August 2026 (5:21 PM), after asking whether he needed to tick the boxes himself and being told he could change the election at any time. Named attribution therefore rests on his written assent to the completed form, not on a tick in his own hand; the researcher countersigned, and the WhatsApp transmittal and acknowledgement chain is archived. Substance: the adopting demographic is educated, financially independent, 65-70 and upward, engaging on identified benefit; short-term visible benefit is critical; gamified health technology can sustain positive mentality where results are slow, with rewarding as the critical part; the failure-driven abandonment syndrome is very possible in his caseload; and - put the definitional question - the game does not cause it: it arises from concerns about one's own health performance. Token rewards do not motivate this educated segment.</w:t>
      </w:r>
    </w:p>
    <w:p>
      <w:pPr>
        <w:jc w:val="both"/>
      </w:pPr>
      <w:r>
        <w:rPr/>
        <w:t>Member-check: the summary was sent to Dr Choy on 4 August 2026 and a short note of review, with any disagreement, was requested on 5 August; his replies that day concerned the identification boxes and closed with an acknowledgement, and no comment on the summary's content, and no disagreement, was received by 30 September 2026 (WhatsApp chain archived). The record therefore stands as the author's notes, and his named attribution rests on his written assent to the consent form completed on his behalf, given on 4 August and repeated on 5 August 2026 (above).</w:t>
      </w:r>
    </w:p>
    <w:p>
      <w:pPr>
        <w:jc w:val="both"/>
      </w:pPr>
      <w:r>
        <w:t>H.8  Consultation record - Expert P (pseudonymised at his election). Standpoint: senior physiotherapist, over twenty-five years of practice, trained locally; former chair of a Hong Kong professional physiotherapy body; operates his own practice serving clients from professional trainers to stroke-rehabilitation patients. Identity is held in the confidential consent record only. Conduct: March 2026 (the first consultation), telephone, approximately 25 minutes, Cantonese mixed with English; author's notes primary; consent signed and countersigned 4 August 2026 with anonymity elected (dual-dated); a dated follow-up on 5 August 2026 closed identified gaps. Substance: a two-week-to-two-month abandonment window in post-surgical rehabilitation; abandonment driven by reward scarcity, slow visible progress and loss of faith rather than technology difficulty as such, with difficulty acting at entry; necessary complexity of balance, fall-risk and cognitive assessment; an infantilisation warning; the observed-failure effect (higher-educated patients observed failing stop immediately); and the reward contradiction across educated and working-class older adults. In the follow-up he played the decoupled build and judged it suitable for FRA, with a stated regular-return intention; his summary was reviewed and endorsed by him in writing ('Perfect', 5 Aug 2026) - the panel's first member-checked record.</w:t>
      </w:r>
    </w:p>
    <w:p>
      <w:pPr>
        <w:pStyle w:val="Heading2"/>
      </w:pPr>
      <w:r>
        <w:t>Appendix I · Stage-3B Component Study: Record to the 30 September 2026 Cut-off</w:t>
      </w:r>
    </w:p>
    <w:p>
      <w:pPr>
        <w:pStyle w:val="Heading3"/>
      </w:pPr>
      <w:r>
        <w:t>I.1 · Status and Scope</w:t>
      </w:r>
    </w:p>
    <w:p>
      <w:pPr/>
      <w:r>
        <w:t>This appendix records the Stage-3B component study as it stands at a stated cut-off, 30 September 2026; the frozen edition's clean-run window (15 September – 15 October 2026) was still open at that date, and returns received after it are archived as received and form no part of this record. It is a descriptive record, not a results chapter. Because the study remains outside the evidence base, it is presented as a settled account at a stated cut-off, without open results cells; the author's decision of 26 September 2026 (recorded in the thesis repository as a dated decision note, Appendix G item G.12) set that course, the author's amendment of 29 September 2026 named the close of the clean-run window as the intended cut-off, and the author's decision of 2 October 2026 closed the record stated in this thesis at 30 September 2026 (item G.12). After the initial round of Stage 3B, the learning measurement available in the records was not articulated to the adaptive-learning construct set out in Chapter 7 (I.6), and Stage 3B is no longer used to determine whether an adaptive-learning process occurs in the AI-enabled zero-failure game mechanism. The thesis concludes on the Stage 1–3A record; adaptive learning is carried as a design direction for discussion and future study (Chapter 7; §8.8; §9.5).</w:t>
      </w:r>
    </w:p>
    <w:p>
      <w:pPr/>
      <w:r>
        <w:t>Three bodies of record are compiled here (Table I.1): the pre-specified design and its builds (I.2–I.3); the participant returns on record, verified, excluded and clean-run (I.4); and a separate researcher self-test batch on the Pro v4.1 build (I.5). No confirmatory analysis is reported, and no arm contrast is computed. Stage 3B was pre-specified by repository-dated records of 8–9 August 2026; it was not registered in an external registry, and the term "pre-registered" is not used for it. The record is closed at 30 September 2026, inside the frozen edition's clean-run window (15 September – 15 October 2026); any return received after that date is archived as received and forms no part of this record. The returns listed are those received to 30 September 2026, reported on descriptive terms and without any arm comparison. Nothing in this appendix feeds a result table in the main text.</w:t>
      </w:r>
    </w:p>
    <w:p>
      <w:pPr>
        <w:pStyle w:val="FigureCaption"/>
      </w:pPr>
      <w:r>
        <w:t>Table I.1. Status of the Stage-3B record at the 30 September 2026 cut-off (returns received to 30 September 2026).</w:t>
      </w:r>
    </w:p>
    <w:tbl>
      <w:tblPr>
        <w:tblStyle w:val="TableGrid"/>
        <w:tblW w:type="auto" w:w="0"/>
        <w:tblLook w:firstColumn="1" w:firstRow="1" w:lastColumn="0" w:lastRow="0" w:noHBand="0" w:noVBand="1" w:val="04A0"/>
      </w:tblPr>
      <w:tblGrid>
        <w:gridCol w:w="2835"/>
        <w:gridCol w:w="2835"/>
        <w:gridCol w:w="2835"/>
      </w:tblGrid>
      <w:tr>
        <w:tc>
          <w:tcPr>
            <w:tcW w:type="dxa" w:w="2736"/>
          </w:tcPr>
          <w:p>
            <w:r/>
            <w:r>
              <w:rPr>
                <w:b/>
                <w:sz w:val="17"/>
              </w:rPr>
              <w:t>Component</w:t>
            </w:r>
          </w:p>
        </w:tc>
        <w:tc>
          <w:tcPr>
            <w:tcW w:type="dxa" w:w="4320"/>
          </w:tcPr>
          <w:p>
            <w:r/>
            <w:r>
              <w:rPr>
                <w:b/>
                <w:sz w:val="17"/>
              </w:rPr>
              <w:t>Status at cut-off</w:t>
            </w:r>
          </w:p>
        </w:tc>
        <w:tc>
          <w:tcPr>
            <w:tcW w:type="dxa" w:w="2304"/>
          </w:tcPr>
          <w:p>
            <w:r/>
            <w:r>
              <w:rPr>
                <w:b/>
                <w:sz w:val="17"/>
              </w:rPr>
              <w:t>Where recorded</w:t>
            </w:r>
          </w:p>
        </w:tc>
      </w:tr>
      <w:tr>
        <w:tc>
          <w:tcPr>
            <w:tcW w:type="dxa" w:w="2736"/>
          </w:tcPr>
          <w:p>
            <w:r/>
            <w:r>
              <w:rPr>
                <w:sz w:val="17"/>
              </w:rPr>
              <w:t>Design and analysis hierarchy</w:t>
            </w:r>
          </w:p>
        </w:tc>
        <w:tc>
          <w:tcPr>
            <w:tcW w:type="dxa" w:w="4320"/>
          </w:tcPr>
          <w:p>
            <w:r/>
            <w:r>
              <w:rPr>
                <w:sz w:val="17"/>
              </w:rPr>
              <w:t>Pre-specified, repository-dated 8–9 Aug 2026 (473046c, 846a286, 59b7881, 13a6e91); held constant at the 15 Sep freeze</w:t>
            </w:r>
          </w:p>
        </w:tc>
        <w:tc>
          <w:tcPr>
            <w:tcW w:type="dxa" w:w="2304"/>
          </w:tcPr>
          <w:p>
            <w:r/>
            <w:r>
              <w:rPr>
                <w:sz w:val="17"/>
              </w:rPr>
              <w:t>Stage3B_Mini_Protocol_DRAFT.docx; FREEZE_RECORD.md; git log</w:t>
            </w:r>
          </w:p>
        </w:tc>
      </w:tr>
      <w:tr>
        <w:tc>
          <w:tcPr>
            <w:tcW w:type="dxa" w:w="2736"/>
          </w:tcPr>
          <w:p>
            <w:r/>
            <w:r>
              <w:rPr>
                <w:sz w:val="17"/>
              </w:rPr>
              <w:t>August field deployment (9-Aug device set, DEV1–DEV5)</w:t>
            </w:r>
          </w:p>
        </w:tc>
        <w:tc>
          <w:tcPr>
            <w:tcW w:type="dxa" w:w="4320"/>
          </w:tcPr>
          <w:p>
            <w:r/>
            <w:r>
              <w:rPr>
                <w:sz w:val="17"/>
              </w:rPr>
              <w:t>Distributed 10–12 Aug 2026; one verified return (15 Aug); reported as a pilot on an earlier sub-edition</w:t>
            </w:r>
          </w:p>
        </w:tc>
        <w:tc>
          <w:tcPr>
            <w:tcW w:type="dxa" w:w="2304"/>
          </w:tcPr>
          <w:p>
            <w:r/>
            <w:r>
              <w:rPr>
                <w:sz w:val="17"/>
              </w:rPr>
              <w:t>distribution_records/; stage3b_returns/README.md; FREEZE_RECORD.md</w:t>
            </w:r>
          </w:p>
        </w:tc>
      </w:tr>
      <w:tr>
        <w:tc>
          <w:tcPr>
            <w:tcW w:type="dxa" w:w="2736"/>
          </w:tcPr>
          <w:p>
            <w:r/>
            <w:r>
              <w:rPr>
                <w:sz w:val="17"/>
              </w:rPr>
              <w:t>Frozen study edition (FROZEN20260915)</w:t>
            </w:r>
          </w:p>
        </w:tc>
        <w:tc>
          <w:tcPr>
            <w:tcW w:type="dxa" w:w="4320"/>
          </w:tcPr>
          <w:p>
            <w:r/>
            <w:r>
              <w:rPr>
                <w:sz w:val="17"/>
              </w:rPr>
              <w:t>Frozen 15 Sep 2026; 20 tagged copies and hosted links recorded by 17 Sep; clean-run window 15 Sep–15 Oct 2026; record closed 30 Sep 2026</w:t>
            </w:r>
          </w:p>
        </w:tc>
        <w:tc>
          <w:tcPr>
            <w:tcW w:type="dxa" w:w="2304"/>
          </w:tcPr>
          <w:p>
            <w:r/>
            <w:r>
              <w:rPr>
                <w:sz w:val="17"/>
              </w:rPr>
              <w:t>study_build_FROZEN_2026-09-15/</w:t>
            </w:r>
          </w:p>
        </w:tc>
      </w:tr>
      <w:tr>
        <w:tc>
          <w:tcPr>
            <w:tcW w:type="dxa" w:w="2736"/>
          </w:tcPr>
          <w:p>
            <w:r/>
            <w:r>
              <w:rPr>
                <w:sz w:val="17"/>
              </w:rPr>
              <w:t>Clean-run returns</w:t>
            </w:r>
          </w:p>
        </w:tc>
        <w:tc>
          <w:tcPr>
            <w:tcW w:type="dxa" w:w="4320"/>
          </w:tcPr>
          <w:p>
            <w:r/>
            <w:r>
              <w:rPr>
                <w:sz w:val="17"/>
              </w:rPr>
              <w:t>Five on record: B53Y2F (D13; played 16 Sep, received 30 Sep as a converted copy) and BVSU69, B7GRDA, BZ323A, B59AGN (D01; 29 Sep); content checks pass; record closed 30 Sep 2026, inside the window 15 Sep–15 Oct 2026; later returns archived as received, not entered (I.1, I.4)</w:t>
            </w:r>
          </w:p>
        </w:tc>
        <w:tc>
          <w:tcPr>
            <w:tcW w:type="dxa" w:w="2304"/>
          </w:tcPr>
          <w:p>
            <w:r/>
            <w:r>
              <w:rPr>
                <w:sz w:val="17"/>
              </w:rPr>
              <w:t>stage3b_returns/ (B9V8YA; five FROZEN returns with SHA-256); git log</w:t>
            </w:r>
          </w:p>
        </w:tc>
      </w:tr>
      <w:tr>
        <w:tc>
          <w:tcPr>
            <w:tcW w:type="dxa" w:w="2736"/>
          </w:tcPr>
          <w:p>
            <w:r/>
            <w:r>
              <w:rPr>
                <w:sz w:val="17"/>
              </w:rPr>
              <w:t>Excluded returns</w:t>
            </w:r>
          </w:p>
        </w:tc>
        <w:tc>
          <w:tcPr>
            <w:tcW w:type="dxa" w:w="4320"/>
          </w:tcPr>
          <w:p>
            <w:r/>
            <w:r>
              <w:rPr>
                <w:sz w:val="17"/>
              </w:rPr>
              <w:t>Five received 15 Sep 2026; excluded (wrong build, solicited, all arm A)</w:t>
            </w:r>
          </w:p>
        </w:tc>
        <w:tc>
          <w:tcPr>
            <w:tcW w:type="dxa" w:w="2304"/>
          </w:tcPr>
          <w:p>
            <w:r/>
            <w:r>
              <w:rPr>
                <w:sz w:val="17"/>
              </w:rPr>
              <w:t>stage3b_returns_PENDING_VERIFICATION/README_VERIFICATION_FINDINGS.md</w:t>
            </w:r>
          </w:p>
        </w:tc>
      </w:tr>
      <w:tr>
        <w:tc>
          <w:tcPr>
            <w:tcW w:type="dxa" w:w="2736"/>
          </w:tcPr>
          <w:p>
            <w:r/>
            <w:r>
              <w:rPr>
                <w:sz w:val="17"/>
              </w:rPr>
              <w:t>Pro v4.1 researcher self-test (Batch 01 and two later exports)</w:t>
            </w:r>
          </w:p>
        </w:tc>
        <w:tc>
          <w:tcPr>
            <w:tcW w:type="dxa" w:w="4320"/>
          </w:tcPr>
          <w:p>
            <w:r/>
            <w:r>
              <w:rPr>
                <w:sz w:val="17"/>
              </w:rPr>
              <w:t>Batch 01: ten exports, five codes, reports dated 20 Sep (archived 26 Sep); two further exports (PFWU9V, PXG3R9) received 29 Sep; seven codes, 53 runs; raw exports on file for all seven codes, each Batch 01 file matching the reports</w:t>
            </w:r>
          </w:p>
        </w:tc>
        <w:tc>
          <w:tcPr>
            <w:tcW w:type="dxa" w:w="2304"/>
          </w:tcPr>
          <w:p>
            <w:r/>
            <w:r>
              <w:rPr>
                <w:sz w:val="17"/>
              </w:rPr>
              <w:t>pro_v4_selftest/batch01/</w:t>
            </w:r>
          </w:p>
        </w:tc>
      </w:tr>
      <w:tr>
        <w:tc>
          <w:tcPr>
            <w:tcW w:type="dxa" w:w="2736"/>
          </w:tcPr>
          <w:p>
            <w:r/>
            <w:r>
              <w:rPr>
                <w:sz w:val="17"/>
              </w:rPr>
              <w:t>Confirmatory analysis</w:t>
            </w:r>
          </w:p>
        </w:tc>
        <w:tc>
          <w:tcPr>
            <w:tcW w:type="dxa" w:w="4320"/>
          </w:tcPr>
          <w:p>
            <w:r/>
            <w:r>
              <w:rPr>
                <w:sz w:val="17"/>
              </w:rPr>
              <w:t>Not performed; not reported</w:t>
            </w:r>
          </w:p>
        </w:tc>
        <w:tc>
          <w:tcPr>
            <w:tcW w:type="dxa" w:w="2304"/>
          </w:tcPr>
          <w:p>
            <w:r/>
            <w:r>
              <w:rPr>
                <w:sz w:val="17"/>
              </w:rPr>
              <w:t>—</w:t>
            </w:r>
          </w:p>
        </w:tc>
      </w:tr>
      <w:tr>
        <w:tc>
          <w:tcPr>
            <w:tcW w:type="dxa" w:w="2736"/>
          </w:tcPr>
          <w:p>
            <w:r/>
            <w:r>
              <w:rPr>
                <w:sz w:val="17"/>
              </w:rPr>
              <w:t>Use as the adaptive-learning test</w:t>
            </w:r>
          </w:p>
        </w:tc>
        <w:tc>
          <w:tcPr>
            <w:tcW w:type="dxa" w:w="4320"/>
          </w:tcPr>
          <w:p>
            <w:r/>
            <w:r>
              <w:rPr>
                <w:sz w:val="17"/>
              </w:rPr>
              <w:t>Discontinued by the author's decision of 26 September 2026 (I.6; decision note, G.12)</w:t>
            </w:r>
          </w:p>
        </w:tc>
        <w:tc>
          <w:tcPr>
            <w:tcW w:type="dxa" w:w="2304"/>
          </w:tcPr>
          <w:p>
            <w:r/>
            <w:r>
              <w:rPr>
                <w:sz w:val="17"/>
              </w:rPr>
              <w:t>§8.8</w:t>
            </w:r>
          </w:p>
        </w:tc>
      </w:tr>
    </w:tbl>
    <w:p>
      <w:pPr/>
      <w:r/>
    </w:p>
    <w:p>
      <w:pPr>
        <w:pStyle w:val="Heading3"/>
      </w:pPr>
      <w:r>
        <w:t>I.2 · Design as Pre-specified (Repository-dated 8–9 August 2026)</w:t>
      </w:r>
    </w:p>
    <w:p>
      <w:pPr/>
      <w:r>
        <w:t>Stage 3B was specified as a silent 2×2 component experiment in a new, remotely recruited cohort: difficulty presentation (arm A adaptive versus arm B static) crossed with failure mode (ZF zero-failure versus GO game-over). Assignment is made in the build at the consent event by two independent random draws and persisted in the participant's browser storage (effectively per browser profile), so that a participant who returns in the same browser keeps the same cell while a fresh browser context would draw again; the participant is not told which cell applies. One confirmatory contrast was pre-specified: adaptive versus static on questionnaire item D2 ("I would be willing to play this game regularly."), scored top-two-box and pooled across failure modes; the failure-mode factor and the interaction were designated exploratory; sessions played was recorded as a co-primary outcome; the framing rule was to be fixed on the observed N before analysis; all pre-specified outcomes were to be reported regardless of direction. The adaptive arm runs the build's rule agent (Table I.2) together with coaching messages and a trajectory display; the static arm holds a fixed ×0.85 pace with coaching suppressed. The adaptive-versus-static contrast therefore estimates an adaptive-support package (difficulty adjustment plus coaching) rather than difficulty adjustment alone; this is recorded here as a property of the design, not corrected retrospectively. The protocol's Option A recruitment threshold was N ≥ 40, described as powered for large effects (about 25 percentage points) at about 50 per arm; the situation evaluation of 13 September 2026 gave N ≈ 10–25 as a realistic band for friend-of-friend distribution with a manual return step.</w:t>
      </w:r>
    </w:p>
    <w:p>
      <w:pPr>
        <w:pStyle w:val="FigureCaption"/>
      </w:pPr>
      <w:r>
        <w:t>Table I.2. Stage-3B build parameters as coded in the frozen study edition (Alpine3B_STUDY_DEV1_FROZEN_2026-09-15.html; SHA-256 in CHECKSUMS.txt).</w:t>
      </w:r>
    </w:p>
    <w:tbl>
      <w:tblPr>
        <w:tblStyle w:val="TableGrid"/>
        <w:tblW w:type="auto" w:w="0"/>
        <w:tblLook w:firstColumn="1" w:firstRow="1" w:lastColumn="0" w:lastRow="0" w:noHBand="0" w:noVBand="1" w:val="04A0"/>
      </w:tblPr>
      <w:tblGrid>
        <w:gridCol w:w="2835"/>
        <w:gridCol w:w="2835"/>
        <w:gridCol w:w="2835"/>
      </w:tblGrid>
      <w:tr>
        <w:tc>
          <w:tcPr>
            <w:tcW w:type="dxa" w:w="2160"/>
          </w:tcPr>
          <w:p>
            <w:r/>
            <w:r>
              <w:rPr>
                <w:b/>
                <w:sz w:val="16"/>
              </w:rPr>
              <w:t>Parameter</w:t>
            </w:r>
          </w:p>
        </w:tc>
        <w:tc>
          <w:tcPr>
            <w:tcW w:type="dxa" w:w="4896"/>
          </w:tcPr>
          <w:p>
            <w:r/>
            <w:r>
              <w:rPr>
                <w:b/>
                <w:sz w:val="16"/>
              </w:rPr>
              <w:t>Value in the build</w:t>
            </w:r>
          </w:p>
        </w:tc>
        <w:tc>
          <w:tcPr>
            <w:tcW w:type="dxa" w:w="2304"/>
          </w:tcPr>
          <w:p>
            <w:r/>
            <w:r>
              <w:rPr>
                <w:b/>
                <w:sz w:val="16"/>
              </w:rPr>
              <w:t>Source (frozen DEV1 file line / record)</w:t>
            </w:r>
          </w:p>
        </w:tc>
      </w:tr>
      <w:tr>
        <w:tc>
          <w:tcPr>
            <w:tcW w:type="dxa" w:w="2160"/>
          </w:tcPr>
          <w:p>
            <w:r/>
            <w:r>
              <w:rPr>
                <w:sz w:val="16"/>
              </w:rPr>
              <w:t>Factor 1: difficulty presentation</w:t>
            </w:r>
          </w:p>
        </w:tc>
        <w:tc>
          <w:tcPr>
            <w:tcW w:type="dxa" w:w="4896"/>
          </w:tcPr>
          <w:p>
            <w:r/>
            <w:r>
              <w:rPr>
                <w:sz w:val="16"/>
              </w:rPr>
              <w:t>arm A adaptive (rule agent + coaching + trajectory) / arm B static</w:t>
            </w:r>
          </w:p>
        </w:tc>
        <w:tc>
          <w:tcPr>
            <w:tcW w:type="dxa" w:w="2304"/>
          </w:tcPr>
          <w:p>
            <w:r/>
            <w:r>
              <w:rPr>
                <w:sz w:val="16"/>
              </w:rPr>
              <w:t>L509–515, L709, L1038–1040</w:t>
            </w:r>
          </w:p>
        </w:tc>
      </w:tr>
      <w:tr>
        <w:tc>
          <w:tcPr>
            <w:tcW w:type="dxa" w:w="2160"/>
          </w:tcPr>
          <w:p>
            <w:r/>
            <w:r>
              <w:rPr>
                <w:sz w:val="16"/>
              </w:rPr>
              <w:t>Factor 2: failure mode</w:t>
            </w:r>
          </w:p>
        </w:tc>
        <w:tc>
          <w:tcPr>
            <w:tcW w:type="dxa" w:w="4896"/>
          </w:tcPr>
          <w:p>
            <w:r/>
            <w:r>
              <w:rPr>
                <w:sz w:val="16"/>
              </w:rPr>
              <w:t>ZF zero-failure (30-s run completes) / GO game-over (third bump ends the run: livesLost&gt;=3, endReason 'three bumps')</w:t>
            </w:r>
          </w:p>
        </w:tc>
        <w:tc>
          <w:tcPr>
            <w:tcW w:type="dxa" w:w="2304"/>
          </w:tcPr>
          <w:p>
            <w:r/>
            <w:r>
              <w:rPr>
                <w:sz w:val="16"/>
              </w:rPr>
              <w:t>L510, L786, L1069</w:t>
            </w:r>
          </w:p>
        </w:tc>
      </w:tr>
      <w:tr>
        <w:tc>
          <w:tcPr>
            <w:tcW w:type="dxa" w:w="2160"/>
          </w:tcPr>
          <w:p>
            <w:r/>
            <w:r>
              <w:rPr>
                <w:sz w:val="16"/>
              </w:rPr>
              <w:t>Assignment</w:t>
            </w:r>
          </w:p>
        </w:tc>
        <w:tc>
          <w:tcPr>
            <w:tcW w:type="dxa" w:w="4896"/>
          </w:tcPr>
          <w:p>
            <w:r/>
            <w:r>
              <w:rPr>
                <w:sz w:val="16"/>
              </w:rPr>
              <w:t>At consent: arm = Math.random()&lt;0.5 ? 'A' : 'B'; failMode = Math.random()&lt;0.5 ? 'ZF' : 'GO'; stored in the P3B object in localStorage (try/catch-wrapped)</w:t>
            </w:r>
          </w:p>
        </w:tc>
        <w:tc>
          <w:tcPr>
            <w:tcW w:type="dxa" w:w="2304"/>
          </w:tcPr>
          <w:p>
            <w:r/>
            <w:r>
              <w:rPr>
                <w:sz w:val="16"/>
              </w:rPr>
              <w:t>L1281–1285; KNOWN_LIMITATION_in_app_browsers.md</w:t>
            </w:r>
          </w:p>
        </w:tc>
      </w:tr>
      <w:tr>
        <w:tc>
          <w:tcPr>
            <w:tcW w:type="dxa" w:w="2160"/>
          </w:tcPr>
          <w:p>
            <w:r/>
            <w:r>
              <w:rPr>
                <w:sz w:val="16"/>
              </w:rPr>
              <w:t>Participant code</w:t>
            </w:r>
          </w:p>
        </w:tc>
        <w:tc>
          <w:tcPr>
            <w:tcW w:type="dxa" w:w="4896"/>
          </w:tcPr>
          <w:p>
            <w:r/>
            <w:r>
              <w:rPr>
                <w:sz w:val="16"/>
              </w:rPr>
              <w:t>'B' + five random base-36 characters (e.g. B9V8YA)</w:t>
            </w:r>
          </w:p>
        </w:tc>
        <w:tc>
          <w:tcPr>
            <w:tcW w:type="dxa" w:w="2304"/>
          </w:tcPr>
          <w:p>
            <w:r/>
            <w:r>
              <w:rPr>
                <w:sz w:val="16"/>
              </w:rPr>
              <w:t>L476</w:t>
            </w:r>
          </w:p>
        </w:tc>
      </w:tr>
      <w:tr>
        <w:tc>
          <w:tcPr>
            <w:tcW w:type="dxa" w:w="2160"/>
          </w:tcPr>
          <w:p>
            <w:r/>
            <w:r>
              <w:rPr>
                <w:sz w:val="16"/>
              </w:rPr>
              <w:t>Run structure</w:t>
            </w:r>
          </w:p>
        </w:tc>
        <w:tc>
          <w:tcPr>
            <w:tcW w:type="dxa" w:w="4896"/>
          </w:tcPr>
          <w:p>
            <w:r/>
            <w:r>
              <w:rPr>
                <w:sz w:val="16"/>
              </w:rPr>
              <w:t>200 m goal, 30-s time cap (TIME_CAPS {200:30, 400:60}); BASE_SPEED 18 m/s at diff 1.0</w:t>
            </w:r>
          </w:p>
        </w:tc>
        <w:tc>
          <w:tcPr>
            <w:tcW w:type="dxa" w:w="2304"/>
          </w:tcPr>
          <w:p>
            <w:r/>
            <w:r>
              <w:rPr>
                <w:sz w:val="16"/>
              </w:rPr>
              <w:t>L480, L483, L512–513</w:t>
            </w:r>
          </w:p>
        </w:tc>
      </w:tr>
      <w:tr>
        <w:tc>
          <w:tcPr>
            <w:tcW w:type="dxa" w:w="2160"/>
          </w:tcPr>
          <w:p>
            <w:r/>
            <w:r>
              <w:rPr>
                <w:sz w:val="16"/>
              </w:rPr>
              <w:t>Rule agent (arm A)</w:t>
            </w:r>
          </w:p>
        </w:tc>
        <w:tc>
          <w:tcPr>
            <w:tcW w:type="dxa" w:w="4896"/>
          </w:tcPr>
          <w:p>
            <w:r/>
            <w:r>
              <w:rPr>
                <w:sz w:val="16"/>
              </w:rPr>
              <w:t>Evaluates every 6 s (EVAL_INTERVAL_S=6); avoid rate &gt;0.8 with &gt;=2 obstacles faced → diff +0.10; &lt;0.4 → diff −0.15; model-path value clamped to ±0.15 per evaluation (L696); bounds DIFF_MIN 0.30, DIFF_MAX 1.50; initial diff 0.60 ('gentle floor')</w:t>
            </w:r>
          </w:p>
        </w:tc>
        <w:tc>
          <w:tcPr>
            <w:tcW w:type="dxa" w:w="2304"/>
          </w:tcPr>
          <w:p>
            <w:r/>
            <w:r>
              <w:rPr>
                <w:sz w:val="16"/>
              </w:rPr>
              <w:t>L481–482, L515, L671–672, L696</w:t>
            </w:r>
          </w:p>
        </w:tc>
      </w:tr>
      <w:tr>
        <w:tc>
          <w:tcPr>
            <w:tcW w:type="dxa" w:w="2160"/>
          </w:tcPr>
          <w:p>
            <w:r/>
            <w:r>
              <w:rPr>
                <w:sz w:val="16"/>
              </w:rPr>
              <w:t>Static arm (arm B)</w:t>
            </w:r>
          </w:p>
        </w:tc>
        <w:tc>
          <w:tcPr>
            <w:tcW w:type="dxa" w:w="4896"/>
          </w:tcPr>
          <w:p>
            <w:r/>
            <w:r>
              <w:rPr>
                <w:sz w:val="16"/>
              </w:rPr>
              <w:t>diff fixed at 0.85; agent not called; 'static arm: no coaching'; coach panel hidden</w:t>
            </w:r>
          </w:p>
        </w:tc>
        <w:tc>
          <w:tcPr>
            <w:tcW w:type="dxa" w:w="2304"/>
          </w:tcPr>
          <w:p>
            <w:r/>
            <w:r>
              <w:rPr>
                <w:sz w:val="16"/>
              </w:rPr>
              <w:t>L515, L709, L806, L1038</w:t>
            </w:r>
          </w:p>
        </w:tc>
      </w:tr>
      <w:tr>
        <w:tc>
          <w:tcPr>
            <w:tcW w:type="dxa" w:w="2160"/>
          </w:tcPr>
          <w:p>
            <w:r/>
            <w:r>
              <w:rPr>
                <w:sz w:val="16"/>
              </w:rPr>
              <w:t>Optional model-call path</w:t>
            </w:r>
          </w:p>
        </w:tc>
        <w:tc>
          <w:tcPr>
            <w:tcW w:type="dxa" w:w="4896"/>
          </w:tcPr>
          <w:p>
            <w:r/>
            <w:r>
              <w:rPr>
                <w:sz w:val="16"/>
              </w:rPr>
              <w:t>Present but off by default; no credential in the file; falls back to the rule agent; decision source logged (rules / model / fallback)</w:t>
            </w:r>
          </w:p>
        </w:tc>
        <w:tc>
          <w:tcPr>
            <w:tcW w:type="dxa" w:w="2304"/>
          </w:tcPr>
          <w:p>
            <w:r/>
            <w:r>
              <w:rPr>
                <w:sz w:val="16"/>
              </w:rPr>
              <w:t>Appendix G, item G.0A; code inspection of the frozen DEV1 file (L214, L511, L681–L700)</w:t>
            </w:r>
          </w:p>
        </w:tc>
      </w:tr>
      <w:tr>
        <w:tc>
          <w:tcPr>
            <w:tcW w:type="dxa" w:w="2160"/>
          </w:tcPr>
          <w:p>
            <w:r/>
            <w:r>
              <w:rPr>
                <w:sz w:val="16"/>
              </w:rPr>
              <w:t>Consent and enrolment</w:t>
            </w:r>
          </w:p>
        </w:tc>
        <w:tc>
          <w:tcPr>
            <w:tcW w:type="dxa" w:w="4896"/>
          </w:tcPr>
          <w:p>
            <w:r/>
            <w:r>
              <w:rPr>
                <w:sz w:val="16"/>
              </w:rPr>
              <w:t>In-build consent screen citing HSEARS20260805008 with consent_ts written to the export; enrolment: age band, gender, education, prior-play screen</w:t>
            </w:r>
          </w:p>
        </w:tc>
        <w:tc>
          <w:tcPr>
            <w:tcW w:type="dxa" w:w="2304"/>
          </w:tcPr>
          <w:p>
            <w:r/>
            <w:r>
              <w:rPr>
                <w:sz w:val="16"/>
              </w:rPr>
              <w:t>L280, L299, L1160, L1176, L1282; Situation Evaluation (a)</w:t>
            </w:r>
          </w:p>
        </w:tc>
      </w:tr>
      <w:tr>
        <w:tc>
          <w:tcPr>
            <w:tcW w:type="dxa" w:w="2160"/>
          </w:tcPr>
          <w:p>
            <w:r/>
            <w:r>
              <w:rPr>
                <w:sz w:val="16"/>
              </w:rPr>
              <w:t>Questionnaire (four items, 5-point)</w:t>
            </w:r>
          </w:p>
        </w:tc>
        <w:tc>
          <w:tcPr>
            <w:tcW w:type="dxa" w:w="4896"/>
          </w:tcPr>
          <w:p>
            <w:r/>
            <w:r>
              <w:rPr>
                <w:sz w:val="16"/>
              </w:rPr>
              <w:t>D1 'The game was a good coordination challenge.'; D2 'I would be willing to play this game regularly.'; F1 'The game matched my ability.'; F2 'Seeing my progress made me want to continue.'</w:t>
            </w:r>
          </w:p>
        </w:tc>
        <w:tc>
          <w:tcPr>
            <w:tcW w:type="dxa" w:w="2304"/>
          </w:tcPr>
          <w:p>
            <w:r/>
            <w:r>
              <w:rPr>
                <w:sz w:val="16"/>
              </w:rPr>
              <w:t>L308–311, L1345–1346</w:t>
            </w:r>
          </w:p>
        </w:tc>
      </w:tr>
      <w:tr>
        <w:tc>
          <w:tcPr>
            <w:tcW w:type="dxa" w:w="2160"/>
          </w:tcPr>
          <w:p>
            <w:r/>
            <w:r>
              <w:rPr>
                <w:sz w:val="16"/>
              </w:rPr>
              <w:t>Confirmatory contrast</w:t>
            </w:r>
          </w:p>
        </w:tc>
        <w:tc>
          <w:tcPr>
            <w:tcW w:type="dxa" w:w="4896"/>
          </w:tcPr>
          <w:p>
            <w:r/>
            <w:r>
              <w:rPr>
                <w:sz w:val="16"/>
              </w:rPr>
              <w:t>Adaptive vs static on D2 top-two-box, pooled across failure modes; failure-mode factor and interaction exploratory; sessions played co-primary</w:t>
            </w:r>
          </w:p>
        </w:tc>
        <w:tc>
          <w:tcPr>
            <w:tcW w:type="dxa" w:w="2304"/>
          </w:tcPr>
          <w:p>
            <w:r/>
            <w:r>
              <w:rPr>
                <w:sz w:val="16"/>
              </w:rPr>
              <w:t>FREEZE_RECORD.md; stage3b_returns/README.md rule 3; Situation Evaluation (a)</w:t>
            </w:r>
          </w:p>
        </w:tc>
      </w:tr>
      <w:tr>
        <w:tc>
          <w:tcPr>
            <w:tcW w:type="dxa" w:w="2160"/>
          </w:tcPr>
          <w:p>
            <w:r/>
            <w:r>
              <w:rPr>
                <w:sz w:val="16"/>
              </w:rPr>
              <w:t>Export contents</w:t>
            </w:r>
          </w:p>
        </w:tc>
        <w:tc>
          <w:tcPr>
            <w:tcW w:type="dxa" w:w="4896"/>
          </w:tcPr>
          <w:p>
            <w:r/>
            <w:r>
              <w:rPr>
                <w:sz w:val="16"/>
              </w:rPr>
              <w:t>build stamp; device_id; participant_code; arm; failure_mode; language; consent_agreed/consent_ts; per-run state log; questionnaire</w:t>
            </w:r>
          </w:p>
        </w:tc>
        <w:tc>
          <w:tcPr>
            <w:tcW w:type="dxa" w:w="2304"/>
          </w:tcPr>
          <w:p>
            <w:r/>
            <w:r>
              <w:rPr>
                <w:sz w:val="16"/>
              </w:rPr>
              <w:t>L1157–1160, L1174–1176</w:t>
            </w:r>
          </w:p>
        </w:tc>
      </w:tr>
      <w:tr>
        <w:tc>
          <w:tcPr>
            <w:tcW w:type="dxa" w:w="2160"/>
          </w:tcPr>
          <w:p>
            <w:r/>
            <w:r>
              <w:rPr>
                <w:sz w:val="16"/>
              </w:rPr>
              <w:t>Return route</w:t>
            </w:r>
          </w:p>
        </w:tc>
        <w:tc>
          <w:tcPr>
            <w:tcW w:type="dxa" w:w="4896"/>
          </w:tcPr>
          <w:p>
            <w:r/>
            <w:r>
              <w:rPr>
                <w:sz w:val="16"/>
              </w:rPr>
              <w:t>Participant or distributor sends the export (WeChat share, copy, save, or e-mail to the researcher); nothing is transmitted automatically</w:t>
            </w:r>
          </w:p>
        </w:tc>
        <w:tc>
          <w:tcPr>
            <w:tcW w:type="dxa" w:w="2304"/>
          </w:tcPr>
          <w:p>
            <w:r/>
            <w:r>
              <w:rPr>
                <w:sz w:val="16"/>
              </w:rPr>
              <w:t>PLAYER_INSTRUCTIONS_ZH.md; DISTRIBUTOR_INSTRUCTIONS_EN_ZH.md; G.0A</w:t>
            </w:r>
          </w:p>
        </w:tc>
      </w:tr>
      <w:tr>
        <w:tc>
          <w:tcPr>
            <w:tcW w:type="dxa" w:w="2160"/>
          </w:tcPr>
          <w:p>
            <w:r/>
            <w:r>
              <w:rPr>
                <w:sz w:val="16"/>
              </w:rPr>
              <w:t>Build stamp (frozen edition)</w:t>
            </w:r>
          </w:p>
        </w:tc>
        <w:tc>
          <w:tcPr>
            <w:tcW w:type="dxa" w:w="4896"/>
          </w:tcPr>
          <w:p>
            <w:r/>
            <w:r>
              <w:rPr>
                <w:sz w:val="16"/>
              </w:rPr>
              <w:t>Alpine_Coordination_Game_v3.1s_Stage3B_FROZEN20260915 (three occurrences)</w:t>
            </w:r>
          </w:p>
        </w:tc>
        <w:tc>
          <w:tcPr>
            <w:tcW w:type="dxa" w:w="2304"/>
          </w:tcPr>
          <w:p>
            <w:r/>
            <w:r>
              <w:rPr>
                <w:sz w:val="16"/>
              </w:rPr>
              <w:t>L1157, L1174, L1391; FREEZE_RECORD.md</w:t>
            </w:r>
          </w:p>
        </w:tc>
      </w:tr>
      <w:tr>
        <w:tc>
          <w:tcPr>
            <w:tcW w:type="dxa" w:w="2160"/>
          </w:tcPr>
          <w:p>
            <w:r/>
            <w:r>
              <w:rPr>
                <w:sz w:val="16"/>
              </w:rPr>
              <w:t>Sample target</w:t>
            </w:r>
          </w:p>
        </w:tc>
        <w:tc>
          <w:tcPr>
            <w:tcW w:type="dxa" w:w="4896"/>
          </w:tcPr>
          <w:p>
            <w:r/>
            <w:r>
              <w:rPr>
                <w:sz w:val="16"/>
              </w:rPr>
              <w:t>Option A: N &gt;= 40 ('powered for large effects (~25pp) at ~50/arm')</w:t>
            </w:r>
          </w:p>
        </w:tc>
        <w:tc>
          <w:tcPr>
            <w:tcW w:type="dxa" w:w="2304"/>
          </w:tcPr>
          <w:p>
            <w:r/>
            <w:r>
              <w:rPr>
                <w:sz w:val="16"/>
              </w:rPr>
              <w:t>Stage3B_Situation_Evaluation_2026-09-13.md (c)</w:t>
            </w:r>
          </w:p>
        </w:tc>
      </w:tr>
      <w:tr>
        <w:tc>
          <w:tcPr>
            <w:tcW w:type="dxa" w:w="2160"/>
          </w:tcPr>
          <w:p>
            <w:r/>
            <w:r>
              <w:rPr>
                <w:sz w:val="16"/>
              </w:rPr>
              <w:t>Ethics reference</w:t>
            </w:r>
          </w:p>
        </w:tc>
        <w:tc>
          <w:tcPr>
            <w:tcW w:type="dxa" w:w="4896"/>
          </w:tcPr>
          <w:p>
            <w:r/>
            <w:r>
              <w:rPr>
                <w:sz w:val="16"/>
              </w:rPr>
              <w:t>HSEARS20260805008, approved 6 Aug 2026, period to 30 Oct 2026</w:t>
            </w:r>
          </w:p>
        </w:tc>
        <w:tc>
          <w:tcPr>
            <w:tcW w:type="dxa" w:w="2304"/>
          </w:tcPr>
          <w:p>
            <w:r/>
            <w:r>
              <w:rPr>
                <w:sz w:val="16"/>
              </w:rPr>
              <w:t>§3.4; approval memo (ethics record)</w:t>
            </w:r>
          </w:p>
        </w:tc>
      </w:tr>
    </w:tbl>
    <w:p>
      <w:pPr/>
      <w:r/>
    </w:p>
    <w:p>
      <w:pPr>
        <w:pStyle w:val="Heading3"/>
      </w:pPr>
      <w:r>
        <w:t>I.3 · Build and Distribution Lineage</w:t>
      </w:r>
    </w:p>
    <w:p>
      <w:pPr/>
      <w:r>
        <w:t>Three software editions bear on the record (Table I.3; Figure I.1). The 9 August 2026 device set (commit 59b7881, adding the 2×2 factor to the v3.0 single-file build) was the edition distributed to distributors on 10–12 August; the one verified return of 15 August carries the failure_mode field that exists only from that commit. The 13 August revisions (b8028e5 run-end CSV export; 923a25e gains-only scoring with combo, dodges and XP; a1afc42 input-mode logging) produced the September working edition, which still carried the internal label v3.0; it was not distributed to the August cohort, but a copy of it was re-sent on 15 September and produced the five excluded returns. On 15 September the September edition was frozen as the study build with the identifier FROZEN20260915 as the only change (verified by diff), issued as five channel-tagged copies (DEV1–DEV5, SHA-256 in CHECKSUMS.txt) and then as twenty distributor-tagged copies (D01–D20, device_id baked in) with hosted links recorded on 17 September. Scores are not comparable across editions (the 13 August scoring change alters coin values); the pre-specified outcomes (D2 top-two-box; sessions played) do not involve the score. The record also holds the situation evaluation of 13 September, which identified an author-uploaded file as the pre-2×2 commit abf1603; that identification was superseded the same day when the verified return's fields established the 59b7881 generation, and the later records (FREEZE_RECORD.md; the v3.x row of the build-lineage matrix, Appendix G, item G.0A) follow the corrected finding. Exposure figures for the August deployment are author-reported (about 20 distributors, about 100 recipients) and are not verified by any repository artifact; the screenshots on record show two distributors receiving DEV1 and DEV2. For the frozen edition, which distributors received which tag, and how many people played, is not on record (I.7).</w:t>
      </w:r>
    </w:p>
    <w:p>
      <w:pPr>
        <w:pStyle w:val="FigureCaption"/>
      </w:pPr>
      <w:r>
        <w:t>Table I.3. Build and distribution lineage, 8 August – 30 September 2026 (dates UTC from the repository log; exposure only as recorded).</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296"/>
          </w:tcPr>
          <w:p>
            <w:r/>
            <w:r>
              <w:rPr>
                <w:b/>
                <w:sz w:val="15"/>
              </w:rPr>
              <w:t>Date (UTC)</w:t>
            </w:r>
          </w:p>
        </w:tc>
        <w:tc>
          <w:tcPr>
            <w:tcW w:type="dxa" w:w="1872"/>
          </w:tcPr>
          <w:p>
            <w:r/>
            <w:r>
              <w:rPr>
                <w:b/>
                <w:sz w:val="15"/>
              </w:rPr>
              <w:t>Commit / stamp</w:t>
            </w:r>
          </w:p>
        </w:tc>
        <w:tc>
          <w:tcPr>
            <w:tcW w:type="dxa" w:w="2880"/>
          </w:tcPr>
          <w:p>
            <w:r/>
            <w:r>
              <w:rPr>
                <w:b/>
                <w:sz w:val="15"/>
              </w:rPr>
              <w:t>Change</w:t>
            </w:r>
          </w:p>
        </w:tc>
        <w:tc>
          <w:tcPr>
            <w:tcW w:type="dxa" w:w="1872"/>
          </w:tcPr>
          <w:p>
            <w:r/>
            <w:r>
              <w:rPr>
                <w:b/>
                <w:sz w:val="15"/>
              </w:rPr>
              <w:t>Deployment</w:t>
            </w:r>
          </w:p>
        </w:tc>
        <w:tc>
          <w:tcPr>
            <w:tcW w:type="dxa" w:w="1440"/>
          </w:tcPr>
          <w:p>
            <w:r/>
            <w:r>
              <w:rPr>
                <w:b/>
                <w:sz w:val="15"/>
              </w:rPr>
              <w:t>Exposure on record</w:t>
            </w:r>
          </w:p>
        </w:tc>
      </w:tr>
      <w:tr>
        <w:tc>
          <w:tcPr>
            <w:tcW w:type="dxa" w:w="1296"/>
          </w:tcPr>
          <w:p>
            <w:r/>
            <w:r>
              <w:rPr>
                <w:sz w:val="15"/>
              </w:rPr>
              <w:t>8 Aug 2026</w:t>
            </w:r>
          </w:p>
        </w:tc>
        <w:tc>
          <w:tcPr>
            <w:tcW w:type="dxa" w:w="1872"/>
          </w:tcPr>
          <w:p>
            <w:r/>
            <w:r>
              <w:rPr>
                <w:sz w:val="15"/>
              </w:rPr>
              <w:t>473046c; 846a286</w:t>
            </w:r>
          </w:p>
        </w:tc>
        <w:tc>
          <w:tcPr>
            <w:tcW w:type="dxa" w:w="2880"/>
          </w:tcPr>
          <w:p>
            <w:r/>
            <w:r>
              <w:rPr>
                <w:sz w:val="15"/>
              </w:rPr>
              <w:t>Mini-protocol drafted; amended (new-cohort requirement, prior-play screening)</w:t>
            </w:r>
          </w:p>
        </w:tc>
        <w:tc>
          <w:tcPr>
            <w:tcW w:type="dxa" w:w="1872"/>
          </w:tcPr>
          <w:p>
            <w:r/>
            <w:r>
              <w:rPr>
                <w:sz w:val="15"/>
              </w:rPr>
              <w:t>—</w:t>
            </w:r>
          </w:p>
        </w:tc>
        <w:tc>
          <w:tcPr>
            <w:tcW w:type="dxa" w:w="1440"/>
          </w:tcPr>
          <w:p>
            <w:r/>
            <w:r>
              <w:rPr>
                <w:sz w:val="15"/>
              </w:rPr>
              <w:t>—</w:t>
            </w:r>
          </w:p>
        </w:tc>
      </w:tr>
      <w:tr>
        <w:tc>
          <w:tcPr>
            <w:tcW w:type="dxa" w:w="1296"/>
          </w:tcPr>
          <w:p>
            <w:r/>
            <w:r>
              <w:rPr>
                <w:sz w:val="15"/>
              </w:rPr>
              <w:t>9 Aug 2026 06:09</w:t>
            </w:r>
          </w:p>
        </w:tc>
        <w:tc>
          <w:tcPr>
            <w:tcW w:type="dxa" w:w="1872"/>
          </w:tcPr>
          <w:p>
            <w:r/>
            <w:r>
              <w:rPr>
                <w:sz w:val="15"/>
              </w:rPr>
              <w:t>v3.0 build (commit 6ef4f3f, repository log)</w:t>
            </w:r>
          </w:p>
        </w:tc>
        <w:tc>
          <w:tcPr>
            <w:tcW w:type="dxa" w:w="2880"/>
          </w:tcPr>
          <w:p>
            <w:r/>
            <w:r>
              <w:rPr>
                <w:sz w:val="15"/>
              </w:rPr>
              <w:t>Single-file bilingual build: consent, enrolment, silent two-arm assignment, D1/D2/F1/F2, export</w:t>
            </w:r>
          </w:p>
        </w:tc>
        <w:tc>
          <w:tcPr>
            <w:tcW w:type="dxa" w:w="1872"/>
          </w:tcPr>
          <w:p>
            <w:r/>
            <w:r>
              <w:rPr>
                <w:sz w:val="15"/>
              </w:rPr>
              <w:t>Not distributed</w:t>
            </w:r>
          </w:p>
        </w:tc>
        <w:tc>
          <w:tcPr>
            <w:tcW w:type="dxa" w:w="1440"/>
          </w:tcPr>
          <w:p>
            <w:r/>
            <w:r>
              <w:rPr>
                <w:sz w:val="15"/>
              </w:rPr>
              <w:t>—</w:t>
            </w:r>
          </w:p>
        </w:tc>
      </w:tr>
      <w:tr>
        <w:tc>
          <w:tcPr>
            <w:tcW w:type="dxa" w:w="1296"/>
          </w:tcPr>
          <w:p>
            <w:r/>
            <w:r>
              <w:rPr>
                <w:sz w:val="15"/>
              </w:rPr>
              <w:t>9 Aug 2026 06:58</w:t>
            </w:r>
          </w:p>
        </w:tc>
        <w:tc>
          <w:tcPr>
            <w:tcW w:type="dxa" w:w="1872"/>
          </w:tcPr>
          <w:p>
            <w:r/>
            <w:r>
              <w:rPr>
                <w:sz w:val="15"/>
              </w:rPr>
              <w:t>abf1603</w:t>
            </w:r>
          </w:p>
        </w:tc>
        <w:tc>
          <w:tcPr>
            <w:tcW w:type="dxa" w:w="2880"/>
          </w:tcPr>
          <w:p>
            <w:r/>
            <w:r>
              <w:rPr>
                <w:sz w:val="15"/>
              </w:rPr>
              <w:t>Shared-device support; five device copies DEV1–DEV5</w:t>
            </w:r>
          </w:p>
        </w:tc>
        <w:tc>
          <w:tcPr>
            <w:tcW w:type="dxa" w:w="1872"/>
          </w:tcPr>
          <w:p>
            <w:r/>
            <w:r>
              <w:rPr>
                <w:sz w:val="15"/>
              </w:rPr>
              <w:t>Not distributed (superseded 11 min later)</w:t>
            </w:r>
          </w:p>
        </w:tc>
        <w:tc>
          <w:tcPr>
            <w:tcW w:type="dxa" w:w="1440"/>
          </w:tcPr>
          <w:p>
            <w:r/>
            <w:r>
              <w:rPr>
                <w:sz w:val="15"/>
              </w:rPr>
              <w:t>—</w:t>
            </w:r>
          </w:p>
        </w:tc>
      </w:tr>
      <w:tr>
        <w:tc>
          <w:tcPr>
            <w:tcW w:type="dxa" w:w="1296"/>
          </w:tcPr>
          <w:p>
            <w:r/>
            <w:r>
              <w:rPr>
                <w:sz w:val="15"/>
              </w:rPr>
              <w:t>9 Aug 2026 07:09</w:t>
            </w:r>
          </w:p>
        </w:tc>
        <w:tc>
          <w:tcPr>
            <w:tcW w:type="dxa" w:w="1872"/>
          </w:tcPr>
          <w:p>
            <w:r/>
            <w:r>
              <w:rPr>
                <w:sz w:val="15"/>
              </w:rPr>
              <w:t>59b7881 (build string Alpine_Coordination_Game_v3.0_Stage3B)</w:t>
            </w:r>
          </w:p>
        </w:tc>
        <w:tc>
          <w:tcPr>
            <w:tcW w:type="dxa" w:w="2880"/>
          </w:tcPr>
          <w:p>
            <w:r/>
            <w:r>
              <w:rPr>
                <w:sz w:val="15"/>
              </w:rPr>
              <w:t>Randomised failure-mode factor: 2×2</w:t>
            </w:r>
          </w:p>
        </w:tc>
        <w:tc>
          <w:tcPr>
            <w:tcW w:type="dxa" w:w="1872"/>
          </w:tcPr>
          <w:p>
            <w:r/>
            <w:r>
              <w:rPr>
                <w:sz w:val="15"/>
              </w:rPr>
              <w:t>Device set distributed 10–12 Aug via WeChat (DEV2 sent 10 Aug 23:35; DEV1 by 12 Aug)</w:t>
            </w:r>
          </w:p>
        </w:tc>
        <w:tc>
          <w:tcPr>
            <w:tcW w:type="dxa" w:w="1440"/>
          </w:tcPr>
          <w:p>
            <w:r/>
            <w:r>
              <w:rPr>
                <w:sz w:val="15"/>
              </w:rPr>
              <w:t>One verified return (B9V8YA, 15 Aug); distributor/recipient counts author-reported only</w:t>
            </w:r>
          </w:p>
        </w:tc>
      </w:tr>
      <w:tr>
        <w:tc>
          <w:tcPr>
            <w:tcW w:type="dxa" w:w="1296"/>
          </w:tcPr>
          <w:p>
            <w:r/>
            <w:r>
              <w:rPr>
                <w:sz w:val="15"/>
              </w:rPr>
              <w:t>9 Aug 2026 07:20</w:t>
            </w:r>
          </w:p>
        </w:tc>
        <w:tc>
          <w:tcPr>
            <w:tcW w:type="dxa" w:w="1872"/>
          </w:tcPr>
          <w:p>
            <w:r/>
            <w:r>
              <w:rPr>
                <w:sz w:val="15"/>
              </w:rPr>
              <w:t>13a6e91</w:t>
            </w:r>
          </w:p>
        </w:tc>
        <w:tc>
          <w:tcPr>
            <w:tcW w:type="dxa" w:w="2880"/>
          </w:tcPr>
          <w:p>
            <w:r/>
            <w:r>
              <w:rPr>
                <w:sz w:val="15"/>
              </w:rPr>
              <w:t>Pre-specified inferential hierarchy (single confirmatory contrast)</w:t>
            </w:r>
          </w:p>
        </w:tc>
        <w:tc>
          <w:tcPr>
            <w:tcW w:type="dxa" w:w="1872"/>
          </w:tcPr>
          <w:p>
            <w:r/>
            <w:r>
              <w:rPr>
                <w:sz w:val="15"/>
              </w:rPr>
              <w:t>—</w:t>
            </w:r>
          </w:p>
        </w:tc>
        <w:tc>
          <w:tcPr>
            <w:tcW w:type="dxa" w:w="1440"/>
          </w:tcPr>
          <w:p>
            <w:r/>
            <w:r>
              <w:rPr>
                <w:sz w:val="15"/>
              </w:rPr>
              <w:t>Recruitment pitch 9 Aug 15:42 local post-dates this commit</w:t>
            </w:r>
          </w:p>
        </w:tc>
      </w:tr>
      <w:tr>
        <w:tc>
          <w:tcPr>
            <w:tcW w:type="dxa" w:w="1296"/>
          </w:tcPr>
          <w:p>
            <w:r/>
            <w:r>
              <w:rPr>
                <w:sz w:val="15"/>
              </w:rPr>
              <w:t>13 Aug 2026</w:t>
            </w:r>
          </w:p>
        </w:tc>
        <w:tc>
          <w:tcPr>
            <w:tcW w:type="dxa" w:w="1872"/>
          </w:tcPr>
          <w:p>
            <w:r/>
            <w:r>
              <w:rPr>
                <w:sz w:val="15"/>
              </w:rPr>
              <w:t>b8028e5; 923a25e; a1afc42 (09:08)</w:t>
            </w:r>
          </w:p>
        </w:tc>
        <w:tc>
          <w:tcPr>
            <w:tcW w:type="dxa" w:w="2880"/>
          </w:tcPr>
          <w:p>
            <w:r/>
            <w:r>
              <w:rPr>
                <w:sz w:val="15"/>
              </w:rPr>
              <w:t>CSV export; gains-only scoring (v3.1); Input_Mode logging</w:t>
            </w:r>
          </w:p>
        </w:tc>
        <w:tc>
          <w:tcPr>
            <w:tcW w:type="dxa" w:w="1872"/>
          </w:tcPr>
          <w:p>
            <w:r/>
            <w:r>
              <w:rPr>
                <w:sz w:val="15"/>
              </w:rPr>
              <w:t>Not distributed to the August cohort; one copy re-sent 15 Sep</w:t>
            </w:r>
          </w:p>
        </w:tc>
        <w:tc>
          <w:tcPr>
            <w:tcW w:type="dxa" w:w="1440"/>
          </w:tcPr>
          <w:p>
            <w:r/>
            <w:r>
              <w:rPr>
                <w:sz w:val="15"/>
              </w:rPr>
              <w:t>Five returns 15 Sep (excluded)</w:t>
            </w:r>
          </w:p>
        </w:tc>
      </w:tr>
      <w:tr>
        <w:tc>
          <w:tcPr>
            <w:tcW w:type="dxa" w:w="1296"/>
          </w:tcPr>
          <w:p>
            <w:r/>
            <w:r>
              <w:rPr>
                <w:sz w:val="15"/>
              </w:rPr>
              <w:t>15 Aug 2026</w:t>
            </w:r>
          </w:p>
        </w:tc>
        <w:tc>
          <w:tcPr>
            <w:tcW w:type="dxa" w:w="1872"/>
          </w:tcPr>
          <w:p>
            <w:r/>
            <w:r>
              <w:rPr>
                <w:sz w:val="15"/>
              </w:rPr>
              <w:t>ed7fa45</w:t>
            </w:r>
          </w:p>
        </w:tc>
        <w:tc>
          <w:tcPr>
            <w:tcW w:type="dxa" w:w="2880"/>
          </w:tcPr>
          <w:p>
            <w:r/>
            <w:r>
              <w:rPr>
                <w:sz w:val="15"/>
              </w:rPr>
              <w:t>First return archived as received</w:t>
            </w:r>
          </w:p>
        </w:tc>
        <w:tc>
          <w:tcPr>
            <w:tcW w:type="dxa" w:w="1872"/>
          </w:tcPr>
          <w:p>
            <w:r/>
            <w:r>
              <w:rPr>
                <w:sz w:val="15"/>
              </w:rPr>
              <w:t>—</w:t>
            </w:r>
          </w:p>
        </w:tc>
        <w:tc>
          <w:tcPr>
            <w:tcW w:type="dxa" w:w="1440"/>
          </w:tcPr>
          <w:p>
            <w:r/>
            <w:r>
              <w:rPr>
                <w:sz w:val="15"/>
              </w:rPr>
              <w:t>B9V8YA (arm B, ZF, DEV2)</w:t>
            </w:r>
          </w:p>
        </w:tc>
      </w:tr>
      <w:tr>
        <w:tc>
          <w:tcPr>
            <w:tcW w:type="dxa" w:w="1296"/>
          </w:tcPr>
          <w:p>
            <w:r/>
            <w:r>
              <w:rPr>
                <w:sz w:val="15"/>
              </w:rPr>
              <w:t>12–13 Sep 2026</w:t>
            </w:r>
          </w:p>
        </w:tc>
        <w:tc>
          <w:tcPr>
            <w:tcW w:type="dxa" w:w="1872"/>
          </w:tcPr>
          <w:p>
            <w:r/>
            <w:r>
              <w:rPr>
                <w:sz w:val="15"/>
              </w:rPr>
              <w:t>0cf4b80; 026b2a2; 68f7930; b65cedf; 3690ad3</w:t>
            </w:r>
          </w:p>
        </w:tc>
        <w:tc>
          <w:tcPr>
            <w:tcW w:type="dxa" w:w="2880"/>
          </w:tcPr>
          <w:p>
            <w:r/>
            <w:r>
              <w:rPr>
                <w:sz w:val="15"/>
              </w:rPr>
              <w:t>Evidence verification plan; distribution record (five screenshots); situation evaluation; first return re-archived as received; original return e-mail archived</w:t>
            </w:r>
          </w:p>
        </w:tc>
        <w:tc>
          <w:tcPr>
            <w:tcW w:type="dxa" w:w="1872"/>
          </w:tcPr>
          <w:p>
            <w:r/>
            <w:r>
              <w:rPr>
                <w:sz w:val="15"/>
              </w:rPr>
              <w:t>—</w:t>
            </w:r>
          </w:p>
        </w:tc>
        <w:tc>
          <w:tcPr>
            <w:tcW w:type="dxa" w:w="1440"/>
          </w:tcPr>
          <w:p>
            <w:r/>
            <w:r>
              <w:rPr>
                <w:sz w:val="15"/>
              </w:rPr>
              <w:t>—</w:t>
            </w:r>
          </w:p>
        </w:tc>
      </w:tr>
      <w:tr>
        <w:tc>
          <w:tcPr>
            <w:tcW w:type="dxa" w:w="1296"/>
          </w:tcPr>
          <w:p>
            <w:r/>
            <w:r>
              <w:rPr>
                <w:sz w:val="15"/>
              </w:rPr>
              <w:t>15 Sep 2026 09:46–10:07</w:t>
            </w:r>
          </w:p>
        </w:tc>
        <w:tc>
          <w:tcPr>
            <w:tcW w:type="dxa" w:w="1872"/>
          </w:tcPr>
          <w:p>
            <w:r/>
            <w:r>
              <w:rPr>
                <w:sz w:val="15"/>
              </w:rPr>
              <w:t>(13-Aug edition, label v3.0)</w:t>
            </w:r>
          </w:p>
        </w:tc>
        <w:tc>
          <w:tcPr>
            <w:tcW w:type="dxa" w:w="2880"/>
          </w:tcPr>
          <w:p>
            <w:r/>
            <w:r>
              <w:rPr>
                <w:sz w:val="15"/>
              </w:rPr>
              <w:t>Five solicited plays after a re-send</w:t>
            </w:r>
          </w:p>
        </w:tc>
        <w:tc>
          <w:tcPr>
            <w:tcW w:type="dxa" w:w="1872"/>
          </w:tcPr>
          <w:p>
            <w:r/>
            <w:r>
              <w:rPr>
                <w:sz w:val="15"/>
              </w:rPr>
              <w:t>DEV1 copy re-sent to two sources</w:t>
            </w:r>
          </w:p>
        </w:tc>
        <w:tc>
          <w:tcPr>
            <w:tcW w:type="dxa" w:w="1440"/>
          </w:tcPr>
          <w:p>
            <w:r/>
            <w:r>
              <w:rPr>
                <w:sz w:val="15"/>
              </w:rPr>
              <w:t>Five exports; quarantined 079939d, excluded 5374a64</w:t>
            </w:r>
          </w:p>
        </w:tc>
      </w:tr>
      <w:tr>
        <w:tc>
          <w:tcPr>
            <w:tcW w:type="dxa" w:w="1296"/>
          </w:tcPr>
          <w:p>
            <w:r/>
            <w:r>
              <w:rPr>
                <w:sz w:val="15"/>
              </w:rPr>
              <w:t>15 Sep 2026 11:52</w:t>
            </w:r>
          </w:p>
        </w:tc>
        <w:tc>
          <w:tcPr>
            <w:tcW w:type="dxa" w:w="1872"/>
          </w:tcPr>
          <w:p>
            <w:r/>
            <w:r>
              <w:rPr>
                <w:sz w:val="15"/>
              </w:rPr>
              <w:t>2f61e62; stamp Alpine_Coordination_Game_v3.1s_Stage3B_FROZEN20260915</w:t>
            </w:r>
          </w:p>
        </w:tc>
        <w:tc>
          <w:tcPr>
            <w:tcW w:type="dxa" w:w="2880"/>
          </w:tcPr>
          <w:p>
            <w:r/>
            <w:r>
              <w:rPr>
                <w:sz w:val="15"/>
              </w:rPr>
              <w:t>Freeze: identifier string only; DEV1–DEV5 frozen; SHA-256 recorded</w:t>
            </w:r>
          </w:p>
        </w:tc>
        <w:tc>
          <w:tcPr>
            <w:tcW w:type="dxa" w:w="1872"/>
          </w:tcPr>
          <w:p>
            <w:r/>
            <w:r>
              <w:rPr>
                <w:sz w:val="15"/>
              </w:rPr>
              <w:t>Clean-run window 15 Sep–15 Oct 2026</w:t>
            </w:r>
          </w:p>
        </w:tc>
        <w:tc>
          <w:tcPr>
            <w:tcW w:type="dxa" w:w="1440"/>
          </w:tcPr>
          <w:p>
            <w:r/>
            <w:r>
              <w:rPr>
                <w:sz w:val="15"/>
              </w:rPr>
              <w:t>No return on record</w:t>
            </w:r>
          </w:p>
        </w:tc>
      </w:tr>
      <w:tr>
        <w:tc>
          <w:tcPr>
            <w:tcW w:type="dxa" w:w="1296"/>
          </w:tcPr>
          <w:p>
            <w:r/>
            <w:r>
              <w:rPr>
                <w:sz w:val="15"/>
              </w:rPr>
              <w:t>15 Sep 2026 11:56–14:56</w:t>
            </w:r>
          </w:p>
        </w:tc>
        <w:tc>
          <w:tcPr>
            <w:tcW w:type="dxa" w:w="1872"/>
          </w:tcPr>
          <w:p>
            <w:r/>
            <w:r>
              <w:rPr>
                <w:sz w:val="15"/>
              </w:rPr>
              <w:t>b27968f; a5dac74; 1a8d354; c5f9ec6; 50c3978</w:t>
            </w:r>
          </w:p>
        </w:tc>
        <w:tc>
          <w:tcPr>
            <w:tcW w:type="dxa" w:w="2880"/>
          </w:tcPr>
          <w:p>
            <w:r/>
            <w:r>
              <w:rPr>
                <w:sz w:val="15"/>
              </w:rPr>
              <w:t>Provenance rule; distributor-mediated mode; 20 tagged copies D01–D20; Chinese player instructions; helper-operated protocol</w:t>
            </w:r>
          </w:p>
        </w:tc>
        <w:tc>
          <w:tcPr>
            <w:tcW w:type="dxa" w:w="1872"/>
          </w:tcPr>
          <w:p>
            <w:r/>
            <w:r>
              <w:rPr>
                <w:sz w:val="15"/>
              </w:rPr>
              <w:t>Distributor copies D01–D20</w:t>
            </w:r>
          </w:p>
        </w:tc>
        <w:tc>
          <w:tcPr>
            <w:tcW w:type="dxa" w:w="1440"/>
          </w:tcPr>
          <w:p>
            <w:r/>
            <w:r>
              <w:rPr>
                <w:sz w:val="15"/>
              </w:rPr>
              <w:t>Tag-to-distributor list is an author-held record; not archived</w:t>
            </w:r>
          </w:p>
        </w:tc>
      </w:tr>
      <w:tr>
        <w:tc>
          <w:tcPr>
            <w:tcW w:type="dxa" w:w="1296"/>
          </w:tcPr>
          <w:p>
            <w:r/>
            <w:r>
              <w:rPr>
                <w:sz w:val="15"/>
              </w:rPr>
              <w:t>16 Sep 2026</w:t>
            </w:r>
          </w:p>
        </w:tc>
        <w:tc>
          <w:tcPr>
            <w:tcW w:type="dxa" w:w="1872"/>
          </w:tcPr>
          <w:p>
            <w:r/>
            <w:r>
              <w:rPr>
                <w:sz w:val="15"/>
              </w:rPr>
              <w:t>7e6cb69; f826699</w:t>
            </w:r>
          </w:p>
        </w:tc>
        <w:tc>
          <w:tcPr>
            <w:tcW w:type="dxa" w:w="2880"/>
          </w:tcPr>
          <w:p>
            <w:r/>
            <w:r>
              <w:rPr>
                <w:sz w:val="15"/>
              </w:rPr>
              <w:t>In-app-browser limitation verified as non-defect; helper card</w:t>
            </w:r>
          </w:p>
        </w:tc>
        <w:tc>
          <w:tcPr>
            <w:tcW w:type="dxa" w:w="1872"/>
          </w:tcPr>
          <w:p>
            <w:r/>
            <w:r>
              <w:rPr>
                <w:sz w:val="15"/>
              </w:rPr>
              <w:t>No code change; window not restarted</w:t>
            </w:r>
          </w:p>
        </w:tc>
        <w:tc>
          <w:tcPr>
            <w:tcW w:type="dxa" w:w="1440"/>
          </w:tcPr>
          <w:p>
            <w:r/>
            <w:r>
              <w:rPr>
                <w:sz w:val="15"/>
              </w:rPr>
              <w:t>—</w:t>
            </w:r>
          </w:p>
        </w:tc>
      </w:tr>
      <w:tr>
        <w:tc>
          <w:tcPr>
            <w:tcW w:type="dxa" w:w="1296"/>
          </w:tcPr>
          <w:p>
            <w:r/>
            <w:r>
              <w:rPr>
                <w:sz w:val="15"/>
              </w:rPr>
              <w:t>16 Sep 2026 04:47</w:t>
            </w:r>
          </w:p>
        </w:tc>
        <w:tc>
          <w:tcPr>
            <w:tcW w:type="dxa" w:w="1872"/>
          </w:tcPr>
          <w:p>
            <w:r/>
            <w:r>
              <w:rPr>
                <w:sz w:val="15"/>
              </w:rPr>
              <w:t>FROZEN20260915 (copy D13)</w:t>
            </w:r>
          </w:p>
        </w:tc>
        <w:tc>
          <w:tcPr>
            <w:tcW w:type="dxa" w:w="2880"/>
          </w:tcPr>
          <w:p>
            <w:r/>
            <w:r>
              <w:rPr>
                <w:sz w:val="15"/>
              </w:rPr>
              <w:t>First clean-run play on record: B53Y2F</w:t>
            </w:r>
          </w:p>
        </w:tc>
        <w:tc>
          <w:tcPr>
            <w:tcW w:type="dxa" w:w="1872"/>
          </w:tcPr>
          <w:p>
            <w:r/>
            <w:r>
              <w:rPr>
                <w:sz w:val="15"/>
              </w:rPr>
              <w:t>Clean-run window open</w:t>
            </w:r>
          </w:p>
        </w:tc>
        <w:tc>
          <w:tcPr>
            <w:tcW w:type="dxa" w:w="1440"/>
          </w:tcPr>
          <w:p>
            <w:r/>
            <w:r>
              <w:rPr>
                <w:sz w:val="15"/>
              </w:rPr>
              <w:t>One return (received 30 Sep 2026)</w:t>
            </w:r>
          </w:p>
        </w:tc>
      </w:tr>
      <w:tr>
        <w:tc>
          <w:tcPr>
            <w:tcW w:type="dxa" w:w="1296"/>
          </w:tcPr>
          <w:p>
            <w:r/>
            <w:r>
              <w:rPr>
                <w:sz w:val="15"/>
              </w:rPr>
              <w:t>17 Sep 2026</w:t>
            </w:r>
          </w:p>
        </w:tc>
        <w:tc>
          <w:tcPr>
            <w:tcW w:type="dxa" w:w="1872"/>
          </w:tcPr>
          <w:p>
            <w:r/>
            <w:r>
              <w:rPr>
                <w:sz w:val="15"/>
              </w:rPr>
              <w:t>0bc127f; a380696</w:t>
            </w:r>
          </w:p>
        </w:tc>
        <w:tc>
          <w:tcPr>
            <w:tcW w:type="dxa" w:w="2880"/>
          </w:tcPr>
          <w:p>
            <w:r/>
            <w:r>
              <w:rPr>
                <w:sz w:val="15"/>
              </w:rPr>
              <w:t>Hosted links on GitHub Pages per distributor (D01–D20); helper card hosted route</w:t>
            </w:r>
          </w:p>
        </w:tc>
        <w:tc>
          <w:tcPr>
            <w:tcW w:type="dxa" w:w="1872"/>
          </w:tcPr>
          <w:p>
            <w:r/>
            <w:r>
              <w:rPr>
                <w:sz w:val="15"/>
              </w:rPr>
              <w:t>https://leicatam.github.io/gamification/stage3b/Alpine3B_Dnn_FROZEN_2026-09-15.html</w:t>
            </w:r>
          </w:p>
        </w:tc>
        <w:tc>
          <w:tcPr>
            <w:tcW w:type="dxa" w:w="1440"/>
          </w:tcPr>
          <w:p>
            <w:r/>
            <w:r>
              <w:rPr>
                <w:sz w:val="15"/>
              </w:rPr>
              <w:t>No return on record</w:t>
            </w:r>
          </w:p>
        </w:tc>
      </w:tr>
      <w:tr>
        <w:tc>
          <w:tcPr>
            <w:tcW w:type="dxa" w:w="1296"/>
          </w:tcPr>
          <w:p>
            <w:r/>
            <w:r>
              <w:rPr>
                <w:sz w:val="15"/>
              </w:rPr>
              <w:t>19 Sep 2026</w:t>
            </w:r>
          </w:p>
        </w:tc>
        <w:tc>
          <w:tcPr>
            <w:tcW w:type="dxa" w:w="1872"/>
          </w:tcPr>
          <w:p>
            <w:r/>
            <w:r>
              <w:rPr>
                <w:sz w:val="15"/>
              </w:rPr>
              <w:t>e0961a8; d30d4ac</w:t>
            </w:r>
          </w:p>
        </w:tc>
        <w:tc>
          <w:tcPr>
            <w:tcW w:type="dxa" w:w="2880"/>
          </w:tcPr>
          <w:p>
            <w:r/>
            <w:r>
              <w:rPr>
                <w:sz w:val="15"/>
              </w:rPr>
              <w:t>Pro v4.1 self-test package and HTML recorded as received (separate namespace; GO only; participant release disabled)</w:t>
            </w:r>
          </w:p>
        </w:tc>
        <w:tc>
          <w:tcPr>
            <w:tcW w:type="dxa" w:w="1872"/>
          </w:tcPr>
          <w:p>
            <w:r/>
            <w:r>
              <w:rPr>
                <w:sz w:val="15"/>
              </w:rPr>
              <w:t>Researcher self-test only; offline build hosted at gh-pages /selftest/ per RECORD</w:t>
            </w:r>
          </w:p>
        </w:tc>
        <w:tc>
          <w:tcPr>
            <w:tcW w:type="dxa" w:w="1440"/>
          </w:tcPr>
          <w:p>
            <w:r/>
            <w:r>
              <w:rPr>
                <w:sz w:val="15"/>
              </w:rPr>
              <w:t>Seven stored codes, 16 visits, 19–20 Sep (Batch 01 reports: five codes, 12 visits)</w:t>
            </w:r>
          </w:p>
        </w:tc>
      </w:tr>
      <w:tr>
        <w:tc>
          <w:tcPr>
            <w:tcW w:type="dxa" w:w="1296"/>
          </w:tcPr>
          <w:p>
            <w:r/>
            <w:r>
              <w:rPr>
                <w:sz w:val="15"/>
              </w:rPr>
              <w:t>20 Sep 2026</w:t>
            </w:r>
          </w:p>
        </w:tc>
        <w:tc>
          <w:tcPr>
            <w:tcW w:type="dxa" w:w="1872"/>
          </w:tcPr>
          <w:p>
            <w:r/>
            <w:r>
              <w:rPr>
                <w:sz w:val="15"/>
              </w:rPr>
              <w:t>reports dated 20 Sep 2026; archived as received 26 Sep 2026 (commit 2dec262)</w:t>
            </w:r>
          </w:p>
        </w:tc>
        <w:tc>
          <w:tcPr>
            <w:tcW w:type="dxa" w:w="2880"/>
          </w:tcPr>
          <w:p>
            <w:r/>
            <w:r>
              <w:rPr>
                <w:sz w:val="15"/>
              </w:rPr>
              <w:t>Batch 01 Research Review; Learning Measurement addendum</w:t>
            </w:r>
          </w:p>
        </w:tc>
        <w:tc>
          <w:tcPr>
            <w:tcW w:type="dxa" w:w="1872"/>
          </w:tcPr>
          <w:p>
            <w:r/>
            <w:r>
              <w:rPr>
                <w:sz w:val="15"/>
              </w:rPr>
              <w:t>—</w:t>
            </w:r>
          </w:p>
        </w:tc>
        <w:tc>
          <w:tcPr>
            <w:tcW w:type="dxa" w:w="1440"/>
          </w:tcPr>
          <w:p>
            <w:r/>
            <w:r>
              <w:rPr>
                <w:sz w:val="15"/>
              </w:rPr>
              <w:t>—</w:t>
            </w:r>
          </w:p>
        </w:tc>
      </w:tr>
      <w:tr>
        <w:tc>
          <w:tcPr>
            <w:tcW w:type="dxa" w:w="1296"/>
          </w:tcPr>
          <w:p>
            <w:r/>
            <w:r>
              <w:rPr>
                <w:sz w:val="15"/>
              </w:rPr>
              <w:t>26 Sep 2026</w:t>
            </w:r>
          </w:p>
        </w:tc>
        <w:tc>
          <w:tcPr>
            <w:tcW w:type="dxa" w:w="1872"/>
          </w:tcPr>
          <w:p>
            <w:r/>
            <w:r>
              <w:rPr>
                <w:sz w:val="15"/>
              </w:rPr>
              <w:t>decision note (G.12)</w:t>
            </w:r>
          </w:p>
        </w:tc>
        <w:tc>
          <w:tcPr>
            <w:tcW w:type="dxa" w:w="2880"/>
          </w:tcPr>
          <w:p>
            <w:r/>
            <w:r>
              <w:rPr>
                <w:sz w:val="15"/>
              </w:rPr>
              <w:t>Author's decision: Stage 3B not used as the adaptive-learning test</w:t>
            </w:r>
          </w:p>
        </w:tc>
        <w:tc>
          <w:tcPr>
            <w:tcW w:type="dxa" w:w="1872"/>
          </w:tcPr>
          <w:p>
            <w:r/>
            <w:r>
              <w:rPr>
                <w:sz w:val="15"/>
              </w:rPr>
              <w:t>—</w:t>
            </w:r>
          </w:p>
        </w:tc>
        <w:tc>
          <w:tcPr>
            <w:tcW w:type="dxa" w:w="1440"/>
          </w:tcPr>
          <w:p>
            <w:r/>
            <w:r>
              <w:rPr>
                <w:sz w:val="15"/>
              </w:rPr>
              <w:t>Clean-run returns: none</w:t>
            </w:r>
          </w:p>
        </w:tc>
      </w:tr>
      <w:tr>
        <w:tc>
          <w:tcPr>
            <w:tcW w:type="dxa" w:w="1296"/>
          </w:tcPr>
          <w:p>
            <w:r>
              <w:rPr>
                <w:sz w:val="15"/>
              </w:rPr>
              <w:t>29 Sep 2026</w:t>
            </w:r>
          </w:p>
        </w:tc>
        <w:tc>
          <w:tcPr>
            <w:tcW w:type="dxa" w:w="1872"/>
          </w:tcPr>
          <w:p>
            <w:r>
              <w:rPr>
                <w:sz w:val="15"/>
              </w:rPr>
              <w:t>decision amendment (G.12)</w:t>
            </w:r>
          </w:p>
        </w:tc>
        <w:tc>
          <w:tcPr>
            <w:tcW w:type="dxa" w:w="2880"/>
          </w:tcPr>
          <w:p>
            <w:r>
              <w:rPr>
                <w:sz w:val="15"/>
              </w:rPr>
              <w:t>Four FROZEN20260915 returns (D01) received; author's amendment names the close of the clean-run window as the intended cut-off</w:t>
            </w:r>
          </w:p>
        </w:tc>
        <w:tc>
          <w:tcPr>
            <w:tcW w:type="dxa" w:w="1872"/>
          </w:tcPr>
          <w:p>
            <w:r>
              <w:rPr>
                <w:sz w:val="15"/>
              </w:rPr>
              <w:t>Clean-run window open</w:t>
            </w:r>
          </w:p>
        </w:tc>
        <w:tc>
          <w:tcPr>
            <w:tcW w:type="dxa" w:w="1440"/>
          </w:tcPr>
          <w:p>
            <w:r>
              <w:rPr>
                <w:sz w:val="15"/>
              </w:rPr>
              <w:t>Clean-run returns: four that day; a fifth (B53Y2F, played 16 Sep) received 30 Sep</w:t>
            </w:r>
          </w:p>
        </w:tc>
      </w:tr>
      <w:tr>
        <w:tc>
          <w:tcPr>
            <w:tcW w:type="dxa" w:w="1296"/>
          </w:tcPr>
          <w:p>
            <w:r>
              <w:rPr>
                <w:sz w:val="15"/>
              </w:rPr>
              <w:t>30 Sep 2026</w:t>
            </w:r>
          </w:p>
        </w:tc>
        <w:tc>
          <w:tcPr>
            <w:tcW w:type="dxa" w:w="1872"/>
          </w:tcPr>
          <w:p>
            <w:r>
              <w:rPr>
                <w:sz w:val="15"/>
              </w:rPr>
              <w:t>record closed (decision of 2 Oct 2026, G.12)</w:t>
            </w:r>
          </w:p>
        </w:tc>
        <w:tc>
          <w:tcPr>
            <w:tcW w:type="dxa" w:w="2880"/>
          </w:tcPr>
          <w:p>
            <w:r>
              <w:rPr>
                <w:sz w:val="15"/>
              </w:rPr>
              <w:t>Thesis record closed inside the clean-run window (window end 15 Oct 2026)</w:t>
            </w:r>
          </w:p>
        </w:tc>
        <w:tc>
          <w:tcPr>
            <w:tcW w:type="dxa" w:w="1872"/>
          </w:tcPr>
          <w:p>
            <w:r>
              <w:rPr>
                <w:sz w:val="15"/>
              </w:rPr>
              <w:t>—</w:t>
            </w:r>
          </w:p>
        </w:tc>
        <w:tc>
          <w:tcPr>
            <w:tcW w:type="dxa" w:w="1440"/>
          </w:tcPr>
          <w:p>
            <w:r>
              <w:rPr>
                <w:sz w:val="15"/>
              </w:rPr>
              <w:t>Five clean-run returns on record (Table I.4)</w:t>
            </w:r>
          </w:p>
        </w:tc>
      </w:tr>
    </w:tbl>
    <w:p>
      <w:pPr/>
      <w:r/>
    </w:p>
    <w:p>
      <w:pPr>
        <w:jc w:val="center"/>
      </w:pPr>
      <w:r>
        <w:drawing>
          <wp:inline>
            <wp:extent cx="5486400" cy="2885089"/>
            <wp:docPr id="41" name="Picture 41" descr="Figure I.1. Repository-dated events for Stage 3B."/>
            <wp:cNvGraphicFramePr>
              <a:graphicFrameLocks noChangeAspect="1"/>
            </wp:cNvGraphicFramePr>
            <a:graphic>
              <a:graphicData uri="http://schemas.openxmlformats.org/drawingml/2006/picture">
                <pic:pic>
                  <pic:nvPicPr>
                    <pic:cNvPr id="0" name="fig_I_3.png"/>
                    <pic:cNvPicPr/>
                  </pic:nvPicPr>
                  <pic:blipFill>
                    <a:blip r:embed="rId50"/>
                    <a:stretch>
                      <a:fillRect/>
                    </a:stretch>
                  </pic:blipFill>
                  <pic:spPr>
                    <a:xfrm>
                      <a:off x="0" y="0"/>
                      <a:ext cx="5486400" cy="2885089"/>
                    </a:xfrm>
                    <a:prstGeom prst="rect"/>
                  </pic:spPr>
                </pic:pic>
              </a:graphicData>
            </a:graphic>
          </wp:inline>
        </w:drawing>
      </w:r>
    </w:p>
    <w:p>
      <w:pPr>
        <w:pStyle w:val="FigureCaption"/>
      </w:pPr>
      <w:r>
        <w:t>Figure I.1. Repository-dated events for Stage 3B. Builds (top), distribution (middle) and returns (bottom). The clean-run window opened 15 September 2026; five returns stamped FROZEN20260915 are on record, the earliest played on 16 September 2026 and the others on 29 September 2026; the clean-run window runs to 15 October 2026; the thesis record is closed at 30 September 2026. Dates are UTC as recorded in the repository; the recruitment pitch time is local.</w:t>
      </w:r>
    </w:p>
    <w:p>
      <w:pPr>
        <w:pStyle w:val="Heading3"/>
      </w:pPr>
      <w:r>
        <w:t>I.4 · Returns on Record</w:t>
      </w:r>
    </w:p>
    <w:p>
      <w:pPr/>
      <w:r>
        <w:t>To 30 September 2026 the returns record comprises one verified participant return, five returns received on 15 September 2026 and excluded, and five clean-run returns from the frozen edition (Table I.4). The verified return (code B9V8YA) was received on 15 August 2026 by direct e-mail from the participant's own address, which is the dated transmittal; the export is a v3.0 JSON record from device copy DEV2, arm B (static ×0.85), failure mode ZF, Simplified Chinese; the state log is consistent with arm B (difficulty 0.85 throughout, no rule-agent steps); the score arithmetic reconciles (7 coins × 10 + 459 m + 50 goal bonus = 579); the timeline is a coherent single sitting (consent 08:00:55Z to export 08:03:29Z). The four-item questionnaire was completed; as a single return in one cell it supports no contrast and its item values are not reported here. Its admission note at receipt read "admission pending launch-gate confirmation"; the ethics-scope gate was later closed in the working record on the approval memo, although the scope question itself remains an open item of the ethics record (§3.4; I.7), and the supervisor's protocol sign-off is not recorded as closed (I.7). The five 15 September exports are game output (telemetry consistent with the rule agent, consent events present) but were excluded from any confirmatory use for three independent reasons recorded on 15 September: they ran the 13 August edition rather than the deployed 9 August build; they were solicited plays made within about twenty minutes on one device copy immediately after a re-send, not field uptake; and all five fell in arm A, so they contain no adaptive-versus-static comparison. Two of the five files arrived named with personal names (resolved in the verification record as distributor labels, not player identities), contrary to the anonymous protocol; the names are not reproduced here; the archive copies retain the file names as received. Their permitted use is build-functionality verification of the 13 August generation only. Clean-run returns carrying the FROZEN20260915 stamp: five, supplied by the author as CSV exports and archived as received with SHA-256. The earliest, B53Y2F, was played on 16 September 2026 on distributor copy D13 (arm B; zero-failure mode; age band 45–64; prior play 'no') and holds two 30-second touch sessions with a complete questionnaire. It reached the author on 30 September 2026 as text extracted from a rich-text document, so it is a converted copy rather than the original export; its content passes the same checks (0.85 throughout; four zero-failure bumps reducing obstacle density with speed unchanged; scores and cumulative experience total reconcile). The other four were played on 29 September 2026, one of them saved under an .xls file name. Three of these (codes BVSU69, B7GRDA and BZ323A) are all from distributor copy D01, touch input, game-over mode, Chinese interface, age band 45–64. BVSU69 and B7GRDA fell in arm B (static ×0.85) and BZ323A in arm A; each file holds one 30-second session that reached its goal and a complete four-item questionnaire. Content checks pass: each file carries the frozen build stamp and the D01 tag, the state logs match the assigned arm (the static files hold 0.85 throughout; the adaptive file starts at the 0.60 floor and steps to 0.80 under the rules), and the scores reconcile with the frozen scoring formula. The transmittal channel of each file, the D01 distributor, and whether two of the players (consented three minutes apart on the same copy) shared a device or helper are not on record (I.7); BVSU69 answered the prior-play question yes. The fourth, B59AGN (consented 17:34Z; age band 45–64; D01), fell in arm B in zero-failure mode and holds three 30-second sessions, the first by touch and the next two by keyboard, with a complete questionnaire; its state log holds 0.85 throughout, its two bumps in the third session reduced obstacle density without changing speed as the zero-failure mode specifies, and its scores reconcile with the frozen formula and its cumulative experience total. The five returns occupy three of the four cells (arm B with game-over, two; arm A with game-over, one; arm B with zero-failure, two; arm A with zero-failure, none); they support no contrast, and their item values are not reported here.</w:t>
      </w:r>
    </w:p>
    <w:p>
      <w:pPr>
        <w:pStyle w:val="FigureCaption"/>
      </w:pPr>
      <w:r>
        <w:t>Table I.4. Stage-3B participant returns on record at the 30 September 2026 cut-off (codes only; no names; no outcome values for excluded returns).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080"/>
          </w:tcPr>
          <w:p>
            <w:r/>
            <w:r>
              <w:rPr>
                <w:b/>
                <w:sz w:val="15"/>
              </w:rPr>
              <w:t>Code</w:t>
            </w:r>
          </w:p>
        </w:tc>
        <w:tc>
          <w:tcPr>
            <w:tcW w:type="dxa" w:w="1440"/>
          </w:tcPr>
          <w:p>
            <w:r/>
            <w:r>
              <w:rPr>
                <w:b/>
                <w:sz w:val="15"/>
              </w:rPr>
              <w:t>Received</w:t>
            </w:r>
          </w:p>
        </w:tc>
        <w:tc>
          <w:tcPr>
            <w:tcW w:type="dxa" w:w="1728"/>
          </w:tcPr>
          <w:p>
            <w:r/>
            <w:r>
              <w:rPr>
                <w:b/>
                <w:sz w:val="15"/>
              </w:rPr>
              <w:t>Edition (build)</w:t>
            </w:r>
          </w:p>
        </w:tc>
        <w:tc>
          <w:tcPr>
            <w:tcW w:type="dxa" w:w="864"/>
          </w:tcPr>
          <w:p>
            <w:r/>
            <w:r>
              <w:rPr>
                <w:b/>
                <w:sz w:val="15"/>
              </w:rPr>
              <w:t>Device copy</w:t>
            </w:r>
          </w:p>
        </w:tc>
        <w:tc>
          <w:tcPr>
            <w:tcW w:type="dxa" w:w="1008"/>
          </w:tcPr>
          <w:p>
            <w:r/>
            <w:r>
              <w:rPr>
                <w:b/>
                <w:sz w:val="15"/>
              </w:rPr>
              <w:t>Arm / failure mode</w:t>
            </w:r>
          </w:p>
        </w:tc>
        <w:tc>
          <w:tcPr>
            <w:tcW w:type="dxa" w:w="1944"/>
          </w:tcPr>
          <w:p>
            <w:r/>
            <w:r>
              <w:rPr>
                <w:b/>
                <w:sz w:val="15"/>
              </w:rPr>
              <w:t>Provenance</w:t>
            </w:r>
          </w:p>
        </w:tc>
        <w:tc>
          <w:tcPr>
            <w:tcW w:type="dxa" w:w="2016"/>
          </w:tcPr>
          <w:p>
            <w:r/>
            <w:r>
              <w:rPr>
                <w:b/>
                <w:sz w:val="15"/>
              </w:rPr>
              <w:t>Status</w:t>
            </w:r>
          </w:p>
        </w:tc>
      </w:tr>
      <w:tr>
        <w:tc>
          <w:tcPr>
            <w:tcW w:type="dxa" w:w="1080"/>
          </w:tcPr>
          <w:p>
            <w:r/>
            <w:r>
              <w:rPr>
                <w:sz w:val="15"/>
              </w:rPr>
              <w:t>B9V8YA</w:t>
            </w:r>
          </w:p>
        </w:tc>
        <w:tc>
          <w:tcPr>
            <w:tcW w:type="dxa" w:w="1440"/>
          </w:tcPr>
          <w:p>
            <w:r/>
            <w:r>
              <w:rPr>
                <w:sz w:val="15"/>
              </w:rPr>
              <w:t>15 Aug 2026 (e-mail print; original e-mail archived 13 Sep)</w:t>
            </w:r>
          </w:p>
        </w:tc>
        <w:tc>
          <w:tcPr>
            <w:tcW w:type="dxa" w:w="1728"/>
          </w:tcPr>
          <w:p>
            <w:r/>
            <w:r>
              <w:rPr>
                <w:sz w:val="15"/>
              </w:rPr>
              <w:t>9-Aug device set, 59b7881 generation; v3.0 JSON export (pre-CSV)</w:t>
            </w:r>
          </w:p>
        </w:tc>
        <w:tc>
          <w:tcPr>
            <w:tcW w:type="dxa" w:w="864"/>
          </w:tcPr>
          <w:p>
            <w:r/>
            <w:r>
              <w:rPr>
                <w:sz w:val="15"/>
              </w:rPr>
              <w:t>DEV2</w:t>
            </w:r>
          </w:p>
        </w:tc>
        <w:tc>
          <w:tcPr>
            <w:tcW w:type="dxa" w:w="1008"/>
          </w:tcPr>
          <w:p>
            <w:r/>
            <w:r>
              <w:rPr>
                <w:sz w:val="15"/>
              </w:rPr>
              <w:t>B (static ×0.85) / ZF</w:t>
            </w:r>
          </w:p>
        </w:tc>
        <w:tc>
          <w:tcPr>
            <w:tcW w:type="dxa" w:w="1944"/>
          </w:tcPr>
          <w:p>
            <w:r/>
            <w:r>
              <w:rPr>
                <w:sz w:val="15"/>
              </w:rPr>
              <w:t>Direct e-mail from the participant's own address; dated transmittal</w:t>
            </w:r>
          </w:p>
        </w:tc>
        <w:tc>
          <w:tcPr>
            <w:tcW w:type="dxa" w:w="2016"/>
          </w:tcPr>
          <w:p>
            <w:r/>
            <w:r>
              <w:rPr>
                <w:sz w:val="15"/>
              </w:rPr>
              <w:t>Verified (checks pass); one 30-s run, questionnaire complete; pilot on an earlier sub-edition; not poolable with the frozen run</w:t>
            </w:r>
          </w:p>
        </w:tc>
      </w:tr>
      <w:tr>
        <w:tc>
          <w:tcPr>
            <w:tcW w:type="dxa" w:w="1080"/>
          </w:tcPr>
          <w:p>
            <w:r/>
            <w:r>
              <w:rPr>
                <w:sz w:val="15"/>
              </w:rPr>
              <w:t>BHHEPR</w:t>
            </w:r>
          </w:p>
        </w:tc>
        <w:tc>
          <w:tcPr>
            <w:tcW w:type="dxa" w:w="1440"/>
          </w:tcPr>
          <w:p>
            <w:r/>
            <w:r>
              <w:rPr>
                <w:sz w:val="15"/>
              </w:rPr>
              <w:t>15 Sep 2026 (consent 10:05Z)</w:t>
            </w:r>
          </w:p>
        </w:tc>
        <w:tc>
          <w:tcPr>
            <w:tcW w:type="dxa" w:w="1728"/>
          </w:tcPr>
          <w:p>
            <w:r/>
            <w:r>
              <w:rPr>
                <w:sz w:val="15"/>
              </w:rPr>
              <w:t>13-Aug edition (label v3.0; logs Input_Mode/XP_Total/Skier_Level)</w:t>
            </w:r>
          </w:p>
        </w:tc>
        <w:tc>
          <w:tcPr>
            <w:tcW w:type="dxa" w:w="864"/>
          </w:tcPr>
          <w:p>
            <w:r/>
            <w:r>
              <w:rPr>
                <w:sz w:val="15"/>
              </w:rPr>
              <w:t>DEV1</w:t>
            </w:r>
          </w:p>
        </w:tc>
        <w:tc>
          <w:tcPr>
            <w:tcW w:type="dxa" w:w="1008"/>
          </w:tcPr>
          <w:p>
            <w:r/>
            <w:r>
              <w:rPr>
                <w:sz w:val="15"/>
              </w:rPr>
              <w:t>A / GO</w:t>
            </w:r>
          </w:p>
        </w:tc>
        <w:tc>
          <w:tcPr>
            <w:tcW w:type="dxa" w:w="1944"/>
          </w:tcPr>
          <w:p>
            <w:r/>
            <w:r>
              <w:rPr>
                <w:sz w:val="15"/>
              </w:rPr>
              <w:t>One hidden-address relay forwarding all five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BO3ZWB</w:t>
            </w:r>
          </w:p>
        </w:tc>
        <w:tc>
          <w:tcPr>
            <w:tcW w:type="dxa" w:w="1440"/>
          </w:tcPr>
          <w:p>
            <w:r/>
            <w:r>
              <w:rPr>
                <w:sz w:val="15"/>
              </w:rPr>
              <w:t>15 Sep 2026 (consent 10:02Z)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BTF2JX</w:t>
            </w:r>
          </w:p>
        </w:tc>
        <w:tc>
          <w:tcPr>
            <w:tcW w:type="dxa" w:w="1440"/>
          </w:tcPr>
          <w:p>
            <w:r/>
            <w:r>
              <w:rPr>
                <w:sz w:val="15"/>
              </w:rPr>
              <w:t>15 Sep 2026 (consent 10:00Z)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BNRPSI</w:t>
            </w:r>
          </w:p>
        </w:tc>
        <w:tc>
          <w:tcPr>
            <w:tcW w:type="dxa" w:w="1440"/>
          </w:tcPr>
          <w:p>
            <w:r/>
            <w:r>
              <w:rPr>
                <w:sz w:val="15"/>
              </w:rPr>
              <w:t>15 Sep 2026 (consent 09:46Z)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 file name carried a personal name (archive copy retains the file name as received)</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B3U6KT</w:t>
            </w:r>
          </w:p>
        </w:tc>
        <w:tc>
          <w:tcPr>
            <w:tcW w:type="dxa" w:w="1440"/>
          </w:tcPr>
          <w:p>
            <w:r/>
            <w:r>
              <w:rPr>
                <w:sz w:val="15"/>
              </w:rPr>
              <w:t>15 Sep 2026 (consent 09:50Z)</w:t>
            </w:r>
          </w:p>
        </w:tc>
        <w:tc>
          <w:tcPr>
            <w:tcW w:type="dxa" w:w="1728"/>
          </w:tcPr>
          <w:p>
            <w:r/>
            <w:r>
              <w:rPr>
                <w:sz w:val="15"/>
              </w:rPr>
              <w:t>13-Aug edition</w:t>
            </w:r>
          </w:p>
        </w:tc>
        <w:tc>
          <w:tcPr>
            <w:tcW w:type="dxa" w:w="864"/>
          </w:tcPr>
          <w:p>
            <w:r/>
            <w:r>
              <w:rPr>
                <w:sz w:val="15"/>
              </w:rPr>
              <w:t>DEV1</w:t>
            </w:r>
          </w:p>
        </w:tc>
        <w:tc>
          <w:tcPr>
            <w:tcW w:type="dxa" w:w="1008"/>
          </w:tcPr>
          <w:p>
            <w:r/>
            <w:r>
              <w:rPr>
                <w:sz w:val="15"/>
              </w:rPr>
              <w:t>A / GO</w:t>
            </w:r>
          </w:p>
        </w:tc>
        <w:tc>
          <w:tcPr>
            <w:tcW w:type="dxa" w:w="1944"/>
          </w:tcPr>
          <w:p>
            <w:r/>
            <w:r>
              <w:rPr>
                <w:sz w:val="15"/>
              </w:rPr>
              <w:t>as above; file name carried a personal name (archive copy retains the file name as received)</w:t>
            </w:r>
          </w:p>
        </w:tc>
        <w:tc>
          <w:tcPr>
            <w:tcW w:type="dxa" w:w="2016"/>
          </w:tcPr>
          <w:p>
            <w:r/>
            <w:r>
              <w:rPr>
                <w:sz w:val="15"/>
              </w:rPr>
              <w:t>EXCLUDED: 13-Aug edition, not the deployed build; researcher-solicited plays within ~20 min on one copy; all arm A</w:t>
            </w:r>
          </w:p>
        </w:tc>
      </w:tr>
      <w:tr>
        <w:tc>
          <w:tcPr>
            <w:tcW w:type="dxa" w:w="1080"/>
          </w:tcPr>
          <w:p>
            <w:r>
              <w:rPr>
                <w:sz w:val="15"/>
              </w:rPr>
              <w:t>B53Y2F</w:t>
            </w:r>
          </w:p>
        </w:tc>
        <w:tc>
          <w:tcPr>
            <w:tcW w:type="dxa" w:w="1440"/>
          </w:tcPr>
          <w:p>
            <w:r>
              <w:rPr>
                <w:sz w:val="15"/>
              </w:rPr>
              <w:t>16 Sep 2026 (consent 04:47Z); received 30 Sep 2026</w:t>
            </w:r>
          </w:p>
        </w:tc>
        <w:tc>
          <w:tcPr>
            <w:tcW w:type="dxa" w:w="1728"/>
          </w:tcPr>
          <w:p>
            <w:r>
              <w:rPr>
                <w:sz w:val="15"/>
              </w:rPr>
              <w:t>Frozen study edition (FROZEN20260915); CSV text converted from a rich-text document</w:t>
            </w:r>
          </w:p>
        </w:tc>
        <w:tc>
          <w:tcPr>
            <w:tcW w:type="dxa" w:w="864"/>
          </w:tcPr>
          <w:p>
            <w:r>
              <w:rPr>
                <w:sz w:val="15"/>
              </w:rPr>
              <w:t>D13</w:t>
            </w:r>
          </w:p>
        </w:tc>
        <w:tc>
          <w:tcPr>
            <w:tcW w:type="dxa" w:w="1008"/>
          </w:tcPr>
          <w:p>
            <w:r>
              <w:rPr>
                <w:sz w:val="15"/>
              </w:rPr>
              <w:t>B (static ×0.85) / ZF</w:t>
            </w:r>
          </w:p>
        </w:tc>
        <w:tc>
          <w:tcPr>
            <w:tcW w:type="dxa" w:w="1944"/>
          </w:tcPr>
          <w:p>
            <w:r>
              <w:rPr>
                <w:sz w:val="15"/>
              </w:rPr>
              <w:t>Converted copy supplied by the author, archived with SHA-256; D13 holder and transmittal not on record (I.7)</w:t>
            </w:r>
          </w:p>
        </w:tc>
        <w:tc>
          <w:tcPr>
            <w:tcW w:type="dxa" w:w="2016"/>
          </w:tcPr>
          <w:p>
            <w:r>
              <w:rPr>
                <w:sz w:val="15"/>
              </w:rPr>
              <w:t>Content checks pass; two 30-s sessions, questionnaire complete; clean run; no contrast computed</w:t>
            </w:r>
          </w:p>
        </w:tc>
      </w:tr>
      <w:tr>
        <w:tc>
          <w:tcPr>
            <w:tcW w:type="dxa" w:w="1080"/>
          </w:tcPr>
          <w:p>
            <w:r>
              <w:rPr>
                <w:sz w:val="15"/>
              </w:rPr>
              <w:t>BVSU69</w:t>
            </w:r>
          </w:p>
        </w:tc>
        <w:tc>
          <w:tcPr>
            <w:tcW w:type="dxa" w:w="1440"/>
          </w:tcPr>
          <w:p>
            <w:r>
              <w:rPr>
                <w:sz w:val="15"/>
              </w:rPr>
              <w:t>29 Sep 2026 (consent 12:51Z)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CSV supplied by the author, archived with SHA-256; transmittal channel and D01 distributor not on record (I.7)</w:t>
            </w:r>
          </w:p>
        </w:tc>
        <w:tc>
          <w:tcPr>
            <w:tcW w:type="dxa" w:w="2016"/>
          </w:tcPr>
          <w:p>
            <w:r>
              <w:rPr>
                <w:sz w:val="15"/>
              </w:rPr>
              <w:t>Content checks pass; one 30-s run, questionnaire complete; clean run; no contrast computed</w:t>
            </w:r>
          </w:p>
        </w:tc>
      </w:tr>
      <w:tr>
        <w:tc>
          <w:tcPr>
            <w:tcW w:type="dxa" w:w="1080"/>
          </w:tcPr>
          <w:p>
            <w:r>
              <w:rPr>
                <w:sz w:val="15"/>
              </w:rPr>
              <w:t>B7GRDA</w:t>
            </w:r>
          </w:p>
        </w:tc>
        <w:tc>
          <w:tcPr>
            <w:tcW w:type="dxa" w:w="1440"/>
          </w:tcPr>
          <w:p>
            <w:r>
              <w:rPr>
                <w:sz w:val="15"/>
              </w:rPr>
              <w:t>29 Sep 2026 (consent 14:35Z)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as above; file arrived under a phone share-sheet name</w:t>
            </w:r>
          </w:p>
        </w:tc>
        <w:tc>
          <w:tcPr>
            <w:tcW w:type="dxa" w:w="2016"/>
          </w:tcPr>
          <w:p>
            <w:r>
              <w:rPr>
                <w:sz w:val="15"/>
              </w:rPr>
              <w:t>Content checks pass; one 30-s run, questionnaire complete; clean run; no contrast computed</w:t>
            </w:r>
          </w:p>
        </w:tc>
      </w:tr>
      <w:tr>
        <w:tc>
          <w:tcPr>
            <w:tcW w:type="dxa" w:w="1080"/>
          </w:tcPr>
          <w:p>
            <w:r>
              <w:rPr>
                <w:sz w:val="15"/>
              </w:rPr>
              <w:t>BZ323A</w:t>
            </w:r>
          </w:p>
        </w:tc>
        <w:tc>
          <w:tcPr>
            <w:tcW w:type="dxa" w:w="1440"/>
          </w:tcPr>
          <w:p>
            <w:r>
              <w:rPr>
                <w:sz w:val="15"/>
              </w:rPr>
              <w:t>29 Sep 2026 (consent 14:38Z)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A (adaptive) / GO</w:t>
            </w:r>
          </w:p>
        </w:tc>
        <w:tc>
          <w:tcPr>
            <w:tcW w:type="dxa" w:w="1944"/>
          </w:tcPr>
          <w:p>
            <w:r>
              <w:rPr>
                <w:sz w:val="15"/>
              </w:rPr>
              <w:t>as above; consented three minutes after B7GRDA on the same copy</w:t>
            </w:r>
          </w:p>
        </w:tc>
        <w:tc>
          <w:tcPr>
            <w:tcW w:type="dxa" w:w="2016"/>
          </w:tcPr>
          <w:p>
            <w:r>
              <w:rPr>
                <w:sz w:val="15"/>
              </w:rPr>
              <w:t>Content checks pass; one 30-s run, questionnaire complete; clean run; no contrast computed</w:t>
            </w:r>
          </w:p>
        </w:tc>
      </w:tr>
      <w:tr>
        <w:tc>
          <w:tcPr>
            <w:tcW w:type="dxa" w:w="1080"/>
          </w:tcPr>
          <w:p>
            <w:r>
              <w:rPr>
                <w:sz w:val="15"/>
              </w:rPr>
              <w:t>B59AGN</w:t>
            </w:r>
          </w:p>
        </w:tc>
        <w:tc>
          <w:tcPr>
            <w:tcW w:type="dxa" w:w="1440"/>
          </w:tcPr>
          <w:p>
            <w:r>
              <w:rPr>
                <w:sz w:val="15"/>
              </w:rPr>
              <w:t>29 Sep 2026 (consent 17:34Z)</w:t>
            </w:r>
          </w:p>
        </w:tc>
        <w:tc>
          <w:tcPr>
            <w:tcW w:type="dxa" w:w="1728"/>
          </w:tcPr>
          <w:p>
            <w:r>
              <w:rPr>
                <w:sz w:val="15"/>
              </w:rPr>
              <w:t>Frozen study edition (FROZEN20260915); CSV export saved as .xls</w:t>
            </w:r>
          </w:p>
        </w:tc>
        <w:tc>
          <w:tcPr>
            <w:tcW w:type="dxa" w:w="864"/>
          </w:tcPr>
          <w:p>
            <w:r>
              <w:rPr>
                <w:sz w:val="15"/>
              </w:rPr>
              <w:t>D01</w:t>
            </w:r>
          </w:p>
        </w:tc>
        <w:tc>
          <w:tcPr>
            <w:tcW w:type="dxa" w:w="1008"/>
          </w:tcPr>
          <w:p>
            <w:r>
              <w:rPr>
                <w:sz w:val="15"/>
              </w:rPr>
              <w:t>B (static ×0.85) / ZF</w:t>
            </w:r>
          </w:p>
        </w:tc>
        <w:tc>
          <w:tcPr>
            <w:tcW w:type="dxa" w:w="1944"/>
          </w:tcPr>
          <w:p>
            <w:r>
              <w:rPr>
                <w:sz w:val="15"/>
              </w:rPr>
              <w:t>as above</w:t>
            </w:r>
          </w:p>
        </w:tc>
        <w:tc>
          <w:tcPr>
            <w:tcW w:type="dxa" w:w="2016"/>
          </w:tcPr>
          <w:p>
            <w:r>
              <w:rPr>
                <w:sz w:val="15"/>
              </w:rPr>
              <w:t>Content checks pass; three 30-s sessions (touch, then keyboard twice), questionnaire complete; clean run; no contrast computed</w:t>
            </w:r>
          </w:p>
        </w:tc>
      </w:tr>
    </w:tbl>
    <w:p>
      <w:pPr/>
      <w:r/>
    </w:p>
    <w:p>
      <w:pPr>
        <w:pStyle w:val="Heading3"/>
      </w:pPr>
      <w:r>
        <w:t>I.5 · Stage-3B Pro v4.1 Researcher Self-Test: Batch 01 and Two Later-Received Exports (19–20 September 2026)</w:t>
      </w:r>
    </w:p>
    <w:p>
      <w:pPr/>
      <w:r>
        <w:t>The Pro v4.1 build is a separate researcher self-test artefact recorded as received on 19 September 2026. It is not a conversion of the frozen Stage 3B study build and is never pooled with it: it uses a separate browser namespace, runs the game-over failure mode only, retains a fixed-course generator and a warm-up staircase, and has participant release disabled. Its mechanism is a feedback-conditioned practice-proposal policy: after each practice run the player may report difficulty, feeling and reason; local rules combine that report with performance counts (obstacles faced, hits, clearance, edge time) to propose the next practice (easier, same, harder, support, variety or pause) and a practice focus; the player always chooses. Pace runs from 0.40 to 2.20 in steps of +0.10 or −0.12; a harder proposal requires an expressed interest in more challenge, at least six observed obstacles, at least 80% clearance, edge time under 50% and no conflicting tiredness, clarity or demand report. An optional external-judgment step (a typed-choice call to an external model through a local server) exists but was not configured and was not used in any recorded session; the package states that it calls an existing model and does not train its weights, and it is not RLHF or RLCD. Automated checks (29 passed) verified software behaviour with stubbed browser components, not learner outcomes.</w:t>
      </w:r>
    </w:p>
    <w:p>
      <w:pPr/>
      <w:r>
        <w:t>The Pro record comprises seven stored player codes. Batch 01, summarised in two reports dated 20 September 2026, comprises ten exports made on 19–20 September 2026 (seven JSON files for two codes; three CSV files for three codes). Two further exports from the same two days, for codes PFWU9V (19 September, one visit) and PXG3R9 (20 September, three visits), reached the record on 29 September 2026; the exports were received by different routes and on different dates, they were not available when the reports were written, and they are archived as received with SHA-256. Table I.5 reproduces the reports' Batch 01 figures beside the seven-code totals; Tables I.6–I.10 and Figures I.2–I.3 combine both sources. In Batch 01, deduplication reduced 81 run appearances to 42 distinct runs across five stored player codes and twelve software-recorded visits; with the two later exports the record holds 53 distinct runs across seven codes and sixteen visits. All files carry researcher-self-test metadata; by the author's account of 30 September 2026, the codes were played by volunteers and their families or friends recruited for selected age groups, and each export records an in-game consent tap. The files themselves do not establish the number of actual individuals or which person played under which code. Twelve answered feedback records link to twelve applied decisions and twelve subsequent runs (ten in Batch 01 and two for PFWU9V), and all twelve pass the identity-linkage, performance-input, chronology and applied-settings checks (Table I.8; Figure I.2); nine final decisions were local-rule outputs and three were player overrides; the cloud status of every decision is not_requested.</w:t>
      </w:r>
    </w:p>
    <w:p>
      <w:pPr/>
      <w:r>
        <w:t>Six opening–closing fixed-course pairs exist across five codes (Table I.9; Figure I.3): changes of −10, +5, −5, 0 and +10 percentage points in Batch 01, and +10 for PFWU9V. Each pair uses pace ×0.85, 20 obstacles, a 30-second planned duration and the same input mode, but the opening and closing course forms differ (7043 versus 7043m; 7051m versus 7051) and their equivalence is not established. The six first-visit questionnaire items across the seven codes (Table I.10) show D2 median 4 (range 3–4) and T1 median 3 (range 2–3); F1 was 4 or 5 for every code. The seven-code medians are exact: the reported Batch 01 medians, ranges and counts, together with the two raw exports, determine them. The exploratory paired statistics in Table I.11 are reproduced from the Learning Measurement addendum with its stated assumptions; they are conditional calculations, not confirmatory evidence, and the addendum records that neither p = .495 nor p = .750 establishes the presence or absence of learning. They cover the four Batch 01 codes with a complete pair. With PFWU9V's pair added, the five earliest pairs per code have mean and median change 0.0 pp, and all six visit-pairs have mean +1.7 pp and median +2.5 pp (three up, two down, one tie); no test statistic is recomputed.</w:t>
      </w:r>
    </w:p>
    <w:p>
      <w:pPr/>
      <w:r>
        <w:t>Where the two reports differ, the difference is one of selection rule: the Research Review gives the descriptive median of all five pairs as 0 pp, while the addendum gives the median of the earliest pair per code (n = 4) as −2.50 pp; the Research Review names a twenty-sheet logbook workbook and the addendum a twelve-sheet analysis workbook (two distinct derived files, neither deposited at the cut-off). Both reports label the items by short descriptors (D2 "regular-use intention" / "Willingness to play regularly"; C1 "getting better" / "Felt getting better"; T1 "felt judged" / "Felt tested or judged"); the as-administered wording is taken from the deposited HTML (Table I.10).</w:t>
      </w:r>
    </w:p>
    <w:p>
      <w:pPr/>
      <w:r>
        <w:t>Both reports state the same limits in their own words: "does not yet establish durable learning, live Jev reasoning, reduced abandonment or a validated FIAS mechanism"; "no claim of durable learning, reduced abandonment or FIAS validation is made"; the Research Review recommends retaining the batch "as a separate Pro development appendix or progress-review item" and the addendum "as a separate development addendum".</w:t>
      </w:r>
    </w:p>
    <w:p>
      <w:pPr>
        <w:pStyle w:val="FigureCaption"/>
      </w:pPr>
      <w:r>
        <w:t>Table I.5. Batch 01 deduplicated units (as stated in the Batch 01 Research Review of 20 September 2026), with seven-code totals including the two later-received exports (PFWU9V, PXG3R9).</w:t>
      </w:r>
    </w:p>
    <w:tbl>
      <w:tblPr>
        <w:tblStyle w:val="TableGrid"/>
        <w:tblW w:type="auto" w:w="0"/>
        <w:tblLook w:firstColumn="1" w:firstRow="1" w:lastColumn="0" w:lastRow="0" w:noHBand="0" w:noVBand="1" w:val="04A0"/>
      </w:tblPr>
      <w:tblGrid>
        <w:gridCol w:w="2835"/>
        <w:gridCol w:w="2835"/>
        <w:gridCol w:w="2835"/>
      </w:tblGrid>
      <w:tr>
        <w:tc>
          <w:tcPr>
            <w:tcW w:type="dxa" w:w="2592"/>
          </w:tcPr>
          <w:p>
            <w:r/>
            <w:r>
              <w:rPr>
                <w:b/>
                <w:sz w:val="17"/>
              </w:rPr>
              <w:t>Unit</w:t>
            </w:r>
          </w:p>
        </w:tc>
        <w:tc>
          <w:tcPr>
            <w:tcW w:type="dxa" w:w="2592"/>
          </w:tcPr>
          <w:p>
            <w:r/>
            <w:r>
              <w:rPr>
                <w:b/>
                <w:sz w:val="17"/>
              </w:rPr>
              <w:t>Deduplicated result</w:t>
            </w:r>
          </w:p>
        </w:tc>
        <w:tc>
          <w:tcPr>
            <w:tcW w:type="dxa" w:w="4176"/>
          </w:tcPr>
          <w:p>
            <w:r/>
            <w:r>
              <w:rPr>
                <w:b/>
                <w:sz w:val="17"/>
              </w:rPr>
              <w:t>Interpretation (as stated in the Research Review)</w:t>
            </w:r>
          </w:p>
        </w:tc>
      </w:tr>
      <w:tr>
        <w:tc>
          <w:tcPr>
            <w:tcW w:type="dxa" w:w="2592"/>
          </w:tcPr>
          <w:p>
            <w:r/>
            <w:r>
              <w:rPr>
                <w:sz w:val="17"/>
              </w:rPr>
              <w:t>Stored player codes</w:t>
            </w:r>
          </w:p>
        </w:tc>
        <w:tc>
          <w:tcPr>
            <w:tcW w:type="dxa" w:w="2592"/>
          </w:tcPr>
          <w:p>
            <w:r>
              <w:rPr>
                <w:sz w:val="17"/>
              </w:rPr>
              <w:t>5 (Batch 01); 7 in total with PFWU9V and PXG3R9</w:t>
            </w:r>
          </w:p>
        </w:tc>
        <w:tc>
          <w:tcPr>
            <w:tcW w:type="dxa" w:w="4176"/>
          </w:tcPr>
          <w:p>
            <w:r/>
            <w:r>
              <w:rPr>
                <w:sz w:val="17"/>
              </w:rPr>
              <w:t>"Not yet five verified independent people"</w:t>
            </w:r>
          </w:p>
        </w:tc>
      </w:tr>
      <w:tr>
        <w:tc>
          <w:tcPr>
            <w:tcW w:type="dxa" w:w="2592"/>
          </w:tcPr>
          <w:p>
            <w:r/>
            <w:r>
              <w:rPr>
                <w:sz w:val="17"/>
              </w:rPr>
              <w:t>Software-recorded visits</w:t>
            </w:r>
          </w:p>
        </w:tc>
        <w:tc>
          <w:tcPr>
            <w:tcW w:type="dxa" w:w="2592"/>
          </w:tcPr>
          <w:p>
            <w:r>
              <w:rPr>
                <w:sz w:val="17"/>
              </w:rPr>
              <w:t>12 (Batch 01); 16 in total (9 with practice, 7 without)</w:t>
            </w:r>
          </w:p>
        </w:tc>
        <w:tc>
          <w:tcPr>
            <w:tcW w:type="dxa" w:w="4176"/>
          </w:tcPr>
          <w:p>
            <w:r/>
            <w:r>
              <w:rPr>
                <w:sz w:val="17"/>
              </w:rPr>
              <w:t>"Seven contain practice; five contain no practice"</w:t>
            </w:r>
          </w:p>
        </w:tc>
      </w:tr>
      <w:tr>
        <w:tc>
          <w:tcPr>
            <w:tcW w:type="dxa" w:w="2592"/>
          </w:tcPr>
          <w:p>
            <w:r/>
            <w:r>
              <w:rPr>
                <w:sz w:val="17"/>
              </w:rPr>
              <w:t>Distinct run records</w:t>
            </w:r>
          </w:p>
        </w:tc>
        <w:tc>
          <w:tcPr>
            <w:tcW w:type="dxa" w:w="2592"/>
          </w:tcPr>
          <w:p>
            <w:r>
              <w:rPr>
                <w:sz w:val="17"/>
              </w:rPr>
              <w:t>42 (Batch 01); 53 in total: 10 warm-ups, 21 practice, 22 checks</w:t>
            </w:r>
          </w:p>
        </w:tc>
        <w:tc>
          <w:tcPr>
            <w:tcW w:type="dxa" w:w="4176"/>
          </w:tcPr>
          <w:p>
            <w:r/>
            <w:r>
              <w:rPr>
                <w:sz w:val="17"/>
              </w:rPr>
              <w:t>"8 warmups + 17 practice runs + 17 fixed-course checks"</w:t>
            </w:r>
          </w:p>
        </w:tc>
      </w:tr>
      <w:tr>
        <w:tc>
          <w:tcPr>
            <w:tcW w:type="dxa" w:w="2592"/>
          </w:tcPr>
          <w:p>
            <w:r/>
            <w:r>
              <w:rPr>
                <w:sz w:val="17"/>
              </w:rPr>
              <w:t>Practice-feedback records</w:t>
            </w:r>
          </w:p>
        </w:tc>
        <w:tc>
          <w:tcPr>
            <w:tcW w:type="dxa" w:w="2592"/>
          </w:tcPr>
          <w:p>
            <w:r>
              <w:rPr>
                <w:sz w:val="17"/>
              </w:rPr>
              <w:t>17 (Batch 01); 21 in total: 12 answered, 9 skipped</w:t>
            </w:r>
          </w:p>
        </w:tc>
        <w:tc>
          <w:tcPr>
            <w:tcW w:type="dxa" w:w="4176"/>
          </w:tcPr>
          <w:p>
            <w:r/>
            <w:r>
              <w:rPr>
                <w:sz w:val="17"/>
              </w:rPr>
              <w:t>"10 answered; 7 explicitly skipped"</w:t>
            </w:r>
          </w:p>
        </w:tc>
      </w:tr>
      <w:tr>
        <w:tc>
          <w:tcPr>
            <w:tcW w:type="dxa" w:w="2592"/>
          </w:tcPr>
          <w:p>
            <w:r/>
            <w:r>
              <w:rPr>
                <w:sz w:val="17"/>
              </w:rPr>
              <w:t>Applied decisions</w:t>
            </w:r>
          </w:p>
        </w:tc>
        <w:tc>
          <w:tcPr>
            <w:tcW w:type="dxa" w:w="2592"/>
          </w:tcPr>
          <w:p>
            <w:r>
              <w:rPr>
                <w:sz w:val="17"/>
              </w:rPr>
              <w:t>10 (Batch 01); 12 in total: 9 local-rule, 3 player overrides</w:t>
            </w:r>
          </w:p>
        </w:tc>
        <w:tc>
          <w:tcPr>
            <w:tcW w:type="dxa" w:w="4176"/>
          </w:tcPr>
          <w:p>
            <w:r/>
            <w:r>
              <w:rPr>
                <w:sz w:val="17"/>
              </w:rPr>
              <w:t>"7 final local-rule decisions; 3 player overrides"</w:t>
            </w:r>
          </w:p>
        </w:tc>
      </w:tr>
      <w:tr>
        <w:tc>
          <w:tcPr>
            <w:tcW w:type="dxa" w:w="2592"/>
          </w:tcPr>
          <w:p>
            <w:r/>
            <w:r>
              <w:rPr>
                <w:sz w:val="17"/>
              </w:rPr>
              <w:t>Opening–closing check pairs</w:t>
            </w:r>
          </w:p>
        </w:tc>
        <w:tc>
          <w:tcPr>
            <w:tcW w:type="dxa" w:w="2592"/>
          </w:tcPr>
          <w:p>
            <w:r>
              <w:rPr>
                <w:sz w:val="17"/>
              </w:rPr>
              <w:t>5 visits / 4 codes (Batch 01); 6 visits / 5 codes in total</w:t>
            </w:r>
          </w:p>
        </w:tc>
        <w:tc>
          <w:tcPr>
            <w:tcW w:type="dxa" w:w="4176"/>
          </w:tcPr>
          <w:p>
            <w:r/>
            <w:r>
              <w:rPr>
                <w:sz w:val="17"/>
              </w:rPr>
              <w:t>"2 increases; 2 decreases; 1 unchanged"</w:t>
            </w:r>
          </w:p>
        </w:tc>
      </w:tr>
      <w:tr>
        <w:tc>
          <w:tcPr>
            <w:tcW w:type="dxa" w:w="2592"/>
          </w:tcPr>
          <w:p>
            <w:r/>
            <w:r>
              <w:rPr>
                <w:sz w:val="17"/>
              </w:rPr>
              <w:t>Active gameplay</w:t>
            </w:r>
          </w:p>
        </w:tc>
        <w:tc>
          <w:tcPr>
            <w:tcW w:type="dxa" w:w="2592"/>
          </w:tcPr>
          <w:p>
            <w:r>
              <w:rPr>
                <w:sz w:val="17"/>
              </w:rPr>
              <w:t>18.38 minutes (Batch 01); 23.35 minutes in total</w:t>
            </w:r>
          </w:p>
        </w:tc>
        <w:tc>
          <w:tcPr>
            <w:tcW w:type="dxa" w:w="4176"/>
          </w:tcPr>
          <w:p>
            <w:r/>
            <w:r>
              <w:rPr>
                <w:sz w:val="17"/>
              </w:rPr>
              <w:t>"Logged activity, not total visit elapsed time"</w:t>
            </w:r>
          </w:p>
        </w:tc>
      </w:tr>
      <w:tr>
        <w:tc>
          <w:tcPr>
            <w:tcW w:type="dxa" w:w="2592"/>
          </w:tcPr>
          <w:p>
            <w:r/>
            <w:r>
              <w:rPr>
                <w:sz w:val="17"/>
              </w:rPr>
              <w:t>Run version stamps</w:t>
            </w:r>
          </w:p>
        </w:tc>
        <w:tc>
          <w:tcPr>
            <w:tcW w:type="dxa" w:w="2592"/>
          </w:tcPr>
          <w:p>
            <w:r>
              <w:rPr>
                <w:sz w:val="17"/>
              </w:rPr>
              <w:t>38 runs v4.1; 4 runs v4.1.1 (P8P2Z9 visit 4); later exports: PFWU9V 6 runs v4.1, PXG3R9 5 runs v4.1.1</w:t>
            </w:r>
          </w:p>
        </w:tc>
        <w:tc>
          <w:tcPr>
            <w:tcW w:type="dxa" w:w="4176"/>
          </w:tcPr>
          <w:p>
            <w:r/>
            <w:r>
              <w:rPr>
                <w:sz w:val="17"/>
              </w:rPr>
              <w:t>Deposited HTML is stamped v4.1; the v4.1.1 file is not on record</w:t>
            </w:r>
          </w:p>
        </w:tc>
      </w:tr>
      <w:tr>
        <w:tc>
          <w:tcPr>
            <w:tcW w:type="dxa" w:w="2592"/>
          </w:tcPr>
          <w:p>
            <w:r/>
            <w:r>
              <w:rPr>
                <w:sz w:val="17"/>
              </w:rPr>
              <w:t>Obstacle reconciliation</w:t>
            </w:r>
          </w:p>
        </w:tc>
        <w:tc>
          <w:tcPr>
            <w:tcW w:type="dxa" w:w="2592"/>
          </w:tcPr>
          <w:p>
            <w:r>
              <w:rPr>
                <w:sz w:val="17"/>
              </w:rPr>
              <w:t>932 encountered obstacles, 51 hits (Batch 01); 1,118 and 68 in total</w:t>
            </w:r>
          </w:p>
        </w:tc>
        <w:tc>
          <w:tcPr>
            <w:tcW w:type="dxa" w:w="4176"/>
          </w:tcPr>
          <w:p>
            <w:r/>
            <w:r>
              <w:rPr>
                <w:sz w:val="17"/>
              </w:rPr>
              <w:t>"reconcile to the per-obstacle telemetry" (source-consistency check)</w:t>
            </w:r>
          </w:p>
        </w:tc>
      </w:tr>
    </w:tbl>
    <w:p>
      <w:pPr/>
      <w:r/>
    </w:p>
    <w:p>
      <w:pPr>
        <w:pStyle w:val="FigureCaption"/>
      </w:pPr>
      <w:r>
        <w:t>Table I.6. Record-level coverage per stored code (Batch 01 codes as reported; PFWU9V and PXG3R9 from their raw exports).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r/>
            <w:r>
              <w:rPr>
                <w:b/>
                <w:sz w:val="17"/>
              </w:rPr>
              <w:t>Code</w:t>
            </w:r>
          </w:p>
        </w:tc>
        <w:tc>
          <w:tcPr>
            <w:tcW w:type="dxa" w:w="1215"/>
          </w:tcPr>
          <w:p>
            <w:r/>
            <w:r>
              <w:rPr>
                <w:b/>
                <w:sz w:val="17"/>
              </w:rPr>
              <w:t>Visits</w:t>
            </w:r>
          </w:p>
        </w:tc>
        <w:tc>
          <w:tcPr>
            <w:tcW w:type="dxa" w:w="1215"/>
          </w:tcPr>
          <w:p>
            <w:r/>
            <w:r>
              <w:rPr>
                <w:b/>
                <w:sz w:val="17"/>
              </w:rPr>
              <w:t>Runs</w:t>
            </w:r>
          </w:p>
        </w:tc>
        <w:tc>
          <w:tcPr>
            <w:tcW w:type="dxa" w:w="1215"/>
          </w:tcPr>
          <w:p>
            <w:r/>
            <w:r>
              <w:rPr>
                <w:b/>
                <w:sz w:val="17"/>
              </w:rPr>
              <w:t>Practice runs</w:t>
            </w:r>
          </w:p>
        </w:tc>
        <w:tc>
          <w:tcPr>
            <w:tcW w:type="dxa" w:w="1215"/>
          </w:tcPr>
          <w:p>
            <w:r/>
            <w:r>
              <w:rPr>
                <w:b/>
                <w:sz w:val="17"/>
              </w:rPr>
              <w:t>Opening–closing pairs</w:t>
            </w:r>
          </w:p>
        </w:tc>
        <w:tc>
          <w:tcPr>
            <w:tcW w:type="dxa" w:w="1215"/>
          </w:tcPr>
          <w:p>
            <w:r/>
            <w:r>
              <w:rPr>
                <w:b/>
                <w:sz w:val="17"/>
              </w:rPr>
              <w:t>Decisions</w:t>
            </w:r>
          </w:p>
        </w:tc>
        <w:tc>
          <w:tcPr>
            <w:tcW w:type="dxa" w:w="1215"/>
          </w:tcPr>
          <w:p>
            <w:r/>
            <w:r>
              <w:rPr>
                <w:b/>
                <w:sz w:val="17"/>
              </w:rPr>
              <w:t>Input mode (as recorded)</w:t>
            </w:r>
          </w:p>
        </w:tc>
      </w:tr>
      <w:tr>
        <w:tc>
          <w:tcPr>
            <w:tcW w:type="dxa" w:w="1215"/>
          </w:tcPr>
          <w:p>
            <w:r/>
            <w:r>
              <w:rPr>
                <w:sz w:val="17"/>
              </w:rPr>
              <w:t>P8P2Z9</w:t>
            </w:r>
          </w:p>
        </w:tc>
        <w:tc>
          <w:tcPr>
            <w:tcW w:type="dxa" w:w="1215"/>
          </w:tcPr>
          <w:p>
            <w:r/>
            <w:r>
              <w:rPr>
                <w:sz w:val="17"/>
              </w:rPr>
              <w:t>4</w:t>
            </w:r>
          </w:p>
        </w:tc>
        <w:tc>
          <w:tcPr>
            <w:tcW w:type="dxa" w:w="1215"/>
          </w:tcPr>
          <w:p>
            <w:r/>
            <w:r>
              <w:rPr>
                <w:sz w:val="17"/>
              </w:rPr>
              <w:t>18</w:t>
            </w:r>
          </w:p>
        </w:tc>
        <w:tc>
          <w:tcPr>
            <w:tcW w:type="dxa" w:w="1215"/>
          </w:tcPr>
          <w:p>
            <w:r/>
            <w:r>
              <w:rPr>
                <w:sz w:val="17"/>
              </w:rPr>
              <w:t>9</w:t>
            </w:r>
          </w:p>
        </w:tc>
        <w:tc>
          <w:tcPr>
            <w:tcW w:type="dxa" w:w="1215"/>
          </w:tcPr>
          <w:p>
            <w:r/>
            <w:r>
              <w:rPr>
                <w:sz w:val="17"/>
              </w:rPr>
              <w:t>2</w:t>
            </w:r>
          </w:p>
        </w:tc>
        <w:tc>
          <w:tcPr>
            <w:tcW w:type="dxa" w:w="1215"/>
          </w:tcPr>
          <w:p>
            <w:r/>
            <w:r>
              <w:rPr>
                <w:sz w:val="17"/>
              </w:rPr>
              <w:t>6</w:t>
            </w:r>
          </w:p>
        </w:tc>
        <w:tc>
          <w:tcPr>
            <w:tcW w:type="dxa" w:w="1215"/>
          </w:tcPr>
          <w:p>
            <w:r/>
            <w:r>
              <w:rPr>
                <w:sz w:val="17"/>
              </w:rPr>
              <w:t>touch</w:t>
            </w:r>
          </w:p>
        </w:tc>
      </w:tr>
      <w:tr>
        <w:tc>
          <w:tcPr>
            <w:tcW w:type="dxa" w:w="1215"/>
          </w:tcPr>
          <w:p>
            <w:r/>
            <w:r>
              <w:rPr>
                <w:sz w:val="17"/>
              </w:rPr>
              <w:t>PT8FJC</w:t>
            </w:r>
          </w:p>
        </w:tc>
        <w:tc>
          <w:tcPr>
            <w:tcW w:type="dxa" w:w="1215"/>
          </w:tcPr>
          <w:p>
            <w:r/>
            <w:r>
              <w:rPr>
                <w:sz w:val="17"/>
              </w:rPr>
              <w:t>1</w:t>
            </w:r>
          </w:p>
        </w:tc>
        <w:tc>
          <w:tcPr>
            <w:tcW w:type="dxa" w:w="1215"/>
          </w:tcPr>
          <w:p>
            <w:r/>
            <w:r>
              <w:rPr>
                <w:sz w:val="17"/>
              </w:rPr>
              <w:t>8</w:t>
            </w:r>
          </w:p>
        </w:tc>
        <w:tc>
          <w:tcPr>
            <w:tcW w:type="dxa" w:w="1215"/>
          </w:tcPr>
          <w:p>
            <w:r/>
            <w:r>
              <w:rPr>
                <w:sz w:val="17"/>
              </w:rPr>
              <w:t>5</w:t>
            </w:r>
          </w:p>
        </w:tc>
        <w:tc>
          <w:tcPr>
            <w:tcW w:type="dxa" w:w="1215"/>
          </w:tcPr>
          <w:p>
            <w:r/>
            <w:r>
              <w:rPr>
                <w:sz w:val="17"/>
              </w:rPr>
              <w:t>1</w:t>
            </w:r>
          </w:p>
        </w:tc>
        <w:tc>
          <w:tcPr>
            <w:tcW w:type="dxa" w:w="1215"/>
          </w:tcPr>
          <w:p>
            <w:r/>
            <w:r>
              <w:rPr>
                <w:sz w:val="17"/>
              </w:rPr>
              <w:t>4</w:t>
            </w:r>
          </w:p>
        </w:tc>
        <w:tc>
          <w:tcPr>
            <w:tcW w:type="dxa" w:w="1215"/>
          </w:tcPr>
          <w:p>
            <w:r/>
            <w:r>
              <w:rPr>
                <w:sz w:val="17"/>
              </w:rPr>
              <w:t>touch</w:t>
            </w:r>
          </w:p>
        </w:tc>
      </w:tr>
      <w:tr>
        <w:tc>
          <w:tcPr>
            <w:tcW w:type="dxa" w:w="1215"/>
          </w:tcPr>
          <w:p>
            <w:r/>
            <w:r>
              <w:rPr>
                <w:sz w:val="17"/>
              </w:rPr>
              <w:t>PEVNZ8</w:t>
            </w:r>
          </w:p>
        </w:tc>
        <w:tc>
          <w:tcPr>
            <w:tcW w:type="dxa" w:w="1215"/>
          </w:tcPr>
          <w:p>
            <w:r/>
            <w:r>
              <w:rPr>
                <w:sz w:val="17"/>
              </w:rPr>
              <w:t>3</w:t>
            </w:r>
          </w:p>
        </w:tc>
        <w:tc>
          <w:tcPr>
            <w:tcW w:type="dxa" w:w="1215"/>
          </w:tcPr>
          <w:p>
            <w:r/>
            <w:r>
              <w:rPr>
                <w:sz w:val="17"/>
              </w:rPr>
              <w:t>7</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touch; one stopped run 'none'</w:t>
            </w:r>
          </w:p>
        </w:tc>
      </w:tr>
      <w:tr>
        <w:tc>
          <w:tcPr>
            <w:tcW w:type="dxa" w:w="1215"/>
          </w:tcPr>
          <w:p>
            <w:r/>
            <w:r>
              <w:rPr>
                <w:sz w:val="17"/>
              </w:rPr>
              <w:t>PZTPCG</w:t>
            </w:r>
          </w:p>
        </w:tc>
        <w:tc>
          <w:tcPr>
            <w:tcW w:type="dxa" w:w="1215"/>
          </w:tcPr>
          <w:p>
            <w:r/>
            <w:r>
              <w:rPr>
                <w:sz w:val="17"/>
              </w:rPr>
              <w:t>1</w:t>
            </w:r>
          </w:p>
        </w:tc>
        <w:tc>
          <w:tcPr>
            <w:tcW w:type="dxa" w:w="1215"/>
          </w:tcPr>
          <w:p>
            <w:r/>
            <w:r>
              <w:rPr>
                <w:sz w:val="17"/>
              </w:rPr>
              <w:t>4</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keyboard</w:t>
            </w:r>
          </w:p>
        </w:tc>
      </w:tr>
      <w:tr>
        <w:tc>
          <w:tcPr>
            <w:tcW w:type="dxa" w:w="1215"/>
          </w:tcPr>
          <w:p>
            <w:r/>
            <w:r>
              <w:rPr>
                <w:sz w:val="17"/>
              </w:rPr>
              <w:t>PU5K58</w:t>
            </w:r>
          </w:p>
        </w:tc>
        <w:tc>
          <w:tcPr>
            <w:tcW w:type="dxa" w:w="1215"/>
          </w:tcPr>
          <w:p>
            <w:r/>
            <w:r>
              <w:rPr>
                <w:sz w:val="17"/>
              </w:rPr>
              <w:t>3</w:t>
            </w:r>
          </w:p>
        </w:tc>
        <w:tc>
          <w:tcPr>
            <w:tcW w:type="dxa" w:w="1215"/>
          </w:tcPr>
          <w:p>
            <w:r/>
            <w:r>
              <w:rPr>
                <w:sz w:val="17"/>
              </w:rPr>
              <w:t>5</w:t>
            </w:r>
          </w:p>
        </w:tc>
        <w:tc>
          <w:tcPr>
            <w:tcW w:type="dxa" w:w="1215"/>
          </w:tcPr>
          <w:p>
            <w:r/>
            <w:r>
              <w:rPr>
                <w:sz w:val="17"/>
              </w:rPr>
              <w:t>1</w:t>
            </w:r>
          </w:p>
        </w:tc>
        <w:tc>
          <w:tcPr>
            <w:tcW w:type="dxa" w:w="1215"/>
          </w:tcPr>
          <w:p>
            <w:r/>
            <w:r>
              <w:rPr>
                <w:sz w:val="17"/>
              </w:rPr>
              <w:t>0</w:t>
            </w:r>
          </w:p>
        </w:tc>
        <w:tc>
          <w:tcPr>
            <w:tcW w:type="dxa" w:w="1215"/>
          </w:tcPr>
          <w:p>
            <w:r/>
            <w:r>
              <w:rPr>
                <w:sz w:val="17"/>
              </w:rPr>
              <w:t>0</w:t>
            </w:r>
          </w:p>
        </w:tc>
        <w:tc>
          <w:tcPr>
            <w:tcW w:type="dxa" w:w="1215"/>
          </w:tcPr>
          <w:p>
            <w:r/>
            <w:r>
              <w:rPr>
                <w:sz w:val="17"/>
              </w:rPr>
              <w:t>touch</w:t>
            </w:r>
          </w:p>
        </w:tc>
      </w:tr>
      <w:tr>
        <w:tc>
          <w:tcPr>
            <w:tcW w:type="dxa" w:w="1215"/>
          </w:tcPr>
          <w:p>
            <w:r>
              <w:rPr>
                <w:sz w:val="17"/>
              </w:rPr>
              <w:t>PFWU9V</w:t>
            </w:r>
          </w:p>
        </w:tc>
        <w:tc>
          <w:tcPr>
            <w:tcW w:type="dxa" w:w="1215"/>
          </w:tcPr>
          <w:p>
            <w:r>
              <w:rPr>
                <w:sz w:val="17"/>
              </w:rPr>
              <w:t>1</w:t>
            </w:r>
          </w:p>
        </w:tc>
        <w:tc>
          <w:tcPr>
            <w:tcW w:type="dxa" w:w="1215"/>
          </w:tcPr>
          <w:p>
            <w:r>
              <w:rPr>
                <w:sz w:val="17"/>
              </w:rPr>
              <w:t>6</w:t>
            </w:r>
          </w:p>
        </w:tc>
        <w:tc>
          <w:tcPr>
            <w:tcW w:type="dxa" w:w="1215"/>
          </w:tcPr>
          <w:p>
            <w:r>
              <w:rPr>
                <w:sz w:val="17"/>
              </w:rPr>
              <w:t>3</w:t>
            </w:r>
          </w:p>
        </w:tc>
        <w:tc>
          <w:tcPr>
            <w:tcW w:type="dxa" w:w="1215"/>
          </w:tcPr>
          <w:p>
            <w:r>
              <w:rPr>
                <w:sz w:val="17"/>
              </w:rPr>
              <w:t>1</w:t>
            </w:r>
          </w:p>
        </w:tc>
        <w:tc>
          <w:tcPr>
            <w:tcW w:type="dxa" w:w="1215"/>
          </w:tcPr>
          <w:p>
            <w:r>
              <w:rPr>
                <w:sz w:val="17"/>
              </w:rPr>
              <w:t>2</w:t>
            </w:r>
          </w:p>
        </w:tc>
        <w:tc>
          <w:tcPr>
            <w:tcW w:type="dxa" w:w="1215"/>
          </w:tcPr>
          <w:p>
            <w:r>
              <w:rPr>
                <w:sz w:val="17"/>
              </w:rPr>
              <w:t>touch</w:t>
            </w:r>
          </w:p>
        </w:tc>
      </w:tr>
      <w:tr>
        <w:tc>
          <w:tcPr>
            <w:tcW w:type="dxa" w:w="1215"/>
          </w:tcPr>
          <w:p>
            <w:r>
              <w:rPr>
                <w:sz w:val="17"/>
              </w:rPr>
              <w:t>PXG3R9</w:t>
            </w:r>
          </w:p>
        </w:tc>
        <w:tc>
          <w:tcPr>
            <w:tcW w:type="dxa" w:w="1215"/>
          </w:tcPr>
          <w:p>
            <w:r>
              <w:rPr>
                <w:sz w:val="17"/>
              </w:rPr>
              <w:t>3</w:t>
            </w:r>
          </w:p>
        </w:tc>
        <w:tc>
          <w:tcPr>
            <w:tcW w:type="dxa" w:w="1215"/>
          </w:tcPr>
          <w:p>
            <w:r>
              <w:rPr>
                <w:sz w:val="17"/>
              </w:rPr>
              <w:t>5</w:t>
            </w:r>
          </w:p>
        </w:tc>
        <w:tc>
          <w:tcPr>
            <w:tcW w:type="dxa" w:w="1215"/>
          </w:tcPr>
          <w:p>
            <w:r>
              <w:rPr>
                <w:sz w:val="17"/>
              </w:rPr>
              <w:t>1</w:t>
            </w:r>
          </w:p>
        </w:tc>
        <w:tc>
          <w:tcPr>
            <w:tcW w:type="dxa" w:w="1215"/>
          </w:tcPr>
          <w:p>
            <w:r>
              <w:rPr>
                <w:sz w:val="17"/>
              </w:rPr>
              <w:t>0</w:t>
            </w:r>
          </w:p>
        </w:tc>
        <w:tc>
          <w:tcPr>
            <w:tcW w:type="dxa" w:w="1215"/>
          </w:tcPr>
          <w:p>
            <w:r>
              <w:rPr>
                <w:sz w:val="17"/>
              </w:rPr>
              <w:t>0</w:t>
            </w:r>
          </w:p>
        </w:tc>
        <w:tc>
          <w:tcPr>
            <w:tcW w:type="dxa" w:w="1215"/>
          </w:tcPr>
          <w:p>
            <w:r>
              <w:rPr>
                <w:sz w:val="17"/>
              </w:rPr>
              <w:t>touch</w:t>
            </w:r>
          </w:p>
        </w:tc>
      </w:tr>
      <w:tr>
        <w:tc>
          <w:tcPr>
            <w:tcW w:type="dxa" w:w="1215"/>
          </w:tcPr>
          <w:p>
            <w:r>
              <w:rPr>
                <w:sz w:val="17"/>
              </w:rPr>
              <w:t>Total, seven codes</w:t>
            </w:r>
          </w:p>
        </w:tc>
        <w:tc>
          <w:tcPr>
            <w:tcW w:type="dxa" w:w="1215"/>
          </w:tcPr>
          <w:p>
            <w:r>
              <w:rPr>
                <w:sz w:val="17"/>
              </w:rPr>
              <w:t>16</w:t>
            </w:r>
          </w:p>
        </w:tc>
        <w:tc>
          <w:tcPr>
            <w:tcW w:type="dxa" w:w="1215"/>
          </w:tcPr>
          <w:p>
            <w:r>
              <w:rPr>
                <w:sz w:val="17"/>
              </w:rPr>
              <w:t>53</w:t>
            </w:r>
          </w:p>
        </w:tc>
        <w:tc>
          <w:tcPr>
            <w:tcW w:type="dxa" w:w="1215"/>
          </w:tcPr>
          <w:p>
            <w:r>
              <w:rPr>
                <w:sz w:val="17"/>
              </w:rPr>
              <w:t>21</w:t>
            </w:r>
          </w:p>
        </w:tc>
        <w:tc>
          <w:tcPr>
            <w:tcW w:type="dxa" w:w="1215"/>
          </w:tcPr>
          <w:p>
            <w:r>
              <w:rPr>
                <w:sz w:val="17"/>
              </w:rPr>
              <w:t>6</w:t>
            </w:r>
          </w:p>
        </w:tc>
        <w:tc>
          <w:tcPr>
            <w:tcW w:type="dxa" w:w="1215"/>
          </w:tcPr>
          <w:p>
            <w:r>
              <w:rPr>
                <w:sz w:val="17"/>
              </w:rPr>
              <w:t>12</w:t>
            </w:r>
          </w:p>
        </w:tc>
        <w:tc>
          <w:tcPr>
            <w:tcW w:type="dxa" w:w="1215"/>
          </w:tcPr>
          <w:p>
            <w:r>
              <w:rPr>
                <w:sz w:val="17"/>
              </w:rPr>
              <w:t>—</w:t>
            </w:r>
          </w:p>
        </w:tc>
      </w:tr>
    </w:tbl>
    <w:p>
      <w:pPr/>
      <w:r/>
    </w:p>
    <w:p>
      <w:pPr>
        <w:pStyle w:val="FigureCaption"/>
      </w:pPr>
      <w:r>
        <w:t>Table I.7. Visit-by-visit routes (W = warm-up; Pre/Post = opening/closing fixed-course check; P = practice). The Research Review states that the five visits without a practice run must not be treated as completed adaptive-learning sequences; with PXG3R9, seven of sixteen visits contain no practice run.</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152"/>
          </w:tcPr>
          <w:p>
            <w:r/>
            <w:r>
              <w:rPr>
                <w:b/>
                <w:sz w:val="17"/>
              </w:rPr>
              <w:t>Code</w:t>
            </w:r>
          </w:p>
        </w:tc>
        <w:tc>
          <w:tcPr>
            <w:tcW w:type="dxa" w:w="720"/>
          </w:tcPr>
          <w:p>
            <w:r/>
            <w:r>
              <w:rPr>
                <w:b/>
                <w:sz w:val="17"/>
              </w:rPr>
              <w:t>Visit</w:t>
            </w:r>
          </w:p>
        </w:tc>
        <w:tc>
          <w:tcPr>
            <w:tcW w:type="dxa" w:w="1728"/>
          </w:tcPr>
          <w:p>
            <w:r/>
            <w:r>
              <w:rPr>
                <w:b/>
                <w:sz w:val="17"/>
              </w:rPr>
              <w:t>Start (UTC, MM-DD HH:MM)</w:t>
            </w:r>
          </w:p>
        </w:tc>
        <w:tc>
          <w:tcPr>
            <w:tcW w:type="dxa" w:w="2448"/>
          </w:tcPr>
          <w:p>
            <w:r/>
            <w:r>
              <w:rPr>
                <w:b/>
                <w:sz w:val="17"/>
              </w:rPr>
              <w:t>Recorded route</w:t>
            </w:r>
          </w:p>
        </w:tc>
        <w:tc>
          <w:tcPr>
            <w:tcW w:type="dxa" w:w="1584"/>
          </w:tcPr>
          <w:p>
            <w:r/>
            <w:r>
              <w:rPr>
                <w:b/>
                <w:sz w:val="17"/>
              </w:rPr>
              <w:t>Gap from prior end</w:t>
            </w:r>
          </w:p>
        </w:tc>
        <w:tc>
          <w:tcPr>
            <w:tcW w:type="dxa" w:w="1728"/>
          </w:tcPr>
          <w:p>
            <w:r/>
            <w:r>
              <w:rPr>
                <w:b/>
                <w:sz w:val="17"/>
              </w:rPr>
              <w:t>Measurement status</w:t>
            </w:r>
          </w:p>
        </w:tc>
      </w:tr>
      <w:tr>
        <w:tc>
          <w:tcPr>
            <w:tcW w:type="dxa" w:w="1152"/>
          </w:tcPr>
          <w:p>
            <w:r/>
            <w:r>
              <w:rPr>
                <w:sz w:val="17"/>
              </w:rPr>
              <w:t>P8P2Z9</w:t>
            </w:r>
          </w:p>
        </w:tc>
        <w:tc>
          <w:tcPr>
            <w:tcW w:type="dxa" w:w="720"/>
          </w:tcPr>
          <w:p>
            <w:r/>
            <w:r>
              <w:rPr>
                <w:sz w:val="17"/>
              </w:rPr>
              <w:t>1</w:t>
            </w:r>
          </w:p>
        </w:tc>
        <w:tc>
          <w:tcPr>
            <w:tcW w:type="dxa" w:w="1728"/>
          </w:tcPr>
          <w:p>
            <w:r/>
            <w:r>
              <w:rPr>
                <w:sz w:val="17"/>
              </w:rPr>
              <w:t>09-19 07:25</w:t>
            </w:r>
          </w:p>
        </w:tc>
        <w:tc>
          <w:tcPr>
            <w:tcW w:type="dxa" w:w="2448"/>
          </w:tcPr>
          <w:p>
            <w:r/>
            <w:r>
              <w:rPr>
                <w:sz w:val="17"/>
              </w:rPr>
              <w:t>W 1 / Pre 1 / P 7 / Post 1</w:t>
            </w:r>
          </w:p>
        </w:tc>
        <w:tc>
          <w:tcPr>
            <w:tcW w:type="dxa" w:w="1584"/>
          </w:tcPr>
          <w:p>
            <w:r/>
            <w:r>
              <w:rPr>
                <w:sz w:val="17"/>
              </w:rPr>
              <w:t>first recorded</w:t>
            </w:r>
          </w:p>
        </w:tc>
        <w:tc>
          <w:tcPr>
            <w:tcW w:type="dxa" w:w="1728"/>
          </w:tcPr>
          <w:p>
            <w:r/>
            <w:r>
              <w:rPr>
                <w:sz w:val="17"/>
              </w:rPr>
              <w:t>paired checks</w:t>
            </w:r>
          </w:p>
        </w:tc>
      </w:tr>
      <w:tr>
        <w:tc>
          <w:tcPr>
            <w:tcW w:type="dxa" w:w="1152"/>
          </w:tcPr>
          <w:p>
            <w:r>
              <w:rPr>
                <w:sz w:val="17"/>
              </w:rPr>
              <w:t>PFWU9V</w:t>
            </w:r>
          </w:p>
        </w:tc>
        <w:tc>
          <w:tcPr>
            <w:tcW w:type="dxa" w:w="720"/>
          </w:tcPr>
          <w:p>
            <w:r>
              <w:rPr>
                <w:sz w:val="17"/>
              </w:rPr>
              <w:t>1</w:t>
            </w:r>
          </w:p>
        </w:tc>
        <w:tc>
          <w:tcPr>
            <w:tcW w:type="dxa" w:w="1728"/>
          </w:tcPr>
          <w:p>
            <w:r>
              <w:rPr>
                <w:sz w:val="17"/>
              </w:rPr>
              <w:t>09-19 10:22</w:t>
            </w:r>
          </w:p>
        </w:tc>
        <w:tc>
          <w:tcPr>
            <w:tcW w:type="dxa" w:w="2448"/>
          </w:tcPr>
          <w:p>
            <w:r>
              <w:rPr>
                <w:sz w:val="17"/>
              </w:rPr>
              <w:t>W 1 / Pre 1 / P 3 / Post 1</w:t>
            </w:r>
          </w:p>
        </w:tc>
        <w:tc>
          <w:tcPr>
            <w:tcW w:type="dxa" w:w="1584"/>
          </w:tcPr>
          <w:p>
            <w:r>
              <w:rPr>
                <w:sz w:val="17"/>
              </w:rPr>
              <w:t>first recorded</w:t>
            </w:r>
          </w:p>
        </w:tc>
        <w:tc>
          <w:tcPr>
            <w:tcW w:type="dxa" w:w="1728"/>
          </w:tcPr>
          <w:p>
            <w:r>
              <w:rPr>
                <w:sz w:val="17"/>
              </w:rPr>
              <w:t>paired checks</w:t>
            </w:r>
          </w:p>
        </w:tc>
      </w:tr>
      <w:tr>
        <w:tc>
          <w:tcPr>
            <w:tcW w:type="dxa" w:w="1152"/>
          </w:tcPr>
          <w:p>
            <w:r/>
            <w:r>
              <w:rPr>
                <w:sz w:val="17"/>
              </w:rPr>
              <w:t>PT8FJC</w:t>
            </w:r>
          </w:p>
        </w:tc>
        <w:tc>
          <w:tcPr>
            <w:tcW w:type="dxa" w:w="720"/>
          </w:tcPr>
          <w:p>
            <w:r/>
            <w:r>
              <w:rPr>
                <w:sz w:val="17"/>
              </w:rPr>
              <w:t>1</w:t>
            </w:r>
          </w:p>
        </w:tc>
        <w:tc>
          <w:tcPr>
            <w:tcW w:type="dxa" w:w="1728"/>
          </w:tcPr>
          <w:p>
            <w:r/>
            <w:r>
              <w:rPr>
                <w:sz w:val="17"/>
              </w:rPr>
              <w:t>09-19 10:33</w:t>
            </w:r>
          </w:p>
        </w:tc>
        <w:tc>
          <w:tcPr>
            <w:tcW w:type="dxa" w:w="2448"/>
          </w:tcPr>
          <w:p>
            <w:r/>
            <w:r>
              <w:rPr>
                <w:sz w:val="17"/>
              </w:rPr>
              <w:t>W 1 / Pre 1 / P 5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1</w:t>
            </w:r>
          </w:p>
        </w:tc>
        <w:tc>
          <w:tcPr>
            <w:tcW w:type="dxa" w:w="1728"/>
          </w:tcPr>
          <w:p>
            <w:r/>
            <w:r>
              <w:rPr>
                <w:sz w:val="17"/>
              </w:rPr>
              <w:t>09-19 14:12</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2</w:t>
            </w:r>
          </w:p>
        </w:tc>
        <w:tc>
          <w:tcPr>
            <w:tcW w:type="dxa" w:w="1728"/>
          </w:tcPr>
          <w:p>
            <w:r/>
            <w:r>
              <w:rPr>
                <w:sz w:val="17"/>
              </w:rPr>
              <w:t>09-19 14:15</w:t>
            </w:r>
          </w:p>
        </w:tc>
        <w:tc>
          <w:tcPr>
            <w:tcW w:type="dxa" w:w="2448"/>
          </w:tcPr>
          <w:p>
            <w:r/>
            <w:r>
              <w:rPr>
                <w:sz w:val="17"/>
              </w:rPr>
              <w:t>W 0 / Pre 0 / P 0 / Post 1</w:t>
            </w:r>
          </w:p>
        </w:tc>
        <w:tc>
          <w:tcPr>
            <w:tcW w:type="dxa" w:w="1584"/>
          </w:tcPr>
          <w:p>
            <w:r/>
            <w:r>
              <w:rPr>
                <w:sz w:val="17"/>
              </w:rPr>
              <w:t>9.48 s</w:t>
            </w:r>
          </w:p>
        </w:tc>
        <w:tc>
          <w:tcPr>
            <w:tcW w:type="dxa" w:w="1728"/>
          </w:tcPr>
          <w:p>
            <w:r/>
            <w:r>
              <w:rPr>
                <w:sz w:val="17"/>
              </w:rPr>
              <w:t>no practice</w:t>
            </w:r>
          </w:p>
        </w:tc>
      </w:tr>
      <w:tr>
        <w:tc>
          <w:tcPr>
            <w:tcW w:type="dxa" w:w="1152"/>
          </w:tcPr>
          <w:p>
            <w:r/>
            <w:r>
              <w:rPr>
                <w:sz w:val="17"/>
              </w:rPr>
              <w:t>PEVNZ8</w:t>
            </w:r>
          </w:p>
        </w:tc>
        <w:tc>
          <w:tcPr>
            <w:tcW w:type="dxa" w:w="720"/>
          </w:tcPr>
          <w:p>
            <w:r/>
            <w:r>
              <w:rPr>
                <w:sz w:val="17"/>
              </w:rPr>
              <w:t>3</w:t>
            </w:r>
          </w:p>
        </w:tc>
        <w:tc>
          <w:tcPr>
            <w:tcW w:type="dxa" w:w="1728"/>
          </w:tcPr>
          <w:p>
            <w:r/>
            <w:r>
              <w:rPr>
                <w:sz w:val="17"/>
              </w:rPr>
              <w:t>09-19 14:16</w:t>
            </w:r>
          </w:p>
        </w:tc>
        <w:tc>
          <w:tcPr>
            <w:tcW w:type="dxa" w:w="2448"/>
          </w:tcPr>
          <w:p>
            <w:r/>
            <w:r>
              <w:rPr>
                <w:sz w:val="17"/>
              </w:rPr>
              <w:t>W 1 / Pre 0 / P 0 / Post 1</w:t>
            </w:r>
          </w:p>
        </w:tc>
        <w:tc>
          <w:tcPr>
            <w:tcW w:type="dxa" w:w="1584"/>
          </w:tcPr>
          <w:p>
            <w:r/>
            <w:r>
              <w:rPr>
                <w:sz w:val="17"/>
              </w:rPr>
              <w:t>3.39 s</w:t>
            </w:r>
          </w:p>
        </w:tc>
        <w:tc>
          <w:tcPr>
            <w:tcW w:type="dxa" w:w="1728"/>
          </w:tcPr>
          <w:p>
            <w:r/>
            <w:r>
              <w:rPr>
                <w:sz w:val="17"/>
              </w:rPr>
              <w:t>no practice</w:t>
            </w:r>
          </w:p>
        </w:tc>
      </w:tr>
      <w:tr>
        <w:tc>
          <w:tcPr>
            <w:tcW w:type="dxa" w:w="1152"/>
          </w:tcPr>
          <w:p>
            <w:r/>
            <w:r>
              <w:rPr>
                <w:sz w:val="17"/>
              </w:rPr>
              <w:t>PZTPCG</w:t>
            </w:r>
          </w:p>
        </w:tc>
        <w:tc>
          <w:tcPr>
            <w:tcW w:type="dxa" w:w="720"/>
          </w:tcPr>
          <w:p>
            <w:r/>
            <w:r>
              <w:rPr>
                <w:sz w:val="17"/>
              </w:rPr>
              <w:t>1</w:t>
            </w:r>
          </w:p>
        </w:tc>
        <w:tc>
          <w:tcPr>
            <w:tcW w:type="dxa" w:w="1728"/>
          </w:tcPr>
          <w:p>
            <w:r/>
            <w:r>
              <w:rPr>
                <w:sz w:val="17"/>
              </w:rPr>
              <w:t>09-19 14:20</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P8P2Z9</w:t>
            </w:r>
          </w:p>
        </w:tc>
        <w:tc>
          <w:tcPr>
            <w:tcW w:type="dxa" w:w="720"/>
          </w:tcPr>
          <w:p>
            <w:r/>
            <w:r>
              <w:rPr>
                <w:sz w:val="17"/>
              </w:rPr>
              <w:t>2</w:t>
            </w:r>
          </w:p>
        </w:tc>
        <w:tc>
          <w:tcPr>
            <w:tcW w:type="dxa" w:w="1728"/>
          </w:tcPr>
          <w:p>
            <w:r/>
            <w:r>
              <w:rPr>
                <w:sz w:val="17"/>
              </w:rPr>
              <w:t>09-19 15:21</w:t>
            </w:r>
          </w:p>
        </w:tc>
        <w:tc>
          <w:tcPr>
            <w:tcW w:type="dxa" w:w="2448"/>
          </w:tcPr>
          <w:p>
            <w:r/>
            <w:r>
              <w:rPr>
                <w:sz w:val="17"/>
              </w:rPr>
              <w:t>W 0 / Pre 0 / P 0 / Post 1</w:t>
            </w:r>
          </w:p>
        </w:tc>
        <w:tc>
          <w:tcPr>
            <w:tcW w:type="dxa" w:w="1584"/>
          </w:tcPr>
          <w:p>
            <w:r/>
            <w:r>
              <w:rPr>
                <w:sz w:val="17"/>
              </w:rPr>
              <w:t>468.9 min</w:t>
            </w:r>
          </w:p>
        </w:tc>
        <w:tc>
          <w:tcPr>
            <w:tcW w:type="dxa" w:w="1728"/>
          </w:tcPr>
          <w:p>
            <w:r/>
            <w:r>
              <w:rPr>
                <w:sz w:val="17"/>
              </w:rPr>
              <w:t>no practice</w:t>
            </w:r>
          </w:p>
        </w:tc>
      </w:tr>
      <w:tr>
        <w:tc>
          <w:tcPr>
            <w:tcW w:type="dxa" w:w="1152"/>
          </w:tcPr>
          <w:p>
            <w:r/>
            <w:r>
              <w:rPr>
                <w:sz w:val="17"/>
              </w:rPr>
              <w:t>P8P2Z9</w:t>
            </w:r>
          </w:p>
        </w:tc>
        <w:tc>
          <w:tcPr>
            <w:tcW w:type="dxa" w:w="720"/>
          </w:tcPr>
          <w:p>
            <w:r/>
            <w:r>
              <w:rPr>
                <w:sz w:val="17"/>
              </w:rPr>
              <w:t>3</w:t>
            </w:r>
          </w:p>
        </w:tc>
        <w:tc>
          <w:tcPr>
            <w:tcW w:type="dxa" w:w="1728"/>
          </w:tcPr>
          <w:p>
            <w:r/>
            <w:r>
              <w:rPr>
                <w:sz w:val="17"/>
              </w:rPr>
              <w:t>09-19 16:02</w:t>
            </w:r>
          </w:p>
        </w:tc>
        <w:tc>
          <w:tcPr>
            <w:tcW w:type="dxa" w:w="2448"/>
          </w:tcPr>
          <w:p>
            <w:r/>
            <w:r>
              <w:rPr>
                <w:sz w:val="17"/>
              </w:rPr>
              <w:t>W 1 / Pre 1 / P 1 / Post 0</w:t>
            </w:r>
          </w:p>
        </w:tc>
        <w:tc>
          <w:tcPr>
            <w:tcW w:type="dxa" w:w="1584"/>
          </w:tcPr>
          <w:p>
            <w:r/>
            <w:r>
              <w:rPr>
                <w:sz w:val="17"/>
              </w:rPr>
              <w:t>40.2 min</w:t>
            </w:r>
          </w:p>
        </w:tc>
        <w:tc>
          <w:tcPr>
            <w:tcW w:type="dxa" w:w="1728"/>
          </w:tcPr>
          <w:p>
            <w:r/>
            <w:r>
              <w:rPr>
                <w:sz w:val="17"/>
              </w:rPr>
              <w:t>no closing check</w:t>
            </w:r>
          </w:p>
        </w:tc>
      </w:tr>
      <w:tr>
        <w:tc>
          <w:tcPr>
            <w:tcW w:type="dxa" w:w="1152"/>
          </w:tcPr>
          <w:p>
            <w:r/>
            <w:r>
              <w:rPr>
                <w:sz w:val="17"/>
              </w:rPr>
              <w:t>PU5K58</w:t>
            </w:r>
          </w:p>
        </w:tc>
        <w:tc>
          <w:tcPr>
            <w:tcW w:type="dxa" w:w="720"/>
          </w:tcPr>
          <w:p>
            <w:r/>
            <w:r>
              <w:rPr>
                <w:sz w:val="17"/>
              </w:rPr>
              <w:t>1</w:t>
            </w:r>
          </w:p>
        </w:tc>
        <w:tc>
          <w:tcPr>
            <w:tcW w:type="dxa" w:w="1728"/>
          </w:tcPr>
          <w:p>
            <w:r/>
            <w:r>
              <w:rPr>
                <w:sz w:val="17"/>
              </w:rPr>
              <w:t>09-19 16:07</w:t>
            </w:r>
          </w:p>
        </w:tc>
        <w:tc>
          <w:tcPr>
            <w:tcW w:type="dxa" w:w="2448"/>
          </w:tcPr>
          <w:p>
            <w:r/>
            <w:r>
              <w:rPr>
                <w:sz w:val="17"/>
              </w:rPr>
              <w:t>W 0 / Pre 0 / P 0 / Post 1</w:t>
            </w:r>
          </w:p>
        </w:tc>
        <w:tc>
          <w:tcPr>
            <w:tcW w:type="dxa" w:w="1584"/>
          </w:tcPr>
          <w:p>
            <w:r/>
            <w:r>
              <w:rPr>
                <w:sz w:val="17"/>
              </w:rPr>
              <w:t>first recorded</w:t>
            </w:r>
          </w:p>
        </w:tc>
        <w:tc>
          <w:tcPr>
            <w:tcW w:type="dxa" w:w="1728"/>
          </w:tcPr>
          <w:p>
            <w:r/>
            <w:r>
              <w:rPr>
                <w:sz w:val="17"/>
              </w:rPr>
              <w:t>no practice</w:t>
            </w:r>
          </w:p>
        </w:tc>
      </w:tr>
      <w:tr>
        <w:tc>
          <w:tcPr>
            <w:tcW w:type="dxa" w:w="1152"/>
          </w:tcPr>
          <w:p>
            <w:r/>
            <w:r>
              <w:rPr>
                <w:sz w:val="17"/>
              </w:rPr>
              <w:t>PU5K58</w:t>
            </w:r>
          </w:p>
        </w:tc>
        <w:tc>
          <w:tcPr>
            <w:tcW w:type="dxa" w:w="720"/>
          </w:tcPr>
          <w:p>
            <w:r/>
            <w:r>
              <w:rPr>
                <w:sz w:val="17"/>
              </w:rPr>
              <w:t>2</w:t>
            </w:r>
          </w:p>
        </w:tc>
        <w:tc>
          <w:tcPr>
            <w:tcW w:type="dxa" w:w="1728"/>
          </w:tcPr>
          <w:p>
            <w:r/>
            <w:r>
              <w:rPr>
                <w:sz w:val="17"/>
              </w:rPr>
              <w:t>09-19 17:31</w:t>
            </w:r>
          </w:p>
        </w:tc>
        <w:tc>
          <w:tcPr>
            <w:tcW w:type="dxa" w:w="2448"/>
          </w:tcPr>
          <w:p>
            <w:r/>
            <w:r>
              <w:rPr>
                <w:sz w:val="17"/>
              </w:rPr>
              <w:t>W 0 / Pre 0 / P 0 / Post 1</w:t>
            </w:r>
          </w:p>
        </w:tc>
        <w:tc>
          <w:tcPr>
            <w:tcW w:type="dxa" w:w="1584"/>
          </w:tcPr>
          <w:p>
            <w:r/>
            <w:r>
              <w:rPr>
                <w:sz w:val="17"/>
              </w:rPr>
              <w:t>83.1 min</w:t>
            </w:r>
          </w:p>
        </w:tc>
        <w:tc>
          <w:tcPr>
            <w:tcW w:type="dxa" w:w="1728"/>
          </w:tcPr>
          <w:p>
            <w:r/>
            <w:r>
              <w:rPr>
                <w:sz w:val="17"/>
              </w:rPr>
              <w:t>no practice</w:t>
            </w:r>
          </w:p>
        </w:tc>
      </w:tr>
      <w:tr>
        <w:tc>
          <w:tcPr>
            <w:tcW w:type="dxa" w:w="1152"/>
          </w:tcPr>
          <w:p>
            <w:r/>
            <w:r>
              <w:rPr>
                <w:sz w:val="17"/>
              </w:rPr>
              <w:t>PU5K58</w:t>
            </w:r>
          </w:p>
        </w:tc>
        <w:tc>
          <w:tcPr>
            <w:tcW w:type="dxa" w:w="720"/>
          </w:tcPr>
          <w:p>
            <w:r/>
            <w:r>
              <w:rPr>
                <w:sz w:val="17"/>
              </w:rPr>
              <w:t>3</w:t>
            </w:r>
          </w:p>
        </w:tc>
        <w:tc>
          <w:tcPr>
            <w:tcW w:type="dxa" w:w="1728"/>
          </w:tcPr>
          <w:p>
            <w:r/>
            <w:r>
              <w:rPr>
                <w:sz w:val="17"/>
              </w:rPr>
              <w:t>09-19 17:33</w:t>
            </w:r>
          </w:p>
        </w:tc>
        <w:tc>
          <w:tcPr>
            <w:tcW w:type="dxa" w:w="2448"/>
          </w:tcPr>
          <w:p>
            <w:r/>
            <w:r>
              <w:rPr>
                <w:sz w:val="17"/>
              </w:rPr>
              <w:t>W 1 / Pre 1 / P 1 / Post 0</w:t>
            </w:r>
          </w:p>
        </w:tc>
        <w:tc>
          <w:tcPr>
            <w:tcW w:type="dxa" w:w="1584"/>
          </w:tcPr>
          <w:p>
            <w:r/>
            <w:r>
              <w:rPr>
                <w:sz w:val="17"/>
              </w:rPr>
              <w:t>75.11 s</w:t>
            </w:r>
          </w:p>
        </w:tc>
        <w:tc>
          <w:tcPr>
            <w:tcW w:type="dxa" w:w="1728"/>
          </w:tcPr>
          <w:p>
            <w:r/>
            <w:r>
              <w:rPr>
                <w:sz w:val="17"/>
              </w:rPr>
              <w:t>no closing check</w:t>
            </w:r>
          </w:p>
        </w:tc>
      </w:tr>
      <w:tr>
        <w:tc>
          <w:tcPr>
            <w:tcW w:type="dxa" w:w="1152"/>
          </w:tcPr>
          <w:p>
            <w:r/>
            <w:r>
              <w:rPr>
                <w:sz w:val="17"/>
              </w:rPr>
              <w:t>P8P2Z9</w:t>
            </w:r>
          </w:p>
        </w:tc>
        <w:tc>
          <w:tcPr>
            <w:tcW w:type="dxa" w:w="720"/>
          </w:tcPr>
          <w:p>
            <w:r/>
            <w:r>
              <w:rPr>
                <w:sz w:val="17"/>
              </w:rPr>
              <w:t>4</w:t>
            </w:r>
          </w:p>
        </w:tc>
        <w:tc>
          <w:tcPr>
            <w:tcW w:type="dxa" w:w="1728"/>
          </w:tcPr>
          <w:p>
            <w:r/>
            <w:r>
              <w:rPr>
                <w:sz w:val="17"/>
              </w:rPr>
              <w:t>09-20 03:18</w:t>
            </w:r>
          </w:p>
        </w:tc>
        <w:tc>
          <w:tcPr>
            <w:tcW w:type="dxa" w:w="2448"/>
          </w:tcPr>
          <w:p>
            <w:r/>
            <w:r>
              <w:rPr>
                <w:sz w:val="17"/>
              </w:rPr>
              <w:t>W 1 / Pre 1 / P 1 / Post 1</w:t>
            </w:r>
          </w:p>
        </w:tc>
        <w:tc>
          <w:tcPr>
            <w:tcW w:type="dxa" w:w="1584"/>
          </w:tcPr>
          <w:p>
            <w:r/>
            <w:r>
              <w:rPr>
                <w:sz w:val="17"/>
              </w:rPr>
              <w:t>674.1 min</w:t>
            </w:r>
          </w:p>
        </w:tc>
        <w:tc>
          <w:tcPr>
            <w:tcW w:type="dxa" w:w="1728"/>
          </w:tcPr>
          <w:p>
            <w:r/>
            <w:r>
              <w:rPr>
                <w:sz w:val="17"/>
              </w:rPr>
              <w:t>paired checks</w:t>
            </w:r>
          </w:p>
        </w:tc>
      </w:tr>
      <w:tr>
        <w:tc>
          <w:tcPr>
            <w:tcW w:type="dxa" w:w="1152"/>
          </w:tcPr>
          <w:p>
            <w:r>
              <w:rPr>
                <w:sz w:val="17"/>
              </w:rPr>
              <w:t>PXG3R9</w:t>
            </w:r>
          </w:p>
        </w:tc>
        <w:tc>
          <w:tcPr>
            <w:tcW w:type="dxa" w:w="720"/>
          </w:tcPr>
          <w:p>
            <w:r>
              <w:rPr>
                <w:sz w:val="17"/>
              </w:rPr>
              <w:t>1</w:t>
            </w:r>
          </w:p>
        </w:tc>
        <w:tc>
          <w:tcPr>
            <w:tcW w:type="dxa" w:w="1728"/>
          </w:tcPr>
          <w:p>
            <w:r>
              <w:rPr>
                <w:sz w:val="17"/>
              </w:rPr>
              <w:t>09-20 03:47</w:t>
            </w:r>
          </w:p>
        </w:tc>
        <w:tc>
          <w:tcPr>
            <w:tcW w:type="dxa" w:w="2448"/>
          </w:tcPr>
          <w:p>
            <w:r>
              <w:rPr>
                <w:sz w:val="17"/>
              </w:rPr>
              <w:t>W 0 / Pre 0 / P 0 / Post 1</w:t>
            </w:r>
          </w:p>
        </w:tc>
        <w:tc>
          <w:tcPr>
            <w:tcW w:type="dxa" w:w="1584"/>
          </w:tcPr>
          <w:p>
            <w:r>
              <w:rPr>
                <w:sz w:val="17"/>
              </w:rPr>
              <w:t>first recorded</w:t>
            </w:r>
          </w:p>
        </w:tc>
        <w:tc>
          <w:tcPr>
            <w:tcW w:type="dxa" w:w="1728"/>
          </w:tcPr>
          <w:p>
            <w:r>
              <w:rPr>
                <w:sz w:val="17"/>
              </w:rPr>
              <w:t>no practice</w:t>
            </w:r>
          </w:p>
        </w:tc>
      </w:tr>
      <w:tr>
        <w:tc>
          <w:tcPr>
            <w:tcW w:type="dxa" w:w="1152"/>
          </w:tcPr>
          <w:p>
            <w:r>
              <w:rPr>
                <w:sz w:val="17"/>
              </w:rPr>
              <w:t>PXG3R9</w:t>
            </w:r>
          </w:p>
        </w:tc>
        <w:tc>
          <w:tcPr>
            <w:tcW w:type="dxa" w:w="720"/>
          </w:tcPr>
          <w:p>
            <w:r>
              <w:rPr>
                <w:sz w:val="17"/>
              </w:rPr>
              <w:t>2</w:t>
            </w:r>
          </w:p>
        </w:tc>
        <w:tc>
          <w:tcPr>
            <w:tcW w:type="dxa" w:w="1728"/>
          </w:tcPr>
          <w:p>
            <w:r>
              <w:rPr>
                <w:sz w:val="17"/>
              </w:rPr>
              <w:t>09-20 03:49</w:t>
            </w:r>
          </w:p>
        </w:tc>
        <w:tc>
          <w:tcPr>
            <w:tcW w:type="dxa" w:w="2448"/>
          </w:tcPr>
          <w:p>
            <w:r>
              <w:rPr>
                <w:sz w:val="17"/>
              </w:rPr>
              <w:t>W 0 / Pre 0 / P 0 / Post 1</w:t>
            </w:r>
          </w:p>
        </w:tc>
        <w:tc>
          <w:tcPr>
            <w:tcW w:type="dxa" w:w="1584"/>
          </w:tcPr>
          <w:p>
            <w:r>
              <w:rPr>
                <w:sz w:val="17"/>
              </w:rPr>
              <w:t>5.31 s</w:t>
            </w:r>
          </w:p>
        </w:tc>
        <w:tc>
          <w:tcPr>
            <w:tcW w:type="dxa" w:w="1728"/>
          </w:tcPr>
          <w:p>
            <w:r>
              <w:rPr>
                <w:sz w:val="17"/>
              </w:rPr>
              <w:t>no practice</w:t>
            </w:r>
          </w:p>
        </w:tc>
      </w:tr>
      <w:tr>
        <w:tc>
          <w:tcPr>
            <w:tcW w:type="dxa" w:w="1152"/>
          </w:tcPr>
          <w:p>
            <w:r>
              <w:rPr>
                <w:sz w:val="17"/>
              </w:rPr>
              <w:t>PXG3R9</w:t>
            </w:r>
          </w:p>
        </w:tc>
        <w:tc>
          <w:tcPr>
            <w:tcW w:type="dxa" w:w="720"/>
          </w:tcPr>
          <w:p>
            <w:r>
              <w:rPr>
                <w:sz w:val="17"/>
              </w:rPr>
              <w:t>3</w:t>
            </w:r>
          </w:p>
        </w:tc>
        <w:tc>
          <w:tcPr>
            <w:tcW w:type="dxa" w:w="1728"/>
          </w:tcPr>
          <w:p>
            <w:r>
              <w:rPr>
                <w:sz w:val="17"/>
              </w:rPr>
              <w:t>09-20 03:49</w:t>
            </w:r>
          </w:p>
        </w:tc>
        <w:tc>
          <w:tcPr>
            <w:tcW w:type="dxa" w:w="2448"/>
          </w:tcPr>
          <w:p>
            <w:r>
              <w:rPr>
                <w:sz w:val="17"/>
              </w:rPr>
              <w:t>W 1 / Pre 1 / P 1 / Post 0</w:t>
            </w:r>
          </w:p>
        </w:tc>
        <w:tc>
          <w:tcPr>
            <w:tcW w:type="dxa" w:w="1584"/>
          </w:tcPr>
          <w:p>
            <w:r>
              <w:rPr>
                <w:sz w:val="17"/>
              </w:rPr>
              <w:t>3.22 s</w:t>
            </w:r>
          </w:p>
        </w:tc>
        <w:tc>
          <w:tcPr>
            <w:tcW w:type="dxa" w:w="1728"/>
          </w:tcPr>
          <w:p>
            <w:r>
              <w:rPr>
                <w:sz w:val="17"/>
              </w:rPr>
              <w:t>no closing check</w:t>
            </w:r>
          </w:p>
        </w:tc>
      </w:tr>
    </w:tbl>
    <w:p>
      <w:pPr/>
      <w:r/>
    </w:p>
    <w:p>
      <w:pPr>
        <w:pStyle w:val="FigureCaption"/>
      </w:pPr>
      <w:r>
        <w:t>Table I.8. Decision audit: the twelve feedback → proposal → applied-settings chains (three stored codes; transition numbers are exported Session_No values, which include warm-ups and checks; pace values are multipliers).</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40"/>
          </w:tcPr>
          <w:p>
            <w:r/>
            <w:r>
              <w:rPr>
                <w:b/>
                <w:sz w:val="15"/>
              </w:rPr>
              <w:t>Code / transition (Session_No)</w:t>
            </w:r>
          </w:p>
        </w:tc>
        <w:tc>
          <w:tcPr>
            <w:tcW w:type="dxa" w:w="1872"/>
          </w:tcPr>
          <w:p>
            <w:r/>
            <w:r>
              <w:rPr>
                <w:b/>
                <w:sz w:val="15"/>
              </w:rPr>
              <w:t>Recorded feedback (difficulty; feeling; reason)</w:t>
            </w:r>
          </w:p>
        </w:tc>
        <w:tc>
          <w:tcPr>
            <w:tcW w:type="dxa" w:w="1728"/>
          </w:tcPr>
          <w:p>
            <w:r/>
            <w:r>
              <w:rPr>
                <w:b/>
                <w:sz w:val="15"/>
              </w:rPr>
              <w:t>Original offline proposal</w:t>
            </w:r>
          </w:p>
        </w:tc>
        <w:tc>
          <w:tcPr>
            <w:tcW w:type="dxa" w:w="1584"/>
          </w:tcPr>
          <w:p>
            <w:r/>
            <w:r>
              <w:rPr>
                <w:b/>
                <w:sz w:val="15"/>
              </w:rPr>
              <w:t>Final applied result</w:t>
            </w:r>
          </w:p>
        </w:tc>
        <w:tc>
          <w:tcPr>
            <w:tcW w:type="dxa" w:w="1296"/>
          </w:tcPr>
          <w:p>
            <w:r/>
            <w:r>
              <w:rPr>
                <w:b/>
                <w:sz w:val="15"/>
              </w:rPr>
              <w:t>Source of final decision</w:t>
            </w:r>
          </w:p>
        </w:tc>
        <w:tc>
          <w:tcPr>
            <w:tcW w:type="dxa" w:w="864"/>
          </w:tcPr>
          <w:p>
            <w:r/>
            <w:r>
              <w:rPr>
                <w:b/>
                <w:sz w:val="15"/>
              </w:rPr>
              <w:t>Chain checks</w:t>
            </w:r>
          </w:p>
        </w:tc>
      </w:tr>
      <w:tr>
        <w:tc>
          <w:tcPr>
            <w:tcW w:type="dxa" w:w="1440"/>
          </w:tcPr>
          <w:p>
            <w:r/>
            <w:r>
              <w:rPr>
                <w:sz w:val="15"/>
              </w:rPr>
              <w:t>P8P2Z9 3 → 4</w:t>
            </w:r>
          </w:p>
        </w:tc>
        <w:tc>
          <w:tcPr>
            <w:tcW w:type="dxa" w:w="1872"/>
          </w:tcPr>
          <w:p>
            <w:r/>
            <w:r>
              <w:rPr>
                <w:sz w:val="15"/>
              </w:rPr>
              <w:t>Hard; frustrated; speed</w:t>
            </w:r>
          </w:p>
        </w:tc>
        <w:tc>
          <w:tcPr>
            <w:tcW w:type="dxa" w:w="1728"/>
          </w:tcPr>
          <w:p>
            <w:r/>
            <w:r>
              <w:rPr>
                <w:sz w:val="15"/>
              </w:rPr>
              <w:t>Easier: 1.20 → 1.08</w:t>
            </w:r>
          </w:p>
        </w:tc>
        <w:tc>
          <w:tcPr>
            <w:tcW w:type="dxa" w:w="1584"/>
          </w:tcPr>
          <w:p>
            <w:r/>
            <w:r>
              <w:rPr>
                <w:sz w:val="15"/>
              </w:rPr>
              <w:t>1.08; look ahead</w:t>
            </w:r>
          </w:p>
        </w:tc>
        <w:tc>
          <w:tcPr>
            <w:tcW w:type="dxa" w:w="1296"/>
          </w:tcPr>
          <w:p>
            <w:r/>
            <w:r>
              <w:rPr>
                <w:sz w:val="15"/>
              </w:rPr>
              <w:t>local rule</w:t>
            </w:r>
          </w:p>
        </w:tc>
        <w:tc>
          <w:tcPr>
            <w:tcW w:type="dxa" w:w="864"/>
          </w:tcPr>
          <w:p>
            <w:r/>
            <w:r>
              <w:rPr>
                <w:sz w:val="15"/>
              </w:rPr>
              <w:t>pass</w:t>
            </w:r>
          </w:p>
        </w:tc>
      </w:tr>
      <w:tr>
        <w:tc>
          <w:tcPr>
            <w:tcW w:type="dxa" w:w="1440"/>
          </w:tcPr>
          <w:p>
            <w:r/>
            <w:r>
              <w:rPr>
                <w:sz w:val="15"/>
              </w:rPr>
              <w:t>P8P2Z9 4 → 5</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1.08;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5 → 6</w:t>
            </w:r>
          </w:p>
        </w:tc>
        <w:tc>
          <w:tcPr>
            <w:tcW w:type="dxa" w:w="1872"/>
          </w:tcPr>
          <w:p>
            <w:r/>
            <w:r>
              <w:rPr>
                <w:sz w:val="15"/>
              </w:rPr>
              <w:t>Right; okay; turns</w:t>
            </w:r>
          </w:p>
        </w:tc>
        <w:tc>
          <w:tcPr>
            <w:tcW w:type="dxa" w:w="1728"/>
          </w:tcPr>
          <w:p>
            <w:r/>
            <w:r>
              <w:rPr>
                <w:sz w:val="15"/>
              </w:rPr>
              <w:t>Same: 1.08</w:t>
            </w:r>
          </w:p>
        </w:tc>
        <w:tc>
          <w:tcPr>
            <w:tcW w:type="dxa" w:w="1584"/>
          </w:tcPr>
          <w:p>
            <w:r/>
            <w:r>
              <w:rPr>
                <w:sz w:val="15"/>
              </w:rPr>
              <w:t>1.08;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6 → 7</w:t>
            </w:r>
          </w:p>
        </w:tc>
        <w:tc>
          <w:tcPr>
            <w:tcW w:type="dxa" w:w="1872"/>
          </w:tcPr>
          <w:p>
            <w:r/>
            <w:r>
              <w:rPr>
                <w:sz w:val="15"/>
              </w:rPr>
              <w:t>Easy; okay; turns</w:t>
            </w:r>
          </w:p>
        </w:tc>
        <w:tc>
          <w:tcPr>
            <w:tcW w:type="dxa" w:w="1728"/>
          </w:tcPr>
          <w:p>
            <w:r/>
            <w:r>
              <w:rPr>
                <w:sz w:val="15"/>
              </w:rPr>
              <w:t>Harder: 1.08 → 1.18</w:t>
            </w:r>
          </w:p>
        </w:tc>
        <w:tc>
          <w:tcPr>
            <w:tcW w:type="dxa" w:w="1584"/>
          </w:tcPr>
          <w:p>
            <w:r/>
            <w:r>
              <w:rPr>
                <w:sz w:val="15"/>
              </w:rPr>
              <w:t>1.18;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7 → 8</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1.18;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8 → 9</w:t>
            </w:r>
          </w:p>
        </w:tc>
        <w:tc>
          <w:tcPr>
            <w:tcW w:type="dxa" w:w="1872"/>
          </w:tcPr>
          <w:p>
            <w:r/>
            <w:r>
              <w:rPr>
                <w:sz w:val="15"/>
              </w:rPr>
              <w:t>Hard; okay; turns</w:t>
            </w:r>
          </w:p>
        </w:tc>
        <w:tc>
          <w:tcPr>
            <w:tcW w:type="dxa" w:w="1728"/>
          </w:tcPr>
          <w:p>
            <w:r/>
            <w:r>
              <w:rPr>
                <w:sz w:val="15"/>
              </w:rPr>
              <w:t>Easier: 1.18 → 1.06</w:t>
            </w:r>
          </w:p>
        </w:tc>
        <w:tc>
          <w:tcPr>
            <w:tcW w:type="dxa" w:w="1584"/>
          </w:tcPr>
          <w:p>
            <w:r/>
            <w:r>
              <w:rPr>
                <w:sz w:val="15"/>
              </w:rPr>
              <w:t>1.06;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PT8FJC 3 → 4</w:t>
            </w:r>
          </w:p>
        </w:tc>
        <w:tc>
          <w:tcPr>
            <w:tcW w:type="dxa" w:w="1872"/>
          </w:tcPr>
          <w:p>
            <w:r/>
            <w:r>
              <w:rPr>
                <w:sz w:val="15"/>
              </w:rPr>
              <w:t>Right; okay; speed</w:t>
            </w:r>
          </w:p>
        </w:tc>
        <w:tc>
          <w:tcPr>
            <w:tcW w:type="dxa" w:w="1728"/>
          </w:tcPr>
          <w:p>
            <w:r/>
            <w:r>
              <w:rPr>
                <w:sz w:val="15"/>
              </w:rPr>
              <w:t>Easier: 1.20 → 1.08</w:t>
            </w:r>
          </w:p>
        </w:tc>
        <w:tc>
          <w:tcPr>
            <w:tcW w:type="dxa" w:w="1584"/>
          </w:tcPr>
          <w:p>
            <w:r/>
            <w:r>
              <w:rPr>
                <w:sz w:val="15"/>
              </w:rPr>
              <w:t>Player override: 1.30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4 → 5</w:t>
            </w:r>
          </w:p>
        </w:tc>
        <w:tc>
          <w:tcPr>
            <w:tcW w:type="dxa" w:w="1872"/>
          </w:tcPr>
          <w:p>
            <w:r/>
            <w:r>
              <w:rPr>
                <w:sz w:val="15"/>
              </w:rPr>
              <w:t>Right; enjoying; coins</w:t>
            </w:r>
          </w:p>
        </w:tc>
        <w:tc>
          <w:tcPr>
            <w:tcW w:type="dxa" w:w="1728"/>
          </w:tcPr>
          <w:p>
            <w:r/>
            <w:r>
              <w:rPr>
                <w:sz w:val="15"/>
              </w:rPr>
              <w:t>Same: 1.30</w:t>
            </w:r>
          </w:p>
        </w:tc>
        <w:tc>
          <w:tcPr>
            <w:tcW w:type="dxa" w:w="1584"/>
          </w:tcPr>
          <w:p>
            <w:r/>
            <w:r>
              <w:rPr>
                <w:sz w:val="15"/>
              </w:rPr>
              <w:t>Player override: 1.40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5 → 6</w:t>
            </w:r>
          </w:p>
        </w:tc>
        <w:tc>
          <w:tcPr>
            <w:tcW w:type="dxa" w:w="1872"/>
          </w:tcPr>
          <w:p>
            <w:r/>
            <w:r>
              <w:rPr>
                <w:sz w:val="15"/>
              </w:rPr>
              <w:t>Right; enjoying; more challenge</w:t>
            </w:r>
          </w:p>
        </w:tc>
        <w:tc>
          <w:tcPr>
            <w:tcW w:type="dxa" w:w="1728"/>
          </w:tcPr>
          <w:p>
            <w:r/>
            <w:r>
              <w:rPr>
                <w:sz w:val="15"/>
              </w:rPr>
              <w:t>Harder: 1.40 → 1.50</w:t>
            </w:r>
          </w:p>
        </w:tc>
        <w:tc>
          <w:tcPr>
            <w:tcW w:type="dxa" w:w="1584"/>
          </w:tcPr>
          <w:p>
            <w:r/>
            <w:r>
              <w:rPr>
                <w:sz w:val="15"/>
              </w:rPr>
              <w:t>1.50; safe coins</w:t>
            </w:r>
          </w:p>
        </w:tc>
        <w:tc>
          <w:tcPr>
            <w:tcW w:type="dxa" w:w="1296"/>
          </w:tcPr>
          <w:p>
            <w:r/>
            <w:r>
              <w:rPr>
                <w:sz w:val="15"/>
              </w:rPr>
              <w:t>local rule</w:t>
            </w:r>
          </w:p>
        </w:tc>
        <w:tc>
          <w:tcPr>
            <w:tcW w:type="dxa" w:w="864"/>
          </w:tcPr>
          <w:p>
            <w:r/>
            <w:r>
              <w:rPr>
                <w:sz w:val="15"/>
              </w:rPr>
              <w:t>pass</w:t>
            </w:r>
          </w:p>
        </w:tc>
      </w:tr>
      <w:tr>
        <w:tc>
          <w:tcPr>
            <w:tcW w:type="dxa" w:w="1440"/>
          </w:tcPr>
          <w:p>
            <w:r/>
            <w:r>
              <w:rPr>
                <w:sz w:val="15"/>
              </w:rPr>
              <w:t>PT8FJC 6 → 7</w:t>
            </w:r>
          </w:p>
        </w:tc>
        <w:tc>
          <w:tcPr>
            <w:tcW w:type="dxa" w:w="1872"/>
          </w:tcPr>
          <w:p>
            <w:r/>
            <w:r>
              <w:rPr>
                <w:sz w:val="15"/>
              </w:rPr>
              <w:t>Right; enjoying; coins</w:t>
            </w:r>
          </w:p>
        </w:tc>
        <w:tc>
          <w:tcPr>
            <w:tcW w:type="dxa" w:w="1728"/>
          </w:tcPr>
          <w:p>
            <w:r/>
            <w:r>
              <w:rPr>
                <w:sz w:val="15"/>
              </w:rPr>
              <w:t>Same: 1.50</w:t>
            </w:r>
          </w:p>
        </w:tc>
        <w:tc>
          <w:tcPr>
            <w:tcW w:type="dxa" w:w="1584"/>
          </w:tcPr>
          <w:p>
            <w:r/>
            <w:r>
              <w:rPr>
                <w:sz w:val="15"/>
              </w:rPr>
              <w:t>Player override: 1.60</w:t>
            </w:r>
          </w:p>
        </w:tc>
        <w:tc>
          <w:tcPr>
            <w:tcW w:type="dxa" w:w="1296"/>
          </w:tcPr>
          <w:p>
            <w:r/>
            <w:r>
              <w:rPr>
                <w:sz w:val="15"/>
              </w:rPr>
              <w:t>player override</w:t>
            </w:r>
          </w:p>
        </w:tc>
        <w:tc>
          <w:tcPr>
            <w:tcW w:type="dxa" w:w="864"/>
          </w:tcPr>
          <w:p>
            <w:r/>
            <w:r>
              <w:rPr>
                <w:sz w:val="15"/>
              </w:rPr>
              <w:t>pass</w:t>
            </w:r>
          </w:p>
        </w:tc>
      </w:tr>
      <w:tr>
        <w:tc>
          <w:tcPr>
            <w:tcW w:type="dxa" w:w="1440"/>
          </w:tcPr>
          <w:p>
            <w:r>
              <w:rPr>
                <w:sz w:val="15"/>
              </w:rPr>
              <w:t>PFWU9V 3 → 4</w:t>
            </w:r>
          </w:p>
        </w:tc>
        <w:tc>
          <w:tcPr>
            <w:tcW w:type="dxa" w:w="1872"/>
          </w:tcPr>
          <w:p>
            <w:r>
              <w:rPr>
                <w:sz w:val="15"/>
              </w:rPr>
              <w:t>Right; enjoying; speed</w:t>
            </w:r>
          </w:p>
        </w:tc>
        <w:tc>
          <w:tcPr>
            <w:tcW w:type="dxa" w:w="1728"/>
          </w:tcPr>
          <w:p>
            <w:r>
              <w:rPr>
                <w:sz w:val="15"/>
              </w:rPr>
              <w:t>Easier: 0.68 → 0.56</w:t>
            </w:r>
          </w:p>
        </w:tc>
        <w:tc>
          <w:tcPr>
            <w:tcW w:type="dxa" w:w="1584"/>
          </w:tcPr>
          <w:p>
            <w:r>
              <w:rPr>
                <w:sz w:val="15"/>
              </w:rPr>
              <w:t>0.56; look ahead</w:t>
            </w:r>
          </w:p>
        </w:tc>
        <w:tc>
          <w:tcPr>
            <w:tcW w:type="dxa" w:w="1296"/>
          </w:tcPr>
          <w:p>
            <w:r>
              <w:rPr>
                <w:sz w:val="15"/>
              </w:rPr>
              <w:t>local rule</w:t>
            </w:r>
          </w:p>
        </w:tc>
        <w:tc>
          <w:tcPr>
            <w:tcW w:type="dxa" w:w="864"/>
          </w:tcPr>
          <w:p>
            <w:r>
              <w:rPr>
                <w:sz w:val="15"/>
              </w:rPr>
              <w:t>pass</w:t>
            </w:r>
          </w:p>
        </w:tc>
      </w:tr>
      <w:tr>
        <w:tc>
          <w:tcPr>
            <w:tcW w:type="dxa" w:w="1440"/>
          </w:tcPr>
          <w:p>
            <w:r>
              <w:rPr>
                <w:sz w:val="15"/>
              </w:rPr>
              <w:t>PFWU9V 4 → 5</w:t>
            </w:r>
          </w:p>
        </w:tc>
        <w:tc>
          <w:tcPr>
            <w:tcW w:type="dxa" w:w="1872"/>
          </w:tcPr>
          <w:p>
            <w:r>
              <w:rPr>
                <w:sz w:val="15"/>
              </w:rPr>
              <w:t>Easy; okay; other</w:t>
            </w:r>
          </w:p>
        </w:tc>
        <w:tc>
          <w:tcPr>
            <w:tcW w:type="dxa" w:w="1728"/>
          </w:tcPr>
          <w:p>
            <w:r>
              <w:rPr>
                <w:sz w:val="15"/>
              </w:rPr>
              <w:t>Harder: 0.56 → 0.66</w:t>
            </w:r>
          </w:p>
        </w:tc>
        <w:tc>
          <w:tcPr>
            <w:tcW w:type="dxa" w:w="1584"/>
          </w:tcPr>
          <w:p>
            <w:r>
              <w:rPr>
                <w:sz w:val="15"/>
              </w:rPr>
              <w:t>0.66; look ahead</w:t>
            </w:r>
          </w:p>
        </w:tc>
        <w:tc>
          <w:tcPr>
            <w:tcW w:type="dxa" w:w="1296"/>
          </w:tcPr>
          <w:p>
            <w:r>
              <w:rPr>
                <w:sz w:val="15"/>
              </w:rPr>
              <w:t>local rule</w:t>
            </w:r>
          </w:p>
        </w:tc>
        <w:tc>
          <w:tcPr>
            <w:tcW w:type="dxa" w:w="864"/>
          </w:tcPr>
          <w:p>
            <w:r>
              <w:rPr>
                <w:sz w:val="15"/>
              </w:rPr>
              <w:t>pass</w:t>
            </w:r>
          </w:p>
        </w:tc>
      </w:tr>
    </w:tbl>
    <w:p>
      <w:pPr/>
      <w:r/>
    </w:p>
    <w:p>
      <w:pPr>
        <w:jc w:val="center"/>
      </w:pPr>
      <w:r>
        <w:drawing>
          <wp:inline>
            <wp:extent cx="5120640" cy="3138457"/>
            <wp:docPr id="42" name="Picture 42" descr="Figure I.2. Pace multiplier applied to successive practice runs after each feedback → proposal → decision chain (twelve chains, three codes, visit 1)."/>
            <wp:cNvGraphicFramePr>
              <a:graphicFrameLocks noChangeAspect="1"/>
            </wp:cNvGraphicFramePr>
            <a:graphic>
              <a:graphicData uri="http://schemas.openxmlformats.org/drawingml/2006/picture">
                <pic:pic>
                  <pic:nvPicPr>
                    <pic:cNvPr id="0" name="fig_I_2.png"/>
                    <pic:cNvPicPr/>
                  </pic:nvPicPr>
                  <pic:blipFill>
                    <a:blip r:embed="rId51"/>
                    <a:stretch>
                      <a:fillRect/>
                    </a:stretch>
                  </pic:blipFill>
                  <pic:spPr>
                    <a:xfrm>
                      <a:off x="0" y="0"/>
                      <a:ext cx="5120640" cy="3138457"/>
                    </a:xfrm>
                    <a:prstGeom prst="rect"/>
                  </pic:spPr>
                </pic:pic>
              </a:graphicData>
            </a:graphic>
          </wp:inline>
        </w:drawing>
      </w:r>
    </w:p>
    <w:p>
      <w:pPr>
        <w:pStyle w:val="FigureCaption"/>
      </w:pPr>
      <w:r>
        <w:t>Figure I.2. Pace multiplier applied to successive practice runs after each feedback → proposal → decision chain (twelve chains, three codes, visit 1). Filled markers: final decision from the local rule; open markers: player override. The PT8FJC progression from 1.20 to 1.60 comprises three player overrides and one local-rule increase; it is not four AI-selected increases. No external model was called.</w:t>
      </w:r>
    </w:p>
    <w:p>
      <w:pPr>
        <w:pStyle w:val="FigureCaption"/>
      </w:pPr>
      <w:r>
        <w:t>Table I.9. Paired fixed-course checks (opening → closing, within visit; pace ×0.85, 20 obstacles, 30-s planned duration, same input mode within each pair; course forms differ within each pair).</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17"/>
          </w:tcPr>
          <w:p>
            <w:r/>
            <w:r>
              <w:rPr>
                <w:b/>
                <w:sz w:val="17"/>
              </w:rPr>
              <w:t>Code / visit</w:t>
            </w:r>
          </w:p>
        </w:tc>
        <w:tc>
          <w:tcPr>
            <w:tcW w:type="dxa" w:w="1417"/>
          </w:tcPr>
          <w:p>
            <w:r/>
            <w:r>
              <w:rPr>
                <w:b/>
                <w:sz w:val="17"/>
              </w:rPr>
              <w:t>Course forms (opening → closing)</w:t>
            </w:r>
          </w:p>
        </w:tc>
        <w:tc>
          <w:tcPr>
            <w:tcW w:type="dxa" w:w="1417"/>
          </w:tcPr>
          <w:p>
            <w:r/>
            <w:r>
              <w:rPr>
                <w:b/>
                <w:sz w:val="17"/>
              </w:rPr>
              <w:t>Clearance opening → closing</w:t>
            </w:r>
          </w:p>
        </w:tc>
        <w:tc>
          <w:tcPr>
            <w:tcW w:type="dxa" w:w="1417"/>
          </w:tcPr>
          <w:p>
            <w:r/>
            <w:r>
              <w:rPr>
                <w:b/>
                <w:sz w:val="17"/>
              </w:rPr>
              <w:t>Change (pp)</w:t>
            </w:r>
          </w:p>
        </w:tc>
        <w:tc>
          <w:tcPr>
            <w:tcW w:type="dxa" w:w="1417"/>
          </w:tcPr>
          <w:p>
            <w:r/>
            <w:r>
              <w:rPr>
                <w:b/>
                <w:sz w:val="17"/>
              </w:rPr>
              <w:t>Coins opening → closing</w:t>
            </w:r>
          </w:p>
        </w:tc>
        <w:tc>
          <w:tcPr>
            <w:tcW w:type="dxa" w:w="1417"/>
          </w:tcPr>
          <w:p>
            <w:r/>
            <w:r>
              <w:rPr>
                <w:b/>
                <w:sz w:val="17"/>
              </w:rPr>
              <w:t>Build stamp</w:t>
            </w:r>
          </w:p>
        </w:tc>
      </w:tr>
      <w:tr>
        <w:tc>
          <w:tcPr>
            <w:tcW w:type="dxa" w:w="1417"/>
          </w:tcPr>
          <w:p>
            <w:r/>
            <w:r>
              <w:rPr>
                <w:sz w:val="17"/>
              </w:rPr>
              <w:t>P8P2Z9 / 1</w:t>
            </w:r>
          </w:p>
        </w:tc>
        <w:tc>
          <w:tcPr>
            <w:tcW w:type="dxa" w:w="1417"/>
          </w:tcPr>
          <w:p>
            <w:r/>
            <w:r>
              <w:rPr>
                <w:sz w:val="17"/>
              </w:rPr>
              <w:t>7043 → 7043m</w:t>
            </w:r>
          </w:p>
        </w:tc>
        <w:tc>
          <w:tcPr>
            <w:tcW w:type="dxa" w:w="1417"/>
          </w:tcPr>
          <w:p>
            <w:r/>
            <w:r>
              <w:rPr>
                <w:sz w:val="17"/>
              </w:rPr>
              <w:t>100% → 90%</w:t>
            </w:r>
          </w:p>
        </w:tc>
        <w:tc>
          <w:tcPr>
            <w:tcW w:type="dxa" w:w="1417"/>
          </w:tcPr>
          <w:p>
            <w:r/>
            <w:r>
              <w:rPr>
                <w:sz w:val="17"/>
              </w:rPr>
              <w:t>−10</w:t>
            </w:r>
          </w:p>
        </w:tc>
        <w:tc>
          <w:tcPr>
            <w:tcW w:type="dxa" w:w="1417"/>
          </w:tcPr>
          <w:p>
            <w:r/>
            <w:r>
              <w:rPr>
                <w:sz w:val="17"/>
              </w:rPr>
              <w:t>15 → 14</w:t>
            </w:r>
          </w:p>
        </w:tc>
        <w:tc>
          <w:tcPr>
            <w:tcW w:type="dxa" w:w="1417"/>
          </w:tcPr>
          <w:p>
            <w:r/>
            <w:r>
              <w:rPr>
                <w:sz w:val="17"/>
              </w:rPr>
              <w:t>v4.1</w:t>
            </w:r>
          </w:p>
        </w:tc>
      </w:tr>
      <w:tr>
        <w:tc>
          <w:tcPr>
            <w:tcW w:type="dxa" w:w="1417"/>
          </w:tcPr>
          <w:p>
            <w:r/>
            <w:r>
              <w:rPr>
                <w:sz w:val="17"/>
              </w:rPr>
              <w:t>PT8FJC / 1</w:t>
            </w:r>
          </w:p>
        </w:tc>
        <w:tc>
          <w:tcPr>
            <w:tcW w:type="dxa" w:w="1417"/>
          </w:tcPr>
          <w:p>
            <w:r/>
            <w:r>
              <w:rPr>
                <w:sz w:val="17"/>
              </w:rPr>
              <w:t>7043 → 7043m</w:t>
            </w:r>
          </w:p>
        </w:tc>
        <w:tc>
          <w:tcPr>
            <w:tcW w:type="dxa" w:w="1417"/>
          </w:tcPr>
          <w:p>
            <w:r/>
            <w:r>
              <w:rPr>
                <w:sz w:val="17"/>
              </w:rPr>
              <w:t>95% → 100%</w:t>
            </w:r>
          </w:p>
        </w:tc>
        <w:tc>
          <w:tcPr>
            <w:tcW w:type="dxa" w:w="1417"/>
          </w:tcPr>
          <w:p>
            <w:r/>
            <w:r>
              <w:rPr>
                <w:sz w:val="17"/>
              </w:rPr>
              <w:t>+5</w:t>
            </w:r>
          </w:p>
        </w:tc>
        <w:tc>
          <w:tcPr>
            <w:tcW w:type="dxa" w:w="1417"/>
          </w:tcPr>
          <w:p>
            <w:r/>
            <w:r>
              <w:rPr>
                <w:sz w:val="17"/>
              </w:rPr>
              <w:t>15 → 15</w:t>
            </w:r>
          </w:p>
        </w:tc>
        <w:tc>
          <w:tcPr>
            <w:tcW w:type="dxa" w:w="1417"/>
          </w:tcPr>
          <w:p>
            <w:r/>
            <w:r>
              <w:rPr>
                <w:sz w:val="17"/>
              </w:rPr>
              <w:t>v4.1</w:t>
            </w:r>
          </w:p>
        </w:tc>
      </w:tr>
      <w:tr>
        <w:tc>
          <w:tcPr>
            <w:tcW w:type="dxa" w:w="1417"/>
          </w:tcPr>
          <w:p>
            <w:r/>
            <w:r>
              <w:rPr>
                <w:sz w:val="17"/>
              </w:rPr>
              <w:t>PEVNZ8 / 1</w:t>
            </w:r>
          </w:p>
        </w:tc>
        <w:tc>
          <w:tcPr>
            <w:tcW w:type="dxa" w:w="1417"/>
          </w:tcPr>
          <w:p>
            <w:r/>
            <w:r>
              <w:rPr>
                <w:sz w:val="17"/>
              </w:rPr>
              <w:t>7043 → 7043m</w:t>
            </w:r>
          </w:p>
        </w:tc>
        <w:tc>
          <w:tcPr>
            <w:tcW w:type="dxa" w:w="1417"/>
          </w:tcPr>
          <w:p>
            <w:r/>
            <w:r>
              <w:rPr>
                <w:sz w:val="17"/>
              </w:rPr>
              <w:t>95% → 90%</w:t>
            </w:r>
          </w:p>
        </w:tc>
        <w:tc>
          <w:tcPr>
            <w:tcW w:type="dxa" w:w="1417"/>
          </w:tcPr>
          <w:p>
            <w:r/>
            <w:r>
              <w:rPr>
                <w:sz w:val="17"/>
              </w:rPr>
              <w:t>−5</w:t>
            </w:r>
          </w:p>
        </w:tc>
        <w:tc>
          <w:tcPr>
            <w:tcW w:type="dxa" w:w="1417"/>
          </w:tcPr>
          <w:p>
            <w:r/>
            <w:r>
              <w:rPr>
                <w:sz w:val="17"/>
              </w:rPr>
              <w:t>12 → 11</w:t>
            </w:r>
          </w:p>
        </w:tc>
        <w:tc>
          <w:tcPr>
            <w:tcW w:type="dxa" w:w="1417"/>
          </w:tcPr>
          <w:p>
            <w:r/>
            <w:r>
              <w:rPr>
                <w:sz w:val="17"/>
              </w:rPr>
              <w:t>v4.1</w:t>
            </w:r>
          </w:p>
        </w:tc>
      </w:tr>
      <w:tr>
        <w:tc>
          <w:tcPr>
            <w:tcW w:type="dxa" w:w="1417"/>
          </w:tcPr>
          <w:p>
            <w:r/>
            <w:r>
              <w:rPr>
                <w:sz w:val="17"/>
              </w:rPr>
              <w:t>PZTPCG / 1</w:t>
            </w:r>
          </w:p>
        </w:tc>
        <w:tc>
          <w:tcPr>
            <w:tcW w:type="dxa" w:w="1417"/>
          </w:tcPr>
          <w:p>
            <w:r/>
            <w:r>
              <w:rPr>
                <w:sz w:val="17"/>
              </w:rPr>
              <w:t>7043 → 7043m</w:t>
            </w:r>
          </w:p>
        </w:tc>
        <w:tc>
          <w:tcPr>
            <w:tcW w:type="dxa" w:w="1417"/>
          </w:tcPr>
          <w:p>
            <w:r/>
            <w:r>
              <w:rPr>
                <w:sz w:val="17"/>
              </w:rPr>
              <w:t>100% → 100%</w:t>
            </w:r>
          </w:p>
        </w:tc>
        <w:tc>
          <w:tcPr>
            <w:tcW w:type="dxa" w:w="1417"/>
          </w:tcPr>
          <w:p>
            <w:r/>
            <w:r>
              <w:rPr>
                <w:sz w:val="17"/>
              </w:rPr>
              <w:t>0</w:t>
            </w:r>
          </w:p>
        </w:tc>
        <w:tc>
          <w:tcPr>
            <w:tcW w:type="dxa" w:w="1417"/>
          </w:tcPr>
          <w:p>
            <w:r/>
            <w:r>
              <w:rPr>
                <w:sz w:val="17"/>
              </w:rPr>
              <w:t>14 → 15</w:t>
            </w:r>
          </w:p>
        </w:tc>
        <w:tc>
          <w:tcPr>
            <w:tcW w:type="dxa" w:w="1417"/>
          </w:tcPr>
          <w:p>
            <w:r/>
            <w:r>
              <w:rPr>
                <w:sz w:val="17"/>
              </w:rPr>
              <w:t>v4.1</w:t>
            </w:r>
          </w:p>
        </w:tc>
      </w:tr>
      <w:tr>
        <w:tc>
          <w:tcPr>
            <w:tcW w:type="dxa" w:w="1417"/>
          </w:tcPr>
          <w:p>
            <w:r/>
            <w:r>
              <w:rPr>
                <w:sz w:val="17"/>
              </w:rPr>
              <w:t>P8P2Z9 / 4</w:t>
            </w:r>
          </w:p>
        </w:tc>
        <w:tc>
          <w:tcPr>
            <w:tcW w:type="dxa" w:w="1417"/>
          </w:tcPr>
          <w:p>
            <w:r/>
            <w:r>
              <w:rPr>
                <w:sz w:val="17"/>
              </w:rPr>
              <w:t>7051m → 7051</w:t>
            </w:r>
          </w:p>
        </w:tc>
        <w:tc>
          <w:tcPr>
            <w:tcW w:type="dxa" w:w="1417"/>
          </w:tcPr>
          <w:p>
            <w:r/>
            <w:r>
              <w:rPr>
                <w:sz w:val="17"/>
              </w:rPr>
              <w:t>80% → 90%</w:t>
            </w:r>
          </w:p>
        </w:tc>
        <w:tc>
          <w:tcPr>
            <w:tcW w:type="dxa" w:w="1417"/>
          </w:tcPr>
          <w:p>
            <w:r/>
            <w:r>
              <w:rPr>
                <w:sz w:val="17"/>
              </w:rPr>
              <w:t>+10</w:t>
            </w:r>
          </w:p>
        </w:tc>
        <w:tc>
          <w:tcPr>
            <w:tcW w:type="dxa" w:w="1417"/>
          </w:tcPr>
          <w:p>
            <w:r/>
            <w:r>
              <w:rPr>
                <w:sz w:val="17"/>
              </w:rPr>
              <w:t>17 → 14</w:t>
            </w:r>
          </w:p>
        </w:tc>
        <w:tc>
          <w:tcPr>
            <w:tcW w:type="dxa" w:w="1417"/>
          </w:tcPr>
          <w:p>
            <w:r/>
            <w:r>
              <w:rPr>
                <w:sz w:val="17"/>
              </w:rPr>
              <w:t>v4.1.1</w:t>
            </w:r>
          </w:p>
        </w:tc>
      </w:tr>
      <w:tr>
        <w:tc>
          <w:tcPr>
            <w:tcW w:type="dxa" w:w="1417"/>
          </w:tcPr>
          <w:p>
            <w:r>
              <w:rPr>
                <w:sz w:val="17"/>
              </w:rPr>
              <w:t>PFWU9V / 1</w:t>
            </w:r>
          </w:p>
        </w:tc>
        <w:tc>
          <w:tcPr>
            <w:tcW w:type="dxa" w:w="1417"/>
          </w:tcPr>
          <w:p>
            <w:r>
              <w:rPr>
                <w:sz w:val="17"/>
              </w:rPr>
              <w:t>7043 → 7043m</w:t>
            </w:r>
          </w:p>
        </w:tc>
        <w:tc>
          <w:tcPr>
            <w:tcW w:type="dxa" w:w="1417"/>
          </w:tcPr>
          <w:p>
            <w:r>
              <w:rPr>
                <w:sz w:val="17"/>
              </w:rPr>
              <w:t>80% → 90%</w:t>
            </w:r>
          </w:p>
        </w:tc>
        <w:tc>
          <w:tcPr>
            <w:tcW w:type="dxa" w:w="1417"/>
          </w:tcPr>
          <w:p>
            <w:r>
              <w:rPr>
                <w:sz w:val="17"/>
              </w:rPr>
              <w:t>+10</w:t>
            </w:r>
          </w:p>
        </w:tc>
        <w:tc>
          <w:tcPr>
            <w:tcW w:type="dxa" w:w="1417"/>
          </w:tcPr>
          <w:p>
            <w:r>
              <w:rPr>
                <w:sz w:val="17"/>
              </w:rPr>
              <w:t>5 → 4</w:t>
            </w:r>
          </w:p>
        </w:tc>
        <w:tc>
          <w:tcPr>
            <w:tcW w:type="dxa" w:w="1417"/>
          </w:tcPr>
          <w:p>
            <w:r>
              <w:rPr>
                <w:sz w:val="17"/>
              </w:rPr>
              <w:t>v4.1</w:t>
            </w:r>
          </w:p>
        </w:tc>
      </w:tr>
    </w:tbl>
    <w:p>
      <w:pPr/>
      <w:r/>
    </w:p>
    <w:p>
      <w:pPr>
        <w:jc w:val="center"/>
      </w:pPr>
      <w:r>
        <w:drawing>
          <wp:inline>
            <wp:extent cx="4937760" cy="3504217"/>
            <wp:docPr id="43" name="Picture 43" descr="Figure I.3. Obstacle-clearance rate on the opening and closing fixed-course checks, Pro record (six pairs, five stored codes, including PFWU9V received on 29 September 2026; pace ×0.85, 20 obstacles, 30 s)."/>
            <wp:cNvGraphicFramePr>
              <a:graphicFrameLocks noChangeAspect="1"/>
            </wp:cNvGraphicFramePr>
            <a:graphic>
              <a:graphicData uri="http://schemas.openxmlformats.org/drawingml/2006/picture">
                <pic:pic>
                  <pic:nvPicPr>
                    <pic:cNvPr id="0" name="fig_I_1.png"/>
                    <pic:cNvPicPr/>
                  </pic:nvPicPr>
                  <pic:blipFill>
                    <a:blip r:embed="rId52"/>
                    <a:stretch>
                      <a:fillRect/>
                    </a:stretch>
                  </pic:blipFill>
                  <pic:spPr>
                    <a:xfrm>
                      <a:off x="0" y="0"/>
                      <a:ext cx="4937760" cy="3504217"/>
                    </a:xfrm>
                    <a:prstGeom prst="rect"/>
                  </pic:spPr>
                </pic:pic>
              </a:graphicData>
            </a:graphic>
          </wp:inline>
        </w:drawing>
      </w:r>
    </w:p>
    <w:p>
      <w:pPr>
        <w:pStyle w:val="FigureCaption"/>
      </w:pPr>
      <w:r>
        <w:t>Figure I.3. Obstacle-clearance rate on the opening and closing fixed-course checks, Pro record (six pairs, five stored codes, including PFWU9V received on 29 September 2026; pace ×0.85, 20 obstacles, 30 s). Opening and closing course forms differ (7043/7043m; 7051m/7051) and are not established as equivalent; two pairs belong to one code; two opening checks are at the 100% ceiling. Descriptive only: no learning inference is drawn.</w:t>
      </w:r>
    </w:p>
    <w:p>
      <w:pPr>
        <w:pStyle w:val="FigureCaption"/>
      </w:pPr>
      <w:r>
        <w:t>Table I.10. First-visit questionnaire, one record per stored code, seven codes (five-point scale, strongly disagree to strongly agree; as-administered wording from the deposited Pro v4.1 HTML).</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576"/>
          </w:tcPr>
          <w:p>
            <w:r/>
            <w:r>
              <w:rPr>
                <w:b/>
                <w:sz w:val="17"/>
              </w:rPr>
              <w:t>Item</w:t>
            </w:r>
          </w:p>
        </w:tc>
        <w:tc>
          <w:tcPr>
            <w:tcW w:type="dxa" w:w="3744"/>
          </w:tcPr>
          <w:p>
            <w:r/>
            <w:r>
              <w:rPr>
                <w:b/>
                <w:sz w:val="17"/>
              </w:rPr>
              <w:t>As-administered wording (Pro v4.1 HTML)</w:t>
            </w:r>
          </w:p>
        </w:tc>
        <w:tc>
          <w:tcPr>
            <w:tcW w:type="dxa" w:w="1296"/>
          </w:tcPr>
          <w:p>
            <w:r/>
            <w:r>
              <w:rPr>
                <w:b/>
                <w:sz w:val="17"/>
              </w:rPr>
              <w:t>Answered / missing</w:t>
            </w:r>
          </w:p>
        </w:tc>
        <w:tc>
          <w:tcPr>
            <w:tcW w:type="dxa" w:w="864"/>
          </w:tcPr>
          <w:p>
            <w:r/>
            <w:r>
              <w:rPr>
                <w:b/>
                <w:sz w:val="17"/>
              </w:rPr>
              <w:t>Median</w:t>
            </w:r>
          </w:p>
        </w:tc>
        <w:tc>
          <w:tcPr>
            <w:tcW w:type="dxa" w:w="864"/>
          </w:tcPr>
          <w:p>
            <w:r/>
            <w:r>
              <w:rPr>
                <w:b/>
                <w:sz w:val="17"/>
              </w:rPr>
              <w:t>Range</w:t>
            </w:r>
          </w:p>
        </w:tc>
        <w:tc>
          <w:tcPr>
            <w:tcW w:type="dxa" w:w="1296"/>
          </w:tcPr>
          <w:p>
            <w:r/>
            <w:r>
              <w:rPr>
                <w:b/>
                <w:sz w:val="17"/>
              </w:rPr>
              <w:t>Responses 4–5</w:t>
            </w:r>
          </w:p>
        </w:tc>
      </w:tr>
      <w:tr>
        <w:tc>
          <w:tcPr>
            <w:tcW w:type="dxa" w:w="576"/>
          </w:tcPr>
          <w:p>
            <w:r/>
            <w:r>
              <w:rPr>
                <w:sz w:val="17"/>
              </w:rPr>
              <w:t>D1</w:t>
            </w:r>
          </w:p>
        </w:tc>
        <w:tc>
          <w:tcPr>
            <w:tcW w:type="dxa" w:w="3744"/>
          </w:tcPr>
          <w:p>
            <w:r/>
            <w:r>
              <w:rPr>
                <w:sz w:val="17"/>
              </w:rPr>
              <w:t>The game was a good coordination challenge.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6/7</w:t>
            </w:r>
          </w:p>
        </w:tc>
      </w:tr>
      <w:tr>
        <w:tc>
          <w:tcPr>
            <w:tcW w:type="dxa" w:w="576"/>
          </w:tcPr>
          <w:p>
            <w:r/>
            <w:r>
              <w:rPr>
                <w:sz w:val="17"/>
              </w:rPr>
              <w:t>D2</w:t>
            </w:r>
          </w:p>
        </w:tc>
        <w:tc>
          <w:tcPr>
            <w:tcW w:type="dxa" w:w="3744"/>
          </w:tcPr>
          <w:p>
            <w:r/>
            <w:r>
              <w:rPr>
                <w:sz w:val="17"/>
              </w:rPr>
              <w:t>I would be willing to play this game regularly.</w:t>
            </w:r>
          </w:p>
        </w:tc>
        <w:tc>
          <w:tcPr>
            <w:tcW w:type="dxa" w:w="1296"/>
          </w:tcPr>
          <w:p>
            <w:r>
              <w:rPr>
                <w:sz w:val="17"/>
              </w:rPr>
              <w:t>7 / 0</w:t>
            </w:r>
          </w:p>
        </w:tc>
        <w:tc>
          <w:tcPr>
            <w:tcW w:type="dxa" w:w="864"/>
          </w:tcPr>
          <w:p>
            <w:r>
              <w:rPr>
                <w:sz w:val="17"/>
              </w:rPr>
              <w:t>4</w:t>
            </w:r>
          </w:p>
        </w:tc>
        <w:tc>
          <w:tcPr>
            <w:tcW w:type="dxa" w:w="864"/>
          </w:tcPr>
          <w:p>
            <w:r>
              <w:rPr>
                <w:sz w:val="17"/>
              </w:rPr>
              <w:t>3–4</w:t>
            </w:r>
          </w:p>
        </w:tc>
        <w:tc>
          <w:tcPr>
            <w:tcW w:type="dxa" w:w="1296"/>
          </w:tcPr>
          <w:p>
            <w:r>
              <w:rPr>
                <w:sz w:val="17"/>
              </w:rPr>
              <w:t>5/7</w:t>
            </w:r>
          </w:p>
        </w:tc>
      </w:tr>
      <w:tr>
        <w:tc>
          <w:tcPr>
            <w:tcW w:type="dxa" w:w="576"/>
          </w:tcPr>
          <w:p>
            <w:r/>
            <w:r>
              <w:rPr>
                <w:sz w:val="17"/>
              </w:rPr>
              <w:t>F1</w:t>
            </w:r>
          </w:p>
        </w:tc>
        <w:tc>
          <w:tcPr>
            <w:tcW w:type="dxa" w:w="3744"/>
          </w:tcPr>
          <w:p>
            <w:r/>
            <w:r>
              <w:rPr>
                <w:sz w:val="17"/>
              </w:rPr>
              <w:t>The game matched my ability.</w:t>
            </w:r>
          </w:p>
        </w:tc>
        <w:tc>
          <w:tcPr>
            <w:tcW w:type="dxa" w:w="1296"/>
          </w:tcPr>
          <w:p>
            <w:r>
              <w:rPr>
                <w:sz w:val="17"/>
              </w:rPr>
              <w:t>7 / 0</w:t>
            </w:r>
          </w:p>
        </w:tc>
        <w:tc>
          <w:tcPr>
            <w:tcW w:type="dxa" w:w="864"/>
          </w:tcPr>
          <w:p>
            <w:r>
              <w:rPr>
                <w:sz w:val="17"/>
              </w:rPr>
              <w:t>4</w:t>
            </w:r>
          </w:p>
        </w:tc>
        <w:tc>
          <w:tcPr>
            <w:tcW w:type="dxa" w:w="864"/>
          </w:tcPr>
          <w:p>
            <w:r>
              <w:rPr>
                <w:sz w:val="17"/>
              </w:rPr>
              <w:t>4–5</w:t>
            </w:r>
          </w:p>
        </w:tc>
        <w:tc>
          <w:tcPr>
            <w:tcW w:type="dxa" w:w="1296"/>
          </w:tcPr>
          <w:p>
            <w:r>
              <w:rPr>
                <w:sz w:val="17"/>
              </w:rPr>
              <w:t>7/7</w:t>
            </w:r>
          </w:p>
        </w:tc>
      </w:tr>
      <w:tr>
        <w:tc>
          <w:tcPr>
            <w:tcW w:type="dxa" w:w="576"/>
          </w:tcPr>
          <w:p>
            <w:r/>
            <w:r>
              <w:rPr>
                <w:sz w:val="17"/>
              </w:rPr>
              <w:t>F2</w:t>
            </w:r>
          </w:p>
        </w:tc>
        <w:tc>
          <w:tcPr>
            <w:tcW w:type="dxa" w:w="3744"/>
          </w:tcPr>
          <w:p>
            <w:r/>
            <w:r>
              <w:rPr>
                <w:sz w:val="17"/>
              </w:rPr>
              <w:t>Seeing my progress made me want to continue.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4/7</w:t>
            </w:r>
          </w:p>
        </w:tc>
      </w:tr>
      <w:tr>
        <w:tc>
          <w:tcPr>
            <w:tcW w:type="dxa" w:w="576"/>
          </w:tcPr>
          <w:p>
            <w:r/>
            <w:r>
              <w:rPr>
                <w:sz w:val="17"/>
              </w:rPr>
              <w:t>C1</w:t>
            </w:r>
          </w:p>
        </w:tc>
        <w:tc>
          <w:tcPr>
            <w:tcW w:type="dxa" w:w="3744"/>
          </w:tcPr>
          <w:p>
            <w:r/>
            <w:r>
              <w:rPr>
                <w:sz w:val="17"/>
              </w:rPr>
              <w:t>I felt I was getting better at this game.</w:t>
            </w:r>
          </w:p>
        </w:tc>
        <w:tc>
          <w:tcPr>
            <w:tcW w:type="dxa" w:w="1296"/>
          </w:tcPr>
          <w:p>
            <w:r>
              <w:rPr>
                <w:sz w:val="17"/>
              </w:rPr>
              <w:t>6 / 1</w:t>
            </w:r>
          </w:p>
        </w:tc>
        <w:tc>
          <w:tcPr>
            <w:tcW w:type="dxa" w:w="864"/>
          </w:tcPr>
          <w:p>
            <w:r>
              <w:rPr>
                <w:sz w:val="17"/>
              </w:rPr>
              <w:t>4</w:t>
            </w:r>
          </w:p>
        </w:tc>
        <w:tc>
          <w:tcPr>
            <w:tcW w:type="dxa" w:w="864"/>
          </w:tcPr>
          <w:p>
            <w:r>
              <w:rPr>
                <w:sz w:val="17"/>
              </w:rPr>
              <w:t>1–5</w:t>
            </w:r>
          </w:p>
        </w:tc>
        <w:tc>
          <w:tcPr>
            <w:tcW w:type="dxa" w:w="1296"/>
          </w:tcPr>
          <w:p>
            <w:r>
              <w:rPr>
                <w:sz w:val="17"/>
              </w:rPr>
              <w:t>5/6</w:t>
            </w:r>
          </w:p>
        </w:tc>
      </w:tr>
      <w:tr>
        <w:tc>
          <w:tcPr>
            <w:tcW w:type="dxa" w:w="576"/>
          </w:tcPr>
          <w:p>
            <w:r/>
            <w:r>
              <w:rPr>
                <w:sz w:val="17"/>
              </w:rPr>
              <w:t>T1</w:t>
            </w:r>
          </w:p>
        </w:tc>
        <w:tc>
          <w:tcPr>
            <w:tcW w:type="dxa" w:w="3744"/>
          </w:tcPr>
          <w:p>
            <w:r/>
            <w:r>
              <w:rPr>
                <w:sz w:val="17"/>
              </w:rPr>
              <w:t>I felt I was being tested or judged while playing.</w:t>
            </w:r>
          </w:p>
        </w:tc>
        <w:tc>
          <w:tcPr>
            <w:tcW w:type="dxa" w:w="1296"/>
          </w:tcPr>
          <w:p>
            <w:r>
              <w:rPr>
                <w:sz w:val="17"/>
              </w:rPr>
              <w:t>7 / 0</w:t>
            </w:r>
          </w:p>
        </w:tc>
        <w:tc>
          <w:tcPr>
            <w:tcW w:type="dxa" w:w="864"/>
          </w:tcPr>
          <w:p>
            <w:r>
              <w:rPr>
                <w:sz w:val="17"/>
              </w:rPr>
              <w:t>3</w:t>
            </w:r>
          </w:p>
        </w:tc>
        <w:tc>
          <w:tcPr>
            <w:tcW w:type="dxa" w:w="864"/>
          </w:tcPr>
          <w:p>
            <w:r>
              <w:rPr>
                <w:sz w:val="17"/>
              </w:rPr>
              <w:t>2–3</w:t>
            </w:r>
          </w:p>
        </w:tc>
        <w:tc>
          <w:tcPr>
            <w:tcW w:type="dxa" w:w="1296"/>
          </w:tcPr>
          <w:p>
            <w:r>
              <w:rPr>
                <w:sz w:val="17"/>
              </w:rPr>
              <w:t>0/7</w:t>
            </w:r>
          </w:p>
        </w:tc>
      </w:tr>
    </w:tbl>
    <w:p>
      <w:pPr/>
      <w:r/>
    </w:p>
    <w:p>
      <w:pPr>
        <w:pStyle w:val="FigureCaption"/>
      </w:pPr>
      <w:r>
        <w:t>Table I.11. Exploratory paired statistics reproduced from the Learning Measurement addendum (conditional calculations; assumptions not verified; not confirmatory evidence of an effect or of its absence).</w:t>
      </w:r>
    </w:p>
    <w:tbl>
      <w:tblPr>
        <w:tblStyle w:val="TableGrid"/>
        <w:tblW w:type="auto" w:w="0"/>
        <w:tblLook w:firstColumn="1" w:firstRow="1" w:lastColumn="0" w:lastRow="0" w:noHBand="0" w:noVBand="1" w:val="04A0"/>
      </w:tblPr>
      <w:tblGrid>
        <w:gridCol w:w="2835"/>
        <w:gridCol w:w="2835"/>
        <w:gridCol w:w="2835"/>
      </w:tblGrid>
      <w:tr>
        <w:tc>
          <w:tcPr>
            <w:tcW w:type="dxa" w:w="2880"/>
          </w:tcPr>
          <w:p>
            <w:r/>
            <w:r>
              <w:rPr>
                <w:b/>
                <w:sz w:val="17"/>
              </w:rPr>
              <w:t>Statistic</w:t>
            </w:r>
          </w:p>
        </w:tc>
        <w:tc>
          <w:tcPr>
            <w:tcW w:type="dxa" w:w="2592"/>
          </w:tcPr>
          <w:p>
            <w:r/>
            <w:r>
              <w:rPr>
                <w:b/>
                <w:sz w:val="17"/>
              </w:rPr>
              <w:t>Value</w:t>
            </w:r>
          </w:p>
        </w:tc>
        <w:tc>
          <w:tcPr>
            <w:tcW w:type="dxa" w:w="3888"/>
          </w:tcPr>
          <w:p>
            <w:r/>
            <w:r>
              <w:rPr>
                <w:b/>
                <w:sz w:val="17"/>
              </w:rPr>
              <w:t>Basis / assumption stated in the source</w:t>
            </w:r>
          </w:p>
        </w:tc>
      </w:tr>
      <w:tr>
        <w:tc>
          <w:tcPr>
            <w:tcW w:type="dxa" w:w="2880"/>
          </w:tcPr>
          <w:p>
            <w:r/>
            <w:r>
              <w:rPr>
                <w:sz w:val="17"/>
              </w:rPr>
              <w:t>Codes with a complete pair (earliest pair per code)</w:t>
            </w:r>
          </w:p>
        </w:tc>
        <w:tc>
          <w:tcPr>
            <w:tcW w:type="dxa" w:w="2592"/>
          </w:tcPr>
          <w:p>
            <w:r/>
            <w:r>
              <w:rPr>
                <w:sz w:val="17"/>
              </w:rPr>
              <w:t>4 (P8P2Z9 v1, PT8FJC v1, PEVNZ8 v1, PZTPCG v1)</w:t>
            </w:r>
          </w:p>
        </w:tc>
        <w:tc>
          <w:tcPr>
            <w:tcW w:type="dxa" w:w="3888"/>
          </w:tcPr>
          <w:p>
            <w:r/>
            <w:r>
              <w:rPr>
                <w:sz w:val="17"/>
              </w:rPr>
              <w:t>PU5K58 has no complete pair and is not assigned a post-score</w:t>
            </w:r>
          </w:p>
        </w:tc>
      </w:tr>
      <w:tr>
        <w:tc>
          <w:tcPr>
            <w:tcW w:type="dxa" w:w="2880"/>
          </w:tcPr>
          <w:p>
            <w:r/>
            <w:r>
              <w:rPr>
                <w:sz w:val="17"/>
              </w:rPr>
              <w:t>Opening mean → closing mean</w:t>
            </w:r>
          </w:p>
        </w:tc>
        <w:tc>
          <w:tcPr>
            <w:tcW w:type="dxa" w:w="2592"/>
          </w:tcPr>
          <w:p>
            <w:r/>
            <w:r>
              <w:rPr>
                <w:sz w:val="17"/>
              </w:rPr>
              <w:t>97.50% → 95.00%</w:t>
            </w:r>
          </w:p>
        </w:tc>
        <w:tc>
          <w:tcPr>
            <w:tcW w:type="dxa" w:w="3888"/>
          </w:tcPr>
          <w:p>
            <w:r/>
            <w:r>
              <w:rPr>
                <w:sz w:val="17"/>
              </w:rPr>
              <w:t>Two of four opening checks at 100% (ceiling); one obstacle = 5 pp</w:t>
            </w:r>
          </w:p>
        </w:tc>
      </w:tr>
      <w:tr>
        <w:tc>
          <w:tcPr>
            <w:tcW w:type="dxa" w:w="2880"/>
          </w:tcPr>
          <w:p>
            <w:r/>
            <w:r>
              <w:rPr>
                <w:sz w:val="17"/>
              </w:rPr>
              <w:t>Mean change; median change</w:t>
            </w:r>
          </w:p>
        </w:tc>
        <w:tc>
          <w:tcPr>
            <w:tcW w:type="dxa" w:w="2592"/>
          </w:tcPr>
          <w:p>
            <w:r/>
            <w:r>
              <w:rPr>
                <w:sz w:val="17"/>
              </w:rPr>
              <w:t>−2.50 pp; −2.50 pp</w:t>
            </w:r>
          </w:p>
        </w:tc>
        <w:tc>
          <w:tcPr>
            <w:tcW w:type="dxa" w:w="3888"/>
          </w:tcPr>
          <w:p>
            <w:r/>
            <w:r>
              <w:rPr>
                <w:sz w:val="17"/>
              </w:rPr>
              <w:t>Percentage points of clearance</w:t>
            </w:r>
          </w:p>
        </w:tc>
      </w:tr>
      <w:tr>
        <w:tc>
          <w:tcPr>
            <w:tcW w:type="dxa" w:w="2880"/>
          </w:tcPr>
          <w:p>
            <w:r/>
            <w:r>
              <w:rPr>
                <w:sz w:val="17"/>
              </w:rPr>
              <w:t>SD of paired differences</w:t>
            </w:r>
          </w:p>
        </w:tc>
        <w:tc>
          <w:tcPr>
            <w:tcW w:type="dxa" w:w="2592"/>
          </w:tcPr>
          <w:p>
            <w:r/>
            <w:r>
              <w:rPr>
                <w:sz w:val="17"/>
              </w:rPr>
              <w:t>6.45 pp</w:t>
            </w:r>
          </w:p>
        </w:tc>
        <w:tc>
          <w:tcPr>
            <w:tcW w:type="dxa" w:w="3888"/>
          </w:tcPr>
          <w:p>
            <w:r/>
            <w:r>
              <w:rPr>
                <w:sz w:val="17"/>
              </w:rPr>
              <w:t>—</w:t>
            </w:r>
          </w:p>
        </w:tc>
      </w:tr>
      <w:tr>
        <w:tc>
          <w:tcPr>
            <w:tcW w:type="dxa" w:w="2880"/>
          </w:tcPr>
          <w:p>
            <w:r/>
            <w:r>
              <w:rPr>
                <w:sz w:val="17"/>
              </w:rPr>
              <w:t>Conditional 95% t interval</w:t>
            </w:r>
          </w:p>
        </w:tc>
        <w:tc>
          <w:tcPr>
            <w:tcW w:type="dxa" w:w="2592"/>
          </w:tcPr>
          <w:p>
            <w:r/>
            <w:r>
              <w:rPr>
                <w:sz w:val="17"/>
              </w:rPr>
              <w:t>−12.77 to +7.77 pp</w:t>
            </w:r>
          </w:p>
        </w:tc>
        <w:tc>
          <w:tcPr>
            <w:tcW w:type="dxa" w:w="3888"/>
          </w:tcPr>
          <w:p>
            <w:r/>
            <w:r>
              <w:rPr>
                <w:sz w:val="17"/>
              </w:rPr>
              <w:t>mean(d) ± t(.975, 3) × SD(d)/√4</w:t>
            </w:r>
          </w:p>
        </w:tc>
      </w:tr>
      <w:tr>
        <w:tc>
          <w:tcPr>
            <w:tcW w:type="dxa" w:w="2880"/>
          </w:tcPr>
          <w:p>
            <w:r/>
            <w:r>
              <w:rPr>
                <w:sz w:val="17"/>
              </w:rPr>
              <w:t>Paired t test</w:t>
            </w:r>
          </w:p>
        </w:tc>
        <w:tc>
          <w:tcPr>
            <w:tcW w:type="dxa" w:w="2592"/>
          </w:tcPr>
          <w:p>
            <w:r/>
            <w:r>
              <w:rPr>
                <w:sz w:val="17"/>
              </w:rPr>
              <w:t>t(3) = −0.775; two-sided p = .495</w:t>
            </w:r>
          </w:p>
        </w:tc>
        <w:tc>
          <w:tcPr>
            <w:tcW w:type="dxa" w:w="3888"/>
          </w:tcPr>
          <w:p>
            <w:r/>
            <w:r>
              <w:rPr>
                <w:sz w:val="17"/>
              </w:rPr>
              <w:t>Assumes independent comparable code-level pairs and normality; not verified</w:t>
            </w:r>
          </w:p>
        </w:tc>
      </w:tr>
      <w:tr>
        <w:tc>
          <w:tcPr>
            <w:tcW w:type="dxa" w:w="2880"/>
          </w:tcPr>
          <w:p>
            <w:r/>
            <w:r>
              <w:rPr>
                <w:sz w:val="17"/>
              </w:rPr>
              <w:t>Paired standardised change dz</w:t>
            </w:r>
          </w:p>
        </w:tc>
        <w:tc>
          <w:tcPr>
            <w:tcW w:type="dxa" w:w="2592"/>
          </w:tcPr>
          <w:p>
            <w:r/>
            <w:r>
              <w:rPr>
                <w:sz w:val="17"/>
              </w:rPr>
              <w:t>−0.387</w:t>
            </w:r>
          </w:p>
        </w:tc>
        <w:tc>
          <w:tcPr>
            <w:tcW w:type="dxa" w:w="3888"/>
          </w:tcPr>
          <w:p>
            <w:r/>
            <w:r>
              <w:rPr>
                <w:sz w:val="17"/>
              </w:rPr>
              <w:t>mean(d)/SD(d)</w:t>
            </w:r>
          </w:p>
        </w:tc>
      </w:tr>
      <w:tr>
        <w:tc>
          <w:tcPr>
            <w:tcW w:type="dxa" w:w="2880"/>
          </w:tcPr>
          <w:p>
            <w:r/>
            <w:r>
              <w:rPr>
                <w:sz w:val="17"/>
              </w:rPr>
              <w:t>Exact sign test</w:t>
            </w:r>
          </w:p>
        </w:tc>
        <w:tc>
          <w:tcPr>
            <w:tcW w:type="dxa" w:w="2592"/>
          </w:tcPr>
          <w:p>
            <w:r/>
            <w:r>
              <w:rPr>
                <w:sz w:val="17"/>
              </w:rPr>
              <w:t>1 improvement, 2 declines, 1 tie; p = 1.000</w:t>
            </w:r>
          </w:p>
        </w:tc>
        <w:tc>
          <w:tcPr>
            <w:tcW w:type="dxa" w:w="3888"/>
          </w:tcPr>
          <w:p>
            <w:r/>
            <w:r>
              <w:rPr>
                <w:sz w:val="17"/>
              </w:rPr>
              <w:t>Discards magnitudes</w:t>
            </w:r>
          </w:p>
        </w:tc>
      </w:tr>
      <w:tr>
        <w:tc>
          <w:tcPr>
            <w:tcW w:type="dxa" w:w="2880"/>
          </w:tcPr>
          <w:p>
            <w:r/>
            <w:r>
              <w:rPr>
                <w:sz w:val="17"/>
              </w:rPr>
              <w:t>Exact Wilcoxon signed-rank</w:t>
            </w:r>
          </w:p>
        </w:tc>
        <w:tc>
          <w:tcPr>
            <w:tcW w:type="dxa" w:w="2592"/>
          </w:tcPr>
          <w:p>
            <w:r/>
            <w:r>
              <w:rPr>
                <w:sz w:val="17"/>
              </w:rPr>
              <w:t>W = 1.5; two-sided p = .750</w:t>
            </w:r>
          </w:p>
        </w:tc>
        <w:tc>
          <w:tcPr>
            <w:tcW w:type="dxa" w:w="3888"/>
          </w:tcPr>
          <w:p>
            <w:r/>
            <w:r>
              <w:rPr>
                <w:sz w:val="17"/>
              </w:rPr>
              <w:t>Zero omitted; midranks; all eight sign allocations enumerated; checked against SciPy</w:t>
            </w:r>
          </w:p>
        </w:tc>
      </w:tr>
      <w:tr>
        <w:tc>
          <w:tcPr>
            <w:tcW w:type="dxa" w:w="2880"/>
          </w:tcPr>
          <w:p>
            <w:r/>
            <w:r>
              <w:rPr>
                <w:sz w:val="17"/>
              </w:rPr>
              <w:t>All five visit-pairs (descriptive)</w:t>
            </w:r>
          </w:p>
        </w:tc>
        <w:tc>
          <w:tcPr>
            <w:tcW w:type="dxa" w:w="2592"/>
          </w:tcPr>
          <w:p>
            <w:r/>
            <w:r>
              <w:rPr>
                <w:sz w:val="17"/>
              </w:rPr>
              <w:t>mean 0.0 pp; 2 up, 2 down, 1 tie; median 0 pp</w:t>
            </w:r>
          </w:p>
        </w:tc>
        <w:tc>
          <w:tcPr>
            <w:tcW w:type="dxa" w:w="3888"/>
          </w:tcPr>
          <w:p>
            <w:r/>
            <w:r>
              <w:rPr>
                <w:sz w:val="17"/>
              </w:rPr>
              <w:t>One code supplies two pairs (not independent)</w:t>
            </w:r>
          </w:p>
        </w:tc>
      </w:tr>
      <w:tr>
        <w:tc>
          <w:tcPr>
            <w:tcW w:type="dxa" w:w="2880"/>
          </w:tcPr>
          <w:p>
            <w:r/>
            <w:r>
              <w:rPr>
                <w:sz w:val="17"/>
              </w:rPr>
              <w:t>Within-code means, then across codes</w:t>
            </w:r>
          </w:p>
        </w:tc>
        <w:tc>
          <w:tcPr>
            <w:tcW w:type="dxa" w:w="2592"/>
          </w:tcPr>
          <w:p>
            <w:r/>
            <w:r>
              <w:rPr>
                <w:sz w:val="17"/>
              </w:rPr>
              <w:t>0, +5, −5, 0 → 0.0 pp</w:t>
            </w:r>
          </w:p>
        </w:tc>
        <w:tc>
          <w:tcPr>
            <w:tcW w:type="dxa" w:w="3888"/>
          </w:tcPr>
          <w:p>
            <w:r/>
            <w:r>
              <w:rPr>
                <w:sz w:val="17"/>
              </w:rPr>
              <w:t>Answers a different question from first-visit change</w:t>
            </w:r>
          </w:p>
        </w:tc>
      </w:tr>
      <w:tr>
        <w:tc>
          <w:tcPr>
            <w:tcW w:type="dxa" w:w="2880"/>
          </w:tcPr>
          <w:p>
            <w:r/>
            <w:r>
              <w:rPr>
                <w:sz w:val="17"/>
              </w:rPr>
              <w:t>Supplementary indicators, first pair per code</w:t>
            </w:r>
          </w:p>
        </w:tc>
        <w:tc>
          <w:tcPr>
            <w:tcW w:type="dxa" w:w="2592"/>
          </w:tcPr>
          <w:p>
            <w:r/>
            <w:r>
              <w:rPr>
                <w:sz w:val="17"/>
              </w:rPr>
              <w:t>coins −0.25; edge time −3.21 pp; game composite −0.90</w:t>
            </w:r>
          </w:p>
        </w:tc>
        <w:tc>
          <w:tcPr>
            <w:tcW w:type="dxa" w:w="3888"/>
          </w:tcPr>
          <w:p>
            <w:r/>
            <w:r>
              <w:rPr>
                <w:sz w:val="17"/>
              </w:rPr>
              <w:t>Not skill measures; composite explicitly not clinical balance</w:t>
            </w:r>
          </w:p>
        </w:tc>
      </w:tr>
      <w:tr>
        <w:tc>
          <w:tcPr>
            <w:tcW w:type="dxa" w:w="2880"/>
          </w:tcPr>
          <w:p>
            <w:r/>
            <w:r>
              <w:rPr>
                <w:sz w:val="17"/>
              </w:rPr>
              <w:t>Analysis environment</w:t>
            </w:r>
          </w:p>
        </w:tc>
        <w:tc>
          <w:tcPr>
            <w:tcW w:type="dxa" w:w="2592"/>
          </w:tcPr>
          <w:p>
            <w:r/>
            <w:r>
              <w:rPr>
                <w:sz w:val="17"/>
              </w:rPr>
              <w:t>Python 3.13.5; NumPy 2.3.5; SciPy 1.17.0</w:t>
            </w:r>
          </w:p>
        </w:tc>
        <w:tc>
          <w:tcPr>
            <w:tcW w:type="dxa" w:w="3888"/>
          </w:tcPr>
          <w:p>
            <w:r/>
            <w:r>
              <w:rPr>
                <w:sz w:val="17"/>
              </w:rPr>
              <w:t>No network or model call in the analysis script</w:t>
            </w:r>
          </w:p>
        </w:tc>
      </w:tr>
    </w:tbl>
    <w:p>
      <w:pPr/>
      <w:r/>
    </w:p>
    <w:p>
      <w:pPr>
        <w:pStyle w:val="Heading3"/>
      </w:pPr>
      <w:r>
        <w:t>I.6 · Why the Learning Measurement Was Not Articulated to Adaptive Learning, and What a Later Study Needs</w:t>
      </w:r>
    </w:p>
    <w:p>
      <w:pPr/>
      <w:r>
        <w:t>The Chapter 7 framework proposes adaptive learning as a change in the user's capability that is credible under task or controller changes and persists beyond the assisted session. The measurements available in the Stage 3B record do not reach that construct, for reasons that are properties of the record rather than of any analysis choice. First, the fixed-course checks measure immediate task performance under assisted conditions; performance and learning are distinct, and temporary support or easier conditions can change performance without establishing durable skill (Soderstrom &amp; Bjork, 2015, as cited in the addendum). Second, the checks are at ceiling: two of the four selected opening checks were already at 100%, the mean opening clearance was 97.5%, and one obstacle corresponds to five percentage points, so the measure has little headroom and low sensitivity. Third, the opening and closing course forms differ within each pair (mirrored and base forms of course identifiers 7043 and 7051); matching nominal settings is, in the words of the Pro v4.1 package README, "an engineering grouping, not proof that the randomly generated courses are psychometrically equivalent", so a within-visit change cannot be attributed to the player rather than to the form. Fourth, in the study design the adaptive arm combines difficulty adjustment with coaching and a trajectory display, so the pre-specified contrast estimates an adaptive-support package rather than difficulty adjustment alone, and the Pro build adds practice focus cues and player choice; capability change cannot be separated from easier tasks, additional coaching or changed scoring in these records. Fifth, assignment in the study build is drawn per participant at first enrolment and persisted per browser profile, and the software edition differs between the August deployment, the 15 September re-send and the frozen edition, so the version a participant first experienced is a confound that the record can describe but not remove. Sixth, the only performance series on record comes from a researcher self-test batch whose exports are labelled self-test, whose player identities are unverified, and whose two-pair code is not two people; the one verified field return and three of the five clean-run returns are single 30-second runs, and the other two hold two and three such runs on one day. Seventh, there is no retention or transfer measure anywhere in the record: no delayed unassisted test, no different task, and no baseline established before practice under equated conditions. For these reasons (Table I.12) the Stage 3B learning measurement was not articulated to the adaptive-learning construct, and the author's decision of 26 September 2026 withdrew Stage 3B from that role.</w:t>
      </w:r>
    </w:p>
    <w:p>
      <w:pPr/>
      <w:r>
        <w:t>A later, separately specified and separately approved study would need, before data collection: one named target skill (the addendum's candidate is task-specific steering and route selection, not clinical balance); assessment conditions that are fixed or empirically equated, with course-form equivalence checked; a baseline established before practice; an unassisted delayed test, administered before any re-warm-up when retention is the aim, or with the re-warm-up written into the estimand; an appropriately different task if transfer is claimed; a pre-specified interval, primary outcome and minimal meaningful-change criterion; a comparison condition that isolates the adaptation component from coaching and scoring; verified independent participants with a preserved enrolled/randomised denominator; and version control of task and controller across the whole study. Repeated-measures modelling becomes a candidate only when there are enough verified people and repeated comparable tasks, and it would still estimate an association unless the comparison design identifies the adaptation effect.</w:t>
      </w:r>
    </w:p>
    <w:p>
      <w:pPr>
        <w:pStyle w:val="FigureCaption"/>
      </w:pPr>
      <w:r>
        <w:t>Table I.12. Gap between the recorded measurement and the adaptive-learning construct.</w:t>
      </w:r>
    </w:p>
    <w:tbl>
      <w:tblPr>
        <w:tblStyle w:val="TableGrid"/>
        <w:tblW w:type="auto" w:w="0"/>
        <w:tblLook w:firstColumn="1" w:firstRow="1" w:lastColumn="0" w:lastRow="0" w:noHBand="0" w:noVBand="1" w:val="04A0"/>
      </w:tblPr>
      <w:tblGrid>
        <w:gridCol w:w="2835"/>
        <w:gridCol w:w="2835"/>
        <w:gridCol w:w="2835"/>
      </w:tblGrid>
      <w:tr>
        <w:tc>
          <w:tcPr>
            <w:tcW w:type="dxa" w:w="2448"/>
          </w:tcPr>
          <w:p>
            <w:r/>
            <w:r>
              <w:rPr>
                <w:b/>
                <w:sz w:val="17"/>
              </w:rPr>
              <w:t>Requirement for a learning claim</w:t>
            </w:r>
          </w:p>
        </w:tc>
        <w:tc>
          <w:tcPr>
            <w:tcW w:type="dxa" w:w="4176"/>
          </w:tcPr>
          <w:p>
            <w:r/>
            <w:r>
              <w:rPr>
                <w:b/>
                <w:sz w:val="17"/>
              </w:rPr>
              <w:t>What the Stage 3B record holds</w:t>
            </w:r>
          </w:p>
        </w:tc>
        <w:tc>
          <w:tcPr>
            <w:tcW w:type="dxa" w:w="2736"/>
          </w:tcPr>
          <w:p>
            <w:r/>
            <w:r>
              <w:rPr>
                <w:b/>
                <w:sz w:val="17"/>
              </w:rPr>
              <w:t>Consequence</w:t>
            </w:r>
          </w:p>
        </w:tc>
      </w:tr>
      <w:tr>
        <w:tc>
          <w:tcPr>
            <w:tcW w:type="dxa" w:w="2448"/>
          </w:tcPr>
          <w:p>
            <w:r/>
            <w:r>
              <w:rPr>
                <w:sz w:val="17"/>
              </w:rPr>
              <w:t>Durable capability, not immediate performance</w:t>
            </w:r>
          </w:p>
        </w:tc>
        <w:tc>
          <w:tcPr>
            <w:tcW w:type="dxa" w:w="4176"/>
          </w:tcPr>
          <w:p>
            <w:r/>
            <w:r>
              <w:rPr>
                <w:sz w:val="17"/>
              </w:rPr>
              <w:t>Immediate fixed-course clearance within the same visit under assisted practice</w:t>
            </w:r>
          </w:p>
        </w:tc>
        <w:tc>
          <w:tcPr>
            <w:tcW w:type="dxa" w:w="2736"/>
          </w:tcPr>
          <w:p>
            <w:r/>
            <w:r>
              <w:rPr>
                <w:sz w:val="17"/>
              </w:rPr>
              <w:t>Performance ≠ learning; no durable-learning inference</w:t>
            </w:r>
          </w:p>
        </w:tc>
      </w:tr>
      <w:tr>
        <w:tc>
          <w:tcPr>
            <w:tcW w:type="dxa" w:w="2448"/>
          </w:tcPr>
          <w:p>
            <w:r/>
            <w:r>
              <w:rPr>
                <w:sz w:val="17"/>
              </w:rPr>
              <w:t>Sensitive measure with headroom</w:t>
            </w:r>
          </w:p>
        </w:tc>
        <w:tc>
          <w:tcPr>
            <w:tcW w:type="dxa" w:w="4176"/>
          </w:tcPr>
          <w:p>
            <w:r/>
            <w:r>
              <w:rPr>
                <w:sz w:val="17"/>
              </w:rPr>
              <w:t>Opening checks 100%, 95%, 95%, 100%, 80%, 80%; mean of the addendum's selected openings 97.5%; 1 obstacle = 5 pp</w:t>
            </w:r>
          </w:p>
        </w:tc>
        <w:tc>
          <w:tcPr>
            <w:tcW w:type="dxa" w:w="2736"/>
          </w:tcPr>
          <w:p>
            <w:r/>
            <w:r>
              <w:rPr>
                <w:sz w:val="17"/>
              </w:rPr>
              <w:t>Ceiling; low sensitivity</w:t>
            </w:r>
          </w:p>
        </w:tc>
      </w:tr>
      <w:tr>
        <w:tc>
          <w:tcPr>
            <w:tcW w:type="dxa" w:w="2448"/>
          </w:tcPr>
          <w:p>
            <w:r/>
            <w:r>
              <w:rPr>
                <w:sz w:val="17"/>
              </w:rPr>
              <w:t>Equated assessment forms</w:t>
            </w:r>
          </w:p>
        </w:tc>
        <w:tc>
          <w:tcPr>
            <w:tcW w:type="dxa" w:w="4176"/>
          </w:tcPr>
          <w:p>
            <w:r/>
            <w:r>
              <w:rPr>
                <w:sz w:val="17"/>
              </w:rPr>
              <w:t>Opening/closing forms differ (7043 vs 7043m; 7051m vs 7051); equivalence not established</w:t>
            </w:r>
          </w:p>
        </w:tc>
        <w:tc>
          <w:tcPr>
            <w:tcW w:type="dxa" w:w="2736"/>
          </w:tcPr>
          <w:p>
            <w:r/>
            <w:r>
              <w:rPr>
                <w:sz w:val="17"/>
              </w:rPr>
              <w:t>Change confounded with form</w:t>
            </w:r>
          </w:p>
        </w:tc>
      </w:tr>
      <w:tr>
        <w:tc>
          <w:tcPr>
            <w:tcW w:type="dxa" w:w="2448"/>
          </w:tcPr>
          <w:p>
            <w:r/>
            <w:r>
              <w:rPr>
                <w:sz w:val="17"/>
              </w:rPr>
              <w:t>Isolated adaptation component</w:t>
            </w:r>
          </w:p>
        </w:tc>
        <w:tc>
          <w:tcPr>
            <w:tcW w:type="dxa" w:w="4176"/>
          </w:tcPr>
          <w:p>
            <w:r/>
            <w:r>
              <w:rPr>
                <w:sz w:val="17"/>
              </w:rPr>
              <w:t>Adaptive arm = rule agent + coaching + trajectory display; Pro build adds focus cues and player choice</w:t>
            </w:r>
          </w:p>
        </w:tc>
        <w:tc>
          <w:tcPr>
            <w:tcW w:type="dxa" w:w="2736"/>
          </w:tcPr>
          <w:p>
            <w:r/>
            <w:r>
              <w:rPr>
                <w:sz w:val="17"/>
              </w:rPr>
              <w:t>Contrast estimates a support package</w:t>
            </w:r>
          </w:p>
        </w:tc>
      </w:tr>
      <w:tr>
        <w:tc>
          <w:tcPr>
            <w:tcW w:type="dxa" w:w="2448"/>
          </w:tcPr>
          <w:p>
            <w:r/>
            <w:r>
              <w:rPr>
                <w:sz w:val="17"/>
              </w:rPr>
              <w:t>Stable instrument and unit of assignment</w:t>
            </w:r>
          </w:p>
        </w:tc>
        <w:tc>
          <w:tcPr>
            <w:tcW w:type="dxa" w:w="4176"/>
          </w:tcPr>
          <w:p>
            <w:r/>
            <w:r>
              <w:rPr>
                <w:sz w:val="17"/>
              </w:rPr>
              <w:t>Three editions (9 Aug, 13 Aug, FROZEN20260915); assignment per browser at first enrolment; scores not comparable across editions</w:t>
            </w:r>
          </w:p>
        </w:tc>
        <w:tc>
          <w:tcPr>
            <w:tcW w:type="dxa" w:w="2736"/>
          </w:tcPr>
          <w:p>
            <w:r/>
            <w:r>
              <w:rPr>
                <w:sz w:val="17"/>
              </w:rPr>
              <w:t>Version/first-exposure confound</w:t>
            </w:r>
          </w:p>
        </w:tc>
      </w:tr>
      <w:tr>
        <w:tc>
          <w:tcPr>
            <w:tcW w:type="dxa" w:w="2448"/>
          </w:tcPr>
          <w:p>
            <w:r/>
            <w:r>
              <w:rPr>
                <w:sz w:val="17"/>
              </w:rPr>
              <w:t>Verified independent participants</w:t>
            </w:r>
          </w:p>
        </w:tc>
        <w:tc>
          <w:tcPr>
            <w:tcW w:type="dxa" w:w="4176"/>
          </w:tcPr>
          <w:p>
            <w:r/>
            <w:r>
              <w:rPr>
                <w:sz w:val="17"/>
              </w:rPr>
              <w:t>Pro exports (seven codes) labelled researcher self-test; played, by the author's account, by volunteers and their families or friends; individual identities unverified; one code supplies two pairs; one verified field return in one cell</w:t>
            </w:r>
          </w:p>
        </w:tc>
        <w:tc>
          <w:tcPr>
            <w:tcW w:type="dxa" w:w="2736"/>
          </w:tcPr>
          <w:p>
            <w:r/>
            <w:r>
              <w:rPr>
                <w:sz w:val="17"/>
              </w:rPr>
              <w:t>No population inference</w:t>
            </w:r>
          </w:p>
        </w:tc>
      </w:tr>
      <w:tr>
        <w:tc>
          <w:tcPr>
            <w:tcW w:type="dxa" w:w="2448"/>
          </w:tcPr>
          <w:p>
            <w:r/>
            <w:r>
              <w:rPr>
                <w:sz w:val="17"/>
              </w:rPr>
              <w:t>Retention or transfer test</w:t>
            </w:r>
          </w:p>
        </w:tc>
        <w:tc>
          <w:tcPr>
            <w:tcW w:type="dxa" w:w="4176"/>
          </w:tcPr>
          <w:p>
            <w:r/>
            <w:r>
              <w:rPr>
                <w:sz w:val="17"/>
              </w:rPr>
              <w:t>None: no delayed unassisted test, no different task, no pre-practice baseline under equated conditions</w:t>
            </w:r>
          </w:p>
        </w:tc>
        <w:tc>
          <w:tcPr>
            <w:tcW w:type="dxa" w:w="2736"/>
          </w:tcPr>
          <w:p>
            <w:r/>
            <w:r>
              <w:rPr>
                <w:sz w:val="17"/>
              </w:rPr>
              <w:t>No retention/transfer claim</w:t>
            </w:r>
          </w:p>
        </w:tc>
      </w:tr>
    </w:tbl>
    <w:p>
      <w:pPr/>
      <w:r/>
    </w:p>
    <w:p>
      <w:pPr>
        <w:pStyle w:val="Heading3"/>
      </w:pPr>
      <w:r>
        <w:t>I.7 · Ethics, Scope and Outstanding Author Records</w:t>
      </w:r>
    </w:p>
    <w:p>
      <w:pPr/>
      <w:r>
        <w:t>What is on record. The programme's ethics approval (HSEARS20260805008) was granted on 6 August 2026 for the period 16 June 2024 to 30 October 2026, covering the Stage 3B window; the approval memo is a one-page project-level approval and, as §3.4 states, an explicit itemised institutional determination on the individual consent arrangements is not part of the record at 30 September 2026. The Stage 3B build records consent in-build: the consent screen cites the approval reference, requires an explicit tap, and writes the consent timestamp into every export; the anonymous participant code is the only identifier the build generates, and the distribution instructions state that no names are to be recorded. The chronology alone, however, establishes neither approval nor non-approval, so the scope must be verified against the approved protocol or an amendment. Whether the Stage-3B collection falls within the approved scope or requires an amendment is therefore recorded as an open item of the ethics record (§3.4), and no clarification or amendment is on file at 30 September 2026. The supervisor's sign-off of the Stage 3B protocol is listed as an external gate and is not recorded as closed; the situation evaluation of 13 September 2026 records the sign-off status at recruitment start as unrecorded. The Pro v4.1 build is a researcher self-test with participant release disabled; its record states that no participant may use it until the approval is confirmed to cover a variant that can send player reports to a third-party model service and the supervisor approves; all Pro exports carry self-test metadata with participant release false or not asserted. By the author's account of 30 September 2026 the seven codes were nonetheless played by volunteers and their families or friends recruited for selected age groups; that use falls within the open ethics-scope item stated above. Two of the five excluded returns arrived with personal names in their file names (resolved in the verification record as distributor labels, not player identities), contrary to the anonymous protocol; the names are not reproduced in the thesis; the archive copies retain the file names as received.</w:t>
      </w:r>
    </w:p>
    <w:p>
      <w:pPr/>
      <w:r>
        <w:t>What remains an author record. The mapping of distributor tags D01–D20 to distributors is, by design, an author-held private list that does not enter the archive; the count of tags actually issued and the dates are not on record. The clean-run log (which distributors received copies or links, and any returns) is not on record; the per-session distributor log sheet was retired for normal use. The August deployment's distributor and recipient counts (about 20 and about 100) are author-reported and unverified. The raw exports for all seven Pro codes are archived as received with SHA-256; the derived workbooks and the extraction scripts named in the two reports are not deposited; the two reports themselves are archived as received (26 September 2026; item G.13). The identity of the sender of the verified return relative to the DEV2 distributor is not on record; this does not affect the return's authenticity. The synthetic demonstration dataset under docs/thesis/stage3b/demo/ is watermarked SYNTHETIC and is never evidence.</w:t>
      </w:r>
    </w:p>
    <w:p>
      <w:pPr/>
      <w:r>
        <w:t>Deposits and author records not on file at 30 September 2026: the derived logbook and analysis workbooks and the extraction scripts named in the two reports; the v4.1.1 build file behind the four P8P2Z9 visit-4 runs and the remaining Pro v4.1 package files; a code-level note of which volunteer group played each stored code and on which device (the author's account of 30 September 2026 names the groups, not the assignment per code); a dated statement of how many distributor tags were issued, to how many distributors and on which dates (the tag-to-distributor list itself stays outside the archive); a clean-run log at the 30 September 2026 cut-off, stating which distributor copies produced the returns in Table I.4 and how each was transmitted; the supervisor's protocol sign-off record for Stage 3B, or a dated statement of what was agreed instead; the institutional clarification of Stage-3B scope described above; and the renamed archive copies of the two excluded returns whose file names carry personal names.</w:t>
      </w:r>
    </w:p>
    <w:p>
      <w:pPr>
        <w:pStyle w:val="Heading1"/>
        <w:pageBreakBefore/>
      </w:pPr>
      <w:r>
        <w:rPr>
          <w:color w:val="000000"/>
        </w:rPr>
        <w:t>Author completion checklist</w:t>
      </w:r>
    </w:p>
    <w:p>
      <w:pPr>
        <w:pageBreakBefore/>
      </w:pPr>
      <w:r>
        <w:rPr>
          <w:color w:val="000000"/>
        </w:rPr>
        <w:t>V44 - 27 September 2026 (consistency patch with Paper 3 R7). Three factual corrections from the Stage-3 record: §3.2 and §6.4 no longer state that the game's instructions carried no medical or fall-prevention language — the participant invitation on file (a 4 August 2026 reconstruction) opens with falls and balance training and discloses the FRA origin, so the decoupling is stated as artefact-level; §6.4 states the author's account of 27 September 2026 that supervision was not required and that some older participants had a research assistant beside them to help operate a tablet (sessions not recorded individually); §3.4 names the invitation alongside the distribution e-mails as the consent channel, with the reconstruction caveat. Open decision (author and supervisor): Paper 3 R7 withdraws the end-of-window retention figure and reports only compiled classifications, whereas §6.4–§6.5, Tables 6.1–6.3, §9.3 and the abstract still report retention 93.3%/85.4% as a compiled classification with its timing caveat; the two documents differ in claim level, not in counts.</w:t>
      </w:r>
    </w:p>
    <w:p>
      <w:pPr>
        <w:pageBreakBefore/>
      </w:pPr>
      <w:r>
        <w:rPr>
          <w:color w:val="000000"/>
        </w:rPr>
        <w:t>V45 - 29 September 2026 (author's account of Stage-3 distribution, mirrored from Paper 3 R7). §6.4 now records that distribution was carried out by research assistants recruited and briefed by the author; that most participants received the build by e-mail with a written introduction; that some older participants played on a pre-installed iPad with an external keyboard and a research assistant beside them to help operate the device; that keyboard or foot-pad control was retained in Stage 3A to keep control demands closer to the Stage-2 station; that twenty distributors were each asked to find about ten players (invitations not counted; 120 files received); that no Stage-3A participant had played the game before; and that touch input was introduced only in Stage 3B, whose build asks about prior play because some Stage-3B players had played the Stage-3A game. These are the author's statements of 27–29 September 2026; no per-participant device record exists. Also added to §9.12, at the author's request (29 September 2026): a two-paragraph closing statement of the contribution (exploratory account of engagement; Stage-3B design as an implemented means of investigating learning from gameplay experience; future research requirements), with the Pro records labelled as researcher self-test.</w:t>
      </w:r>
    </w:p>
    <w:p>
      <w:pPr>
        <w:pageBreakBefore/>
      </w:pPr>
      <w:r>
        <w:rPr>
          <w:color w:val="000000"/>
        </w:rPr>
        <w:t>V46 - 29 September 2026 (Stage-3B cut-off moved to 15 October 2026). The author's amendment of 29 September 2026 sets the thesis cut-off for the Stage-3B record at the close of the frozen edition's clean-run window, 15 October 2026, in place of 26 September 2026; the decision that Stage 3B is not used as the test of adaptive learning is unchanged. The first three clean-run returns (BVSU69, B7GRDA, BZ323A; 29 September 2026; D01; game-over mode) are entered in §8.8, Appendix I (Tables I.1, I.3, I.4; Figure I.1 redrawn) and Table 9.1. Passages that stated "no clean-run returns" now state that no comparison is computed from the returns, so they remain true at the cut-off. One completion step remains after 15 October 2026: any further returns are entered in Table I.4 and the counts in §8.8 and Appendix I.4 are updated, on the same descriptive terms. The choice between the Batch 01 and Paper 3 R8 sets of Pro v4.1 exports (Appendix I.5) is pending the author's decision and is not changed here.</w:t>
      </w:r>
    </w:p>
    <w:p>
      <w:pPr>
        <w:pageBreakBefore/>
      </w:pPr>
      <w:r>
        <w:rPr>
          <w:color w:val="000000"/>
        </w:rPr>
        <w:t>V47 - 29 September 2026 (Pro record counts all seven codes). By the author's decision of 29 September 2026, the Stage-3B Pro v4.1 record counts all seven stored codes: the five summarised in the Batch 01 reports of 20 September 2026 and two whose exports reached the record on 29 September 2026 (PFWU9V, PXG3R9), because the exports were received by different routes and on different dates and the reports were written before all of them had arrived. Appendix I.5 reproduces the Batch 01 figures as reported and adds seven-code totals (53 runs, 16 visits, 12 decisions, six paired checks); Tables I.1, I.3 and I.5–I.10, Table I.12 and Figures I.2–I.3 are updated, and §8.8 and item G.13 follow. The exploratory statistics of Table I.11 remain as reproduced from the addendum, with the added pair described but no statistic recomputed. Raw exports for PT8FJC, PEVNZ8 and PZTPCG remain outstanding (I.7).</w:t>
      </w:r>
    </w:p>
    <w:p>
      <w:pPr>
        <w:pageBreakBefore/>
      </w:pPr>
      <w:r>
        <w:rPr>
          <w:color w:val="000000"/>
        </w:rPr>
        <w:t>V48 - 29 September 2026 (raw Pro exports deposited). The raw exports for PT8FJC and PZTPCG were received and archived with SHA-256; with P8P2Z9 and PU5K58 they reproduce the Batch 01 report figures run for run, including PT8FJC's three player overrides and one local-rule decision. Raw exports are now on file for six of the seven codes; PEVNZ8 remains outstanding (I.7; item G.13; Table I.1). No count changes.</w:t>
      </w:r>
    </w:p>
    <w:p>
      <w:pPr>
        <w:pageBreakBefore/>
      </w:pPr>
      <w:r>
        <w:rPr>
          <w:color w:val="000000"/>
        </w:rPr>
        <w:t>V49 - 30 September 2026 (all Pro exports on file; fourth clean-run return). The raw PEVNZ8 export was received and matches the Batch 01 report, so raw exports are now on file for all seven Pro codes. The author's account that the codes were played by volunteers and their families or friends recruited for selected age groups is entered beside the software's self-test label (I.5, I.7, §8.8, item G.13, Table I.12), and that use is placed within the open ethics-scope item. A fourth clean-run return, B59AGN (29 September 2026; D01; arm B; zero-failure mode; three sessions), is entered in §8.8, Appendix I (Tables I.1, I.3, I.4; Figure I.1 redrawn) and Table 9.1. Re-sent copies of BVSU69, B7GRDA and BZ323A were byte-identical to the archived files.</w:t>
      </w:r>
    </w:p>
    <w:p>
      <w:pPr>
        <w:pageBreakBefore/>
      </w:pPr>
      <w:r>
        <w:rPr>
          <w:color w:val="000000"/>
        </w:rPr>
        <w:t>V50 - 30 September 2026 (ethics-application wording corrected). §3.4 and Appendix I.7 no longer attribute to the submitted ethics application a Part B stating that no new experimental deployment was planned. That wording came from a pre-submission draft of the research proposal and protocol held in the repository (5 August 2026), not from the application as submitted, and the author confirms the submitted application did not contain it. The Stage-3B scope question remains an open item, now resting on the examiner's request of 15 September 2026 that coverage be verified against the approved protocol or an amendment.</w:t>
      </w:r>
    </w:p>
    <w:p>
      <w:pPr>
        <w:pageBreakBefore/>
      </w:pPr>
      <w:r>
        <w:rPr>
          <w:color w:val="000000"/>
        </w:rPr>
        <w:t>V51 - 30 September 2026 (housekeeping). Appendix G.13 and I.7 now state that raw exports for all seven Pro codes are archived and that only the derived workbooks and extraction scripts named in the Batch 01 reports are not deposited; stray yellow highlighting removed from §1.1, §5.5 and §8.8. The remaining author records are listed in Thesis_Submission_Worksheet_to_15Oct2026.xlsx.</w:t>
      </w:r>
    </w:p>
    <w:p>
      <w:pPr>
        <w:pageBreakBefore/>
      </w:pPr>
      <w:r>
        <w:rPr>
          <w:color w:val="000000"/>
        </w:rPr>
        <w:t>V52 - 30 September 2026 (author's answers to the submission worksheet). §6.4 states the failure-then-stop rule behind the Stage-3 dropout and return classifications and records that some players received an earlier build with a game over, unrecorded per player. Appendix D and §8.9 record the author's confirmation of the two-item, five-point instrument, its scoring and its timing, and disclose the shorter item labels in the aggregate summary. §8.9 and G.2 state that Stage-2 play was recorded by hand and the software's electronic logs were not kept. §5.5 and G.2 cite the Stage-2 files on record. The retention figures are kept by the author's decision.</w:t>
      </w:r>
    </w:p>
    <w:p>
      <w:pPr>
        <w:pageBreakBefore/>
      </w:pPr>
      <w:r>
        <w:rPr>
          <w:color w:val="000000"/>
        </w:rPr>
        <w:t>V53 - 30 September 2026 (fifth clean-run return; purpose of the coordination item). B53Y2F, played on 16 September 2026 on distributor copy D13 (arm B, zero-failure mode, two sessions) and received on 30 September 2026 as a copy converted from a rich-text document, is entered in §8.8, Appendix I (Tables I.1, I.3, I.4; Figure I.1 redrawn) and Table 9.1; it is the earliest clean-run play on record. Appendix D records the author's statement that the coordination item was included to check whether players recognised the game as exercising the eye-leg coordination the FRA measures, as a perception measure only.</w:t>
      </w:r>
    </w:p>
    <w:p>
      <w:pPr>
        <w:pageBreakBefore/>
      </w:pPr>
      <w:r>
        <w:rPr>
          <w:color w:val="000000"/>
        </w:rPr>
        <w:t>V55 - 30 September 2026 (F4 membership; supersedes V54). §5.6 names the six F4 participants as identified by the author: S2-P006, S2-P007, S2-P011, S2-P015, S2-P026 and S2-P028, checked against the Stage-2 ID register and dataset. All six played a single session; S2-P006, S2-P007 and S2-P015 are the three with a positive index change, and S2-P015 is the record that failed verification. V54 had named S2-P027 and S2-P029 in error. The composite scoring rule remains an outstanding author record.</w:t>
      </w:r>
    </w:p>
    <w:p>
      <w:pPr>
        <w:pageBreakBefore/>
      </w:pPr>
      <w:r>
        <w:rPr>
          <w:color w:val="000000"/>
        </w:rPr>
        <w:t>V56 - 30 September 2026 (Stage-3 timeline corrected). On the research assistant's account relayed by the author, Stage-3 recruitment began on 3 April 2026, most participants played after the recruitment deadline, and returns - especially from the 65-80 band - continued until July 2026, when they were compiled and processed. §3.2, §6.4, Table 3.1A and Table 9.1 no longer give March-April 2026 as the collection period.</w:t>
      </w:r>
    </w:p>
    <w:p>
      <w:pPr>
        <w:pageBreakBefore/>
      </w:pPr>
      <w:r>
        <w:rPr>
          <w:color w:val="000000"/>
        </w:rPr>
        <w:t>V57 - 30 September 2026 (invitation date disclosed). §3.2 and §6.4 record that the invitation reconstruction on file is headed 'From March to April 2026', whereas the research assistant reports that recruitment began on 3 April 2026.</w:t>
      </w:r>
    </w:p>
    <w:p>
      <w:pPr>
        <w:pageBreakBefore/>
      </w:pPr>
      <w:r>
        <w:rPr>
          <w:color w:val="000000"/>
        </w:rPr>
        <w:t>V58 - 1 October 2026 (abstract within the 500-word limit). The abstract is shortened from 518 to 496 words to meet the University's 200-500-word requirement, without changing its content; 'desktop game' becomes 'browser game', because some Stage-3 participants played on prepared iPads.</w:t>
      </w:r>
    </w:p>
    <w:p>
      <w:pPr>
        <w:pageBreakBefore/>
      </w:pPr>
      <w:r>
        <w:rPr>
          <w:color w:val="000000"/>
        </w:rPr>
        <w:t>V59 - 1 October 2026 (Stage-3 claim level). By the author's approval, §6.4, §8.9, Appendix D and item G.3 now state that the Chapter-6 results come from the aggregate summary compiled in July 2026, that the build saved nothing automatically so returns arrived in mixed formats (exported CSV files or copied or typed text), and that a participant-level compilation could not be completed before submission. Every figure is unchanged. §8.9 also lists the AI prompt-template archive (G.7) as pending rather than bound, and no longer promises a later statement on the Stage-2 electronic logs, whose non-retention it already states.</w:t>
      </w:r>
    </w:p>
    <w:p>
      <w:pPr>
        <w:pageBreakBefore/>
      </w:pPr>
      <w:r>
        <w:rPr>
          <w:color w:val="000000"/>
        </w:rPr>
        <w:t>V60 - 1 October 2026 (field data-capture lesson). §8.8 adds a paragraph, at the author's suggestion, contrasting how Stage-3A and Stage-3B returns arrived: in-game consent, an immediate in-game questionnaire and a structured export made each Stage-3B return complete and checkable, but did not by themselves secure returns. It is a methodological lesson, not a Stage-3B result.</w:t>
      </w:r>
    </w:p>
    <w:p>
      <w:pPr>
        <w:pageBreakBefore/>
      </w:pPr>
      <w:r>
        <w:rPr>
          <w:color w:val="000000"/>
        </w:rPr>
        <w:t>V61 - 1 October 2026 (Stage-3 questionnaire wording; sex record). The coordination-item count (86 of 120, 71.7%) is no longer called a manipulation check or evidence that the intended frame was perceived (§6.5 text and interpretive note, Table 6.3, §8.3, §9.2, §9.8), matching Paper 3; the questionnaire as sent is not linked to the record and the summary labels differ from the invitation wording. §6.4 states that the 48 male / 72 female split is from the aggregate summary, with no breakdown by age band. Every number is unchanged.</w:t>
      </w:r>
    </w:p>
    <w:p>
      <w:pPr>
        <w:pageBreakBefore/>
      </w:pPr>
      <w:r>
        <w:rPr>
          <w:color w:val="000000"/>
        </w:rPr>
        <w:t>V62 - 2 October 2026 (Stage-3A returns not retained). On the author's account (2 October 2026), no participant names or e-mail addresses were collected, the returned results were not kept as separate records after the July 2026 compilation, and with the first build results and stopping were recorded by hand by assistants not always beside the player. §3.4 (consent record), §6.4 (records, compilation, denominator), §8 reproducibility paragraph, Appendix G.3 and G.5 now say so; statements that the return e-mails are retained and that a return index remains to be compiled are withdrawn. G.3 notes that October 2026 reconstruction attempts are not used. Every number is unchanged.</w:t>
      </w:r>
    </w:p>
    <w:p>
      <w:pPr>
        <w:pageBreakBefore/>
      </w:pPr>
      <w:r>
        <w:rPr>
          <w:color w:val="000000"/>
        </w:rPr>
        <w:t>V63 - 2 October 2026 (Stage-3A outcome definitions). §6.4 states the author's clarified rules: initial dropout = stopped after a failure, observed by an assistant for older participants and otherwise inferred from reported results or from no further session after the first game (so some dropouts have no recorded failure); return = played again on either build before the July 2026 compilation, duration and frequency not counted, some on the archived build, prompting not recorded; returns arrived over weeks because export was optional. §1 drops 'voluntary' from 'voluntary return'. Every number is unchanged.</w:t>
      </w:r>
    </w:p>
    <w:p>
      <w:pPr>
        <w:pageBreakBefore/>
      </w:pPr>
      <w:r>
        <w:rPr>
          <w:color w:val="000000"/>
        </w:rPr>
        <w:t>V64 - 2 October 2026 (Stage-3 term: continued or resumed play). With the author's agreement (supervisor's confirmation pending), 'end-of-window retention' (93.3% overall, 85.4% aged 65-80) is renamed 'continued or resumed play' throughout - Abstract, §1, §6.4-6.8 and the 6.8 consultation reference, Chapter 7, §8.3, §9, Tables 6.1, 6.2 and 6.5, the glossary and Chapter 3/8 tables - because a single later play of any length counted as a return and no end-of-window activity was checked; §6.4 states that it is not a retention measure. Figures 6.1 and 6.3 redrawn with the new label (6.3 bracket now reads '29.3 pp difference'). Matches Paper 3, which already declines to call the 112 records a retention outcome. Every number is unchanged.</w:t>
      </w:r>
    </w:p>
    <w:p>
      <w:pPr>
        <w:pageBreakBefore/>
      </w:pPr>
      <w:r>
        <w:rPr>
          <w:color w:val="000000"/>
        </w:rPr>
        <w:t>V65 - 2 October 2026 (Stage-3A builds and distributors). §6.4: distributors received both builds (the earlier version with a possible game over; the archived build, created 13 July 2026) and passed them on; which build each participant played was not recorded, replacing 'most played the archived build'. §6.4 also states, on the author's account, that the twenty distributors' own records are among the 120 and that, having been briefed, they were not naive to the framing. Every number is unchanged.</w:t>
      </w:r>
    </w:p>
    <w:p>
      <w:pPr>
        <w:pageBreakBefore/>
      </w:pPr>
      <w:r>
        <w:rPr>
          <w:color w:val="000000"/>
        </w:rPr>
        <w:t>V66 - 2 October 2026 (distributors; Stage-3A timing). On the author's account: the twenty distributors belonged to separate Hong Kong groups, were eligible, had no prior knowledge of the gamified FRA and were briefed only on distribution (V65's 'not naive to the framing' withdrawn); implementation limitations with the earlier build led to the archived build (13 July 2026) and the main period of play was postponed to late July 2026 (§6.4; Table 3.1A). Every number is unchanged.</w:t>
      </w:r>
    </w:p>
    <w:p>
      <w:pPr>
        <w:pageBreakBefore/>
      </w:pPr>
      <w:r>
        <w:rPr>
          <w:color w:val="000000"/>
        </w:rPr>
        <w:t>V67 - 2 October 2026 (examiner review of V66, first batch). Abstract trimmed to about 470 words, with the Stage-1 provenance limit added; acknowledgement reworded for the supervisor's dual role; ToC §1.2 entry, LoF (Figures 2.1, 7.3 added) and LoT order corrected; Figure 8.1 renumbered 7.3, Figure 9.2 renumbered 9.1 (no 9.1 existed), Tables 9.2 and 9.3 renumbered to body order with cross-references, Table 9.1 main caption moved to its first segment; §4.1A cross-reference repaired; Table 4.1 caption states the G.1 limit; §5.5 reports the archived joint count (3 of 8; 2 of 7); 'examiner' and 'examination-driven' wording neutralised (§3.4, §5.6, I.1, I.2, I.7); G.3 explains the quarantined raw import sheet and the summary's only checks; §6.4 adds the consolidated limits paragraph; §9.7 adds the positive statement; image alt text set from captions. F4 identifiers re-verified against the Stage-2 ID register (all six single-session; S2-P015 flagged). Every number is unchanged.</w:t>
      </w:r>
    </w:p>
    <w:p>
      <w:pPr>
        <w:pageBreakBefore/>
      </w:pPr>
      <w:r>
        <w:rPr>
          <w:color w:val="000000"/>
        </w:rPr>
        <w:t>V68 - 2 October 2026 (examiner review of V66, second pass; author decisions of 2 October). (1) Stage-3B record closed at 30 September 2026 by the author's dated decision note (G.12), restated at every former '15 October 2026 cut-off' (43 places; Appendix I heading, Tables I.1, I.3, I.4, 3.1A, 9.1, 9.2; Figure I.1 redrawn; placeholder row removed). (2) 'Older adults' throughout the body; proper names, paper titles and cited titles unchanged. (3) Figure 5.6 moved to Appendix B as Figure B.1; Figure 5.7 renumbered 5.6. (4) Publications and outputs page added after the Abstract (Papers 1–3 with contribution statements); Tam &amp; Cheung entries added to the References. (5) G.0 source-to-result manifest and G.0A build-lineage matrix entered as tables; G.14 added; G.1, G.5, G.7, G.8, G.10, G.12 status restated factually; §8.9 pending list replaced by a deposit-status statement. (6) Stage-1 provenance limit carried into §1.6, §2.3, §4.2, §4.8, Table 4.1, Table 5.3, Table 9.1, Table 9.2 and §9.2; S2-P015 flagged in Tables 5.2, 5.3 and 6.5, Figures 5.4, 5.5 and B.1, §2.4.4, §9.2 and §9.9; §5.5/§5.6/§8.3/§9.2 joint-count statements reconciled. (7) Stage-2 operational status: no operational claim for the Layer-2 loop, API calls or telemetry (§1.8, §2.6, §5.3.4–§5.3.9, §5.4, §7.4, §7.5, Appendix E, Tables 2.3 and 7.1); apparatus wording aligned with §6.4 (trackpad removed; iPad with assistant stated) in §1.9, §1.13, §2.6.4, §3.2, §5.3.8, §8.5.7–8.5.8, §9.2, §9.9, Appendix E. (8) Ethics items stated as the record at 30 September 2026 with determination-ready wording (§3.4, I.4, I.7); PIPL scope corrected; Pro v4.1 use and supervisor sign-off status stated in §3.4; §8.7 now examines the Stage-2 disclosure arrangements; §6.12 and H.6/H.7 stubs replaced by factual status (member-checks not returned). (9) §9.7 positive statement anchored to the EngD standard and corrected on 'the same game' and the verdict claim; §6.4 limits paragraph corrected; §6.4 reconciliation note added; §6.2 and §1.9 coordination-item wording; manipulation-check phrasing; residual 'retention', 'voluntary return', 'continued play' uses. (10) List of Abbreviations extended; Table 3.1A and 9.1 captions 'programme order' and '2023 – October 2026'; captions moved above Tables 3.1A, 9.1 and 9.2; H3 gap stated; cross-references repaired; alt text set to full caption sentences; population projections sourced (C&amp;SD 2023; State Council 2025); facility utilisation history attributed to the facility's account. Every number is unchanged.</w:t>
      </w:r>
    </w:p>
    <w:p>
      <w:pPr>
        <w:pageBreakBefore/>
      </w:pPr>
      <w:r>
        <w:rPr>
          <w:color w:val="000000"/>
        </w:rPr>
        <w:t>V70 - 3 October 2026 (second examination; 2024 prototype records). The second examination of 3 October 2026 records the thesis as acceptable in substance; V69 regenerated the contents pages (Chapter 1–2 entries had carried a roman numeral) and produced the reading copy with this checklist deleted. V70 deposits records supplied by the author on 3 October 2026: the August 2024 Three.js browser prototype (design specification with its large-language-model prompt, code print, runnable page, July 2026 overview) and the April 2024 programme progress report. G.7 is restated as partly deposited; a row 1b is added to G.0A and two rows to G.0; §5.3.4, §5.3.5, §5.3.9, §8.9 and Appendix E.1 now distinguish the deposited prototype template from the deployed build's settings, which remain not on record. Every number is unchanged.</w:t>
      </w:r>
    </w:p>
    <w:p>
      <w:pPr>
        <w:pageBreakBefore/>
      </w:pPr>
      <w:r>
        <w:rPr>
          <w:color w:val="000000"/>
        </w:rPr>
        <w:t>V71 - 3 October 2026 (Stage-2 capture pathway; corrected in part by V72). On the author's account of 3 October 2026, the game and the InBody FRA measurement were driven by the same weight shifts at the same time; the two kept separate data sets and the game did not read or interpret the FRA measurement; the therapist beside the player recorded the game states at the end of each game, then the FRA indices from the FRA system, graded and entered in the FRA logbook. §5.2A, §5.3, Figure 5.2 text, §5.5, §8.9, Appendix E.1, G.0A row 2 and G.2 now say so, replacing wording that attributed the recorded 'after' index to the game's own pipeline. Every number is unchanged.</w:t>
      </w:r>
    </w:p>
    <w:p>
      <w:pPr>
        <w:pageBreakBefore/>
      </w:pPr>
      <w:r>
        <w:rPr>
          <w:color w:val="000000"/>
        </w:rPr>
        <w:t>V72 - 3 October 2026 (Stage-2 input arrangement). On the author's further account of 3 October 2026, the developed and tested Stage-2 game could not be integrated with the InBody FRA510S because the instrument exposes no application programming interface; the game was therefore driven by a separate USB foot pad placed on top of the FRA footplate, the footplate driving the InBody FRA software in parallel, each system recording its own data set, joined by the therapist's hand record at the end of each game; the first version had been tested by keyboard. Wording that had the game read the InBody COP stream is replaced in the Abstract, §5.2A (Figure 5.0 caption, Table 5.0), §5.3, §5.3.1, §5.3.2, §5.3.4 (Figure 5.2 caption), §5.3.6 (Table 5.1), §5.3.7, §5.3.9, §5.5, §8.5.8, §8.7, §8.9, §9.7, Appendix E.1 and G.0A row 2; the foot pad's make and model and its effect on the footplate reading are stated as not on record. Every number is unchanged.</w:t>
      </w:r>
    </w:p>
    <w:p>
      <w:pPr>
        <w:pageBreakBefore/>
      </w:pPr>
      <w:r>
        <w:rPr>
          <w:color w:val="000000"/>
        </w:rPr>
        <w:t>V73 - 3 October 2026 (Stage-2 input device identified). On the author's account and vendor listing of 3 October 2026, the foot pad on the FRA510S footplate was a generic force-sensing-resistor plantar-pressure mat (64 × 64 points, about 3 mm, serial output, ±10%); 'USB foot pad, make and model not on record' is replaced in §5.2A, §5.3.1, §5.3.4, Appendix E.1 and G.0A row 2; new item G.15 and a G.0 row; G.9 records the InBody showroom photograph; G.0A row 1b notes the development-office photograph of the browser prototype on the HUR-type platform. Every number is unchanged.</w:t>
      </w:r>
    </w:p>
    <w:p>
      <w:pPr>
        <w:pageBreakBefore/>
      </w:pPr>
      <w:r>
        <w:rPr>
          <w:color w:val="000000"/>
        </w:rPr>
        <w:t>V74 - 3 October 2026 (photograph provenance). The author states that the photographs supplied on 3 October 2026 are his own, taken in earlier years and kept in a folder; exact dates were not recorded and file dates reflect later archiving. G.9 and G.0A row 1b now say so. Every number is unchanged.</w:t>
      </w:r>
    </w:p>
    <w:p>
      <w:pPr>
        <w:pageBreakBefore/>
      </w:pPr>
      <w:r>
        <w:rPr>
          <w:color w:val="000000"/>
        </w:rPr>
        <w:t>V75 - 3 October 2026 (centre register transcription). A page received on 3 October 2026, first described by the author as a photocopy of a handwritten centre record and then as a therapist's later typed transcription in a handwriting typeface of the centre's informal notes, is deposited as item G.16 with that status and cited in §3.4 and §5.5 as corroboration only (ten of thirty participants agree with the register row for row; legend direction error traced to the centre). G.2 records that the S2 numbers follow the facility's running numbers with the stage prefix added at the author's request. Every number is unchanged.</w:t>
      </w:r>
    </w:p>
    <w:p>
      <w:pPr>
        <w:pageBreakBefore/>
      </w:pPr>
      <w:r>
        <w:rPr>
          <w:color w:val="000000"/>
        </w:rPr>
        <w:t>V76 - 3 October 2026 (centre record forms). Three per-participant record forms supplied by a facility therapist on 3 October 2026 as exported page images (creation date not established; one date corrected at the author's request, both versions kept) are added to item G.16 with that status and noted in §3.4; corroboration only. Every number is unchanged.</w:t>
      </w:r>
    </w:p>
    <w:p>
      <w:pPr>
        <w:pageBreakBefore/>
      </w:pPr>
      <w:r>
        <w:rPr>
          <w:color w:val="000000"/>
        </w:rPr>
        <w:t>V77 - 3 October 2026 (Stage-2 illustrations re-classified). The author's definitive statement: the register-style page and the record-form images received on 3 October 2026 are a template reconstructed in 2026 to illustrate the data structure; no paper forms exist from the deployment period and the therapists kept no written personal records. §3.4 and §5.5 return to that account (V75–V76 corroboration wording removed); item G.16 and its G.0 row now list the images as illustrations, not records, held in the not-evidence folder; G.2 states the origin of the 'S2' prefix. Every number is unchanged.</w:t>
      </w:r>
    </w:p>
    <w:p>
      <w:pPr>
        <w:pageBreakBefore/>
      </w:pPr>
      <w:r>
        <w:rPr>
          <w:color w:val="000000"/>
        </w:rPr>
        <w:t>V78 - 3 October 2026 (centre-of-pressure wording withdrawn from the game description). The author states that the game never measured centre of pressure: the mat was a left/right controller used in the manner of a keyboard, its pressure values not measured or recorded. The 'COP stream' description of the game's Layer 0, the 'COP traces' in Layer 3, the 'COP-derived' Layer 4 and the 'synthetic centre-of-pressure traces' of the development account were introduced in the V5 drafting pass of July 2026 and are withdrawn from §2.x, §4.1A (second paragraph), §5.2A (Figure 5.0 and Table 5.0 captions), §5.3.1, §5.3.4 (Figure 5.2 redrawn and recaptioned), §5.3.5, §5.3.9, §5.3.10 (Figure 5.3 L0 label), §8.6, Appendix E.1 and G.8. Centre of pressure remains only as the InBody instrument's own measurand (§4.1A, §5.3.1). Every number is unchanged.</w:t>
      </w:r>
    </w:p>
    <w:p>
      <w:pPr>
        <w:pageBreakBefore/>
      </w:pPr>
      <w:r>
        <w:rPr>
          <w:color w:val="000000"/>
        </w:rPr>
        <w:t>V79 - 3 October 2026 (author's answers). (1) Keyboard control in Stage 2 was used in development testing only; no participant played by keyboard (§5.2A, Appendix E.1, G.0A row 2). (2) The 2024 browser prototype in the development office was steered from HUR hardware of the same platform family as the InBody footplate; how its movement reached the page is not on record (G.0A row 1b). (3) On 3 October 2026 the Principal Investigator advised the author that no further request to the Departmental Research Committee was needed; §3.4 now records this in place of the statement that a determination request was being made; the open ethics items remain stated as open, with no written determination on file. Every number is unchanged.</w:t>
      </w:r>
    </w:p>
    <w:p>
      <w:pPr>
        <w:pageBreakBefore/>
      </w:pPr>
      <w:r>
        <w:rPr>
          <w:color w:val="000000"/>
        </w:rPr>
        <w:t>V80 - 3 October 2026 (development account corrected). On the author's account of 3 October 2026, the Stage-2 game was written by a developer in Pygame with corrections made through ChatGPT prompts (model version not on record); Claude Code was used for the Stage-3 builds and the non-terminal state designs; testing was by play, with one scripted test by the developer. §5.3.9 (retitled 'Development Methodology and Tooling') is rewritten accordingly: the 'three iterative loops', the Claude Code generation of the Stage-2 Pygame code, the prompt-template iteration and the logging-schema generation — all introduced in the V5 drafting pass of July 2026 — are withdrawn. §5.3 and G.0A row 2 state the tooling; the fifteen-iteration count stays as author-reported. Every number is unchanged.</w:t>
      </w:r>
    </w:p>
    <w:p>
      <w:pPr>
        <w:pageBreakBefore/>
      </w:pPr>
      <w:r>
        <w:rPr>
          <w:color w:val="000000"/>
        </w:rPr>
        <w:t>V81 - 3 October 2026 (author's correction). The author corrects his statement of the same evening: Claude Code was used in Stage 2 as well, for the 2025 build generations before the June–August 2025 deployment, after the developer-written origin and the ChatGPT-assisted corrections. §5.3, §5.3.9 and G.0A row 2 say so. Every number is unchanged.</w:t>
      </w:r>
    </w:p>
    <w:p>
      <w:pPr>
        <w:pageBreakBefore/>
      </w:pPr>
      <w:r>
        <w:rPr>
          <w:color w:val="000000"/>
        </w:rPr>
        <w:t>V82 - 3 October 2026 (author's declaration of authorship of the game). The author states that the game was created by AI under his instruction and design framework; 'written by a developer' is replaced accordingly in §5.3, §5.3.9 and G.0A row 2 (ChatGPT at first, Claude Code from 2025). Every number is unchanged.</w:t>
      </w:r>
    </w:p>
    <w:p>
      <w:pPr>
        <w:pageBreakBefore/>
      </w:pPr>
      <w:r>
        <w:rPr>
          <w:color w:val="000000"/>
        </w:rPr>
        <w:t>V83 - 4 October 2026 (identity of the deployed Stage-2 game). The author's screen recording of 15 January 2025 (new item G.17) and his statements of 3–4 October 2026 establish that the game the Stage-2 participants played was the Three.js/Cannon.js browser game of the 29 August 2024 specification (item G.7: nine-item ability form; difficulty set once by three formulas; a run ends at the first collision; post-run analysis report, server-side model call in v2), and that the 'Intelligent Skiing Rehabilitation Training Game' (index.html, new item G.18) is the early Stage-3 build whose parameters Table 5.0 and item G.14 record. The '2D Pygame' description, the four-state machine with three lives and progressive assistance attributed to Stage 2, the in-run 80%/40% adaptation loop at five-minute intervals and the 'six stages' of §5.3.5 — all introduced in the V5 drafting pass of July 2026 — are withdrawn from the Stage-2 account (§3.x, §5.2A, Table 5.0, §5.3–§5.3.7, §5.3.9–§5.3.10, §5.5, §8.5.8, §9.7, Appendix E.1, G.0, G.0A rows 2 and 2b, G.7, G.14); Figure 5.2 redrawn. Stage 3 is now described as a separately built HTML game rather than a 'port', and the in-game five-attempt counter is attributed to the Stage-3 lineage. Every number is unchanged.</w:t>
      </w:r>
    </w:p>
    <w:p>
      <w:pPr>
        <w:pageBreakBefore/>
      </w:pPr>
      <w:r>
        <w:rPr>
          <w:color w:val="000000"/>
        </w:rPr>
        <w:t>V84 - 6 October 2026 (Dr Choy's attribution). The author's WhatsApp screenshot of 6 October 2026 shows that the named-attribution tick on Dr Choy's consent form was made by the researcher on his behalf and acknowledged by Dr Choy in writing; H.7 and §6.12 now state this exactly. Every number is unchanged.</w:t>
      </w:r>
    </w:p>
    <w:p>
      <w:pPr>
        <w:pageBreakBefore/>
      </w:pPr>
      <w:r>
        <w:rPr>
          <w:color w:val="000000"/>
        </w:rPr>
        <w:t>V85 - 6 October 2026. The date of Dr Choy's written acknowledgement is entered in H.7 from the dated screenshot: 4 August 2026. Every number is unchanged.</w:t>
      </w:r>
    </w:p>
    <w:p>
      <w:pPr>
        <w:pageBreakBefore/>
      </w:pPr>
      <w:r>
        <w:rPr>
          <w:color w:val="000000"/>
        </w:rPr>
        <w:t>V86 - 7 October 2026. The author states that v2 of the Stage-2 game (with the server-side analysis call) was the version deployed; §5.3, §5.3.4, §5.3.5, Appendix E.1, G.0A row 2, G.7 and G.17 say so, leaving open whether each session's server call completed. Every number is unchanged.</w:t>
      </w:r>
    </w:p>
    <w:p>
      <w:pPr>
        <w:pageBreakBefore/>
      </w:pPr>
      <w:r>
        <w:rPr>
          <w:color w:val="000000"/>
        </w:rPr>
        <w:t>V87 - 7 October 2026. Dr Choy's member-check chain (summary sent 4 August; review requested 5 August; replies concerned the identification boxes; no comment or disagreement on the summary) and his second written assent of 5 August 2026 are entered in H.7 from the archived screenshots. Every number is unchanged.</w:t>
      </w:r>
    </w:p>
    <w:p>
      <w:pPr>
        <w:pageBreakBefore/>
      </w:pPr>
      <w:r>
        <w:rPr>
          <w:color w:val="000000"/>
        </w:rPr>
        <w:t>V43 - 26 September 2026 (pivot pass; V42 closed 14 September 2026). This pass actions the author's decision of 26 September 2026 to conclude the thesis on the FIAS finding of Stages 1–3A and to treat adaptive learning as a discussion and future-study direction, and it actions the textual items of the updated examination report of 15 September 2026. Stage 3B is reported as a descriptive component-study record at the 26 September 2026 cut-off (new Appendix I with Tables I.1–I.12 and Figures I.1–I.3; Appendix G items G.12–G.13; the G.0A lineage row extended to the frozen study edition of 15 September 2026 and the Pro v4.1 self-test); no confirmatory analysis is reported and no Stage-3B results cell or author-input stub remains in §8.8, Table 3.1A or Table 9.1; passages that promised Stage-3B results or made the adaptive-learning claim depend on them are reframed to the record (§1.8–§1.9, §1.13–§1.14, §2.3.4, §2.6.2C, Tables 2.1–2.3, §3.2, Table 3.1, Table 3.1A, §3.4–§3.6, §5.3.5, §5.3.10, §5.5A, §6.1, §6.8, §7.4, §7.5, §7.9, §8.5.8, §8.6, §8.8–§8.9, §9.1–§9.2, Table 9.1, Table 9.3, §9.5, §9.8A–§9.10, §9.12, Appendices D, E and G); the study is described as pre-specified (repository-dated) throughout and its adaptive arm as a support package. Examiner textual items closed in this pass: §3.4 satisfaction/symptom provenance and Stage-1 consent; §3.4 Stage-3B ethics scope stated as an open item of the record; §5.2A instrument sentence; §5.5–§5.6 terminology and the Appendix B rule statement; §5.6 and §8.6B co-occurrence wording; Table 5.3 coin-loop cell; §2.3.5 sentence repair; §6.4 attempts-versus-sessions unit; abstract and Figures 6.1–6.2 retention qualification; §7.4 taxonomy over-defence; §7.9 adaptive-learning proposition and GrandPad verdict-exposure narrowing (text, Figure 8.1 caption and artwork); §8.5.9 ordinary-attrition wording; Figures 5.1B, 5.2, 5.4 and 5.5 captions with the Figure 5.2 and 5.5 artwork regenerated from the archived counts; Appendix E as-specified labelling; Appendix G status statement; the fused NBS reference split and the Tha et al. entry marked as advance online. The Stage-3B protocol sign-off is no longer a thesis dependency. The remaining marks are confined to items (a), (b), (c) and (e) of the V42 entry below; item (d) is closed. Final production adds Appendix I to the regenerated ToC, List of Figures and List of Tables.</w:t>
      </w:r>
    </w:p>
    <w:p>
      <w:r>
        <w:rPr>
          <w:highlight w:val="yellow"/>
        </w:rPr>
        <w:t>V42 - 14 September 2026 (V41 earlier the same day; V40 closed 10 September 2026). This pass actions the updated examination report of 14 September 2026: 45 verified text corrections (Stage-1 conditional denominators; the withdrawn 65-88 Stage-1 age range; H1 and §5.5 index-claim calibration; Kim et al. scoping; §6.4 dropout-definition timing limit; §6.10 design-only framing; ethics-terminology alignment with the archived memo and the two-part application structure; Stage-3B in-build consent; §8.9 restated to match the actual deposit; G.4/G.6 photographic-record accuracy; G.0A v3.x build row entered from the repository record; §5.3.1/§5.3.5/E.3 capability-versus-evidence distinctions; §5.6/§7.4/§8.3/§8.5.9 interpretation framing with the §8.3 joint count 3-of-8 read from the archived record; §1.3 corrected to 310.31 million (NBS 2025) with the reference added; §1.4 service-design reframing; §7.9 GrandPad configuration-specific comparison; Stage-3B consistency in Table 3.1A, §3.4 and §8.5.8; §7.9 heading aligned to the contents entry). Figure 8.1's caption and painted artwork are additionally recalibrated to the intended-design-target framing, with the GrandPad functions verified at vendor source (2020 connected-device announcement; 2021 PACE/Element Care release) and the dated vendor references added.  This pass merges the author's 14 September edits, embeds the Stage-3B status in §8.8 and Table 9.1 (designed after Stage 3A; pre-specified, repository-dated 8–9 August 2026; collection commenced August 2026; superseded in V43 by the descriptive record at the 26 September 2026 cut-off, Appendix I), and adds the Stage-3A designation note in §6.1. The examination-driven revision cycle continues; the items below remain open at the stated cut-off. The remaining yellow marks in this document are confined to: (a) the Stage-2 instrument scans and as-administered wording confirmation (Appendix C; the s3.4 reconciliation and the interview-instrument wording are RESOLVED via the Stage-2 ID register and entry workbook, 11 Sep 2026) and the D1-D2 response scale and bilingual wording (Appendix D); (b) Stage-2 game telemetry and AI-call logs (G.2/G.7 - archive or one disclosed not-retained sentence); (c) consent-gated panel items that close on receipt of the signed member-check and elections (s6.12, H.6, H.7); (d) none for Stage 3B — its cells in §8.8 and Table 9.1 are closed as a descriptive record at the 26 September 2026 cut-off (Appendix I), with no results cell left open; and (e) the Appendix G manifest and build-lineage stubs (G.0, G.0A), which complete as the archive records land. External gates tracked in the working file PENDING_ITEMS.md, outside this document: the SS-293 camera-ready consent check, the supervisor's report and the Stage-3B protocol sign-off (no longer a thesis dependency: no Stage-3B confirmatory analysis is reported). Final production remains as one pass: regenerate the ToC, List of Figures and List of Tables as Word fields (Figure 2.1, Figure 8.1 and the tables added since V37 enter the lists there), regularise figure numbering, remove this page together with every remaining mark, and proofread.</w:t>
      </w:r>
    </w:p>
    <w:sectPr w:rsidR="0062437E" w:rsidSect="00034616">
      <w:footerReference w:type="default" r:id="rId22"/>
      <w:pgSz w:w="11906" w:h="16838"/>
      <w:pgMar w:top="1417" w:right="1417" w:bottom="1417" w:left="1984" w:header="720" w:footer="720" w:gutter="0"/>
      <w:pgNumType w:fmt="decimal"/>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V39 revision" w:initials="V39" w:date="2026-09-09T08:19:53Z">
    <w:p>
      <w:pPr>
        <w:pStyle w:val="CommentText"/>
      </w:pPr>
      <w:r>
        <w:rPr>
          <w:rStyle w:val="CommentReference"/>
        </w:rPr>
        <w:annotationRef/>
      </w:r>
      <w:r>
        <w:t>V39: the supplied thesis title is restored as the actual title; the adaptive system is presented as a proposed means of pursuing that subject.</w:t>
      </w:r>
    </w:p>
  </w:comment>
  <w:comment w:id="1" w:author="V39 revision" w:initials="V39" w:date="2026-09-09T08:19:53Z">
    <w:p>
      <w:pPr>
        <w:pStyle w:val="CommentText"/>
      </w:pPr>
      <w:r>
        <w:rPr>
          <w:rStyle w:val="CommentReference"/>
        </w:rPr>
        <w:annotationRef/>
      </w:r>
      <w:r>
        <w:t>V39: separates observed findings, candidate explanations and the unevaluated adaptive framework.</w:t>
      </w:r>
    </w:p>
  </w:comment>
  <w:comment w:id="2" w:author="V39 revision" w:initials="V39" w:date="2026-09-09T08:19:53Z">
    <w:p>
      <w:pPr>
        <w:pStyle w:val="CommentText"/>
      </w:pPr>
      <w:r>
        <w:rPr>
          <w:rStyle w:val="CommentReference"/>
        </w:rPr>
        <w:annotationRef/>
      </w:r>
      <w:r>
        <w:t>V39: aim and research questions explicitly connect gamification, proactive support and evaluation of innovation.</w:t>
      </w:r>
    </w:p>
  </w:comment>
  <w:comment w:id="3" w:author="V39 revision" w:initials="V39" w:date="2026-09-09T08:19:53Z">
    <w:p>
      <w:pPr>
        <w:pStyle w:val="CommentText"/>
      </w:pPr>
      <w:r>
        <w:rPr>
          <w:rStyle w:val="CommentReference"/>
        </w:rPr>
        <w:annotationRef/>
      </w:r>
      <w:r>
        <w:t>V39: three principles are a selected, testable design decomposition, not a uniquely necessary or proven architecture.</w:t>
      </w:r>
    </w:p>
  </w:comment>
  <w:comment w:id="4" w:author="V39 revision" w:initials="V39" w:date="2026-09-09T08:19:53Z">
    <w:p>
      <w:pPr>
        <w:pStyle w:val="CommentText"/>
      </w:pPr>
      <w:r>
        <w:rPr>
          <w:rStyle w:val="CommentReference"/>
        </w:rPr>
        <w:annotationRef/>
      </w:r>
      <w:r>
        <w:t>V39: added condition-specific progress, comparable reference checks, assistance/version labels and visible phase boundaries.</w:t>
      </w:r>
    </w:p>
  </w:comment>
  <w:comment w:id="5" w:author="V39 revision" w:initials="V39" w:date="2026-09-09T08:19:53Z">
    <w:p>
      <w:pPr>
        <w:pStyle w:val="CommentText"/>
      </w:pPr>
      <w:r>
        <w:rPr>
          <w:rStyle w:val="CommentReference"/>
        </w:rPr>
        <w:annotationRef/>
      </w:r>
      <w:r>
        <w:t>V39: distinguishes participant support from system redesign so adapting a task is not itself claimed as improvement.</w:t>
      </w:r>
    </w:p>
  </w:comment>
  <w:comment w:id="6" w:author="V39 revision" w:initials="V39" w:date="2026-09-09T08:19:53Z">
    <w:p>
      <w:pPr>
        <w:pStyle w:val="CommentText"/>
      </w:pPr>
      <w:r>
        <w:rPr>
          <w:rStyle w:val="CommentReference"/>
        </w:rPr>
        <w:annotationRef/>
      </w:r>
      <w:r>
        <w:t>V39: unsuccessful iterations can support design learning; implemented innovation and demonstrated benefit remain separate claims.</w:t>
      </w:r>
    </w:p>
  </w:comment>
  <w:comment w:id="7" w:author="V39 revision" w:initials="V39" w:date="2026-09-09T08:19:53Z">
    <w:p>
      <w:pPr>
        <w:pStyle w:val="CommentText"/>
      </w:pPr>
      <w:r>
        <w:rPr>
          <w:rStyle w:val="CommentReference"/>
        </w:rPr>
        <w:annotationRef/>
      </w:r>
      <w:r>
        <w:t>V39: scope wording calibrated without changing the ethics documentary records.</w:t>
      </w:r>
    </w:p>
  </w:comment>
  <w:comment w:id="8" w:author="V39 revision" w:initials="V39" w:date="2026-09-09T08:19:53Z">
    <w:p>
      <w:pPr>
        <w:pStyle w:val="CommentText"/>
      </w:pPr>
      <w:r>
        <w:rPr>
          <w:rStyle w:val="CommentReference"/>
        </w:rPr>
        <w:annotationRef/>
      </w:r>
      <w:r>
        <w:t>V39: contribution language aligned with the title and bounded by the achieved evidence.</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imes New Roman" w:hAnsi="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imes New Roman" w:hAnsi="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imes New Roman" w:hAnsi="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2.xml"/><Relationship Id="rId23" Type="http://schemas.openxmlformats.org/officeDocument/2006/relationships/fontTable" Target="fontTable.xml"/><Relationship Id="rId24" Type="http://schemas.openxmlformats.org/officeDocument/2006/relationships/theme" Target="theme/theme1.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jpg"/><Relationship Id="rId40" Type="http://schemas.openxmlformats.org/officeDocument/2006/relationships/image" Target="media/image29.jp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comments" Target="comments.xml"/><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Gamification as Proactive Approach for Continuous Improvement and Innovation Enhancement</dc:title>
  <dc:subject>Gamification, continuous improvement and innovation enhancement</dc:subject>
  <dc:creator>python-docx</dc:creator>
  <cp:keywords/>
  <dc:description>V45 - 29 September 2026: author's account of Stage-3 distribution and devices mirrored from Paper 3 R7.</dc:description>
  <cp:lastModifiedBy>TAM, Sidney [Student]</cp:lastModifiedBy>
  <cp:revision>6</cp:revision>
  <cp:lastPrinted>2026-07-11T05:43:00Z</cp:lastPrinted>
  <dcterms:created xsi:type="dcterms:W3CDTF">2026-07-03T09:50:00Z</dcterms:created>
  <dcterms:modified xsi:type="dcterms:W3CDTF">2026-09-29T12:00:00Z</dcterms:modified>
  <cp:category/>
  <cp:version>39</cp:version>
</cp:coreProperties>
</file>