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SimSun" w:hAnsi="Times New Roman"/>
          <w:b/>
          <w:bCs/>
          <w:color w:val="34506B"/>
          <w:sz w:val="24"/>
          <w:szCs w:val="24"/>
        </w:rPr>
        <w:t xml:space="preserve">THE HONG KONG POLYTECHNIC UNIVERSITY</w:t>
      </w:r>
    </w:p>
    <w:p>
      <w:pPr>
        <w:spacing w:after="300"/>
        <w:jc w:val="center"/>
      </w:pPr>
      <w:r>
        <w:rPr>
          <w:rFonts w:ascii="Times New Roman" w:cs="Times New Roman" w:eastAsia="SimSun" w:hAnsi="Times New Roman"/>
          <w:color w:val="34506B"/>
          <w:sz w:val="22"/>
          <w:szCs w:val="22"/>
        </w:rPr>
        <w:t xml:space="preserve">Department of Industrial and Systems Engineering</w:t>
      </w:r>
    </w:p>
    <w:p>
      <w:pPr>
        <w:pStyle w:val="Title"/>
        <w:spacing w:after="120"/>
        <w:jc w:val="center"/>
      </w:pPr>
      <w:r>
        <w:rPr>
          <w:rFonts w:ascii="Times New Roman" w:cs="Times New Roman" w:eastAsia="SimSun" w:hAnsi="Times New Roman"/>
          <w:b/>
          <w:bCs/>
          <w:color w:val="1F2A36"/>
          <w:sz w:val="40"/>
          <w:szCs w:val="40"/>
        </w:rPr>
        <w:t xml:space="preserve">Closing Comment Schedule</w:t>
      </w:r>
    </w:p>
    <w:p>
      <w:pPr>
        <w:spacing w:after="300"/>
        <w:jc w:val="center"/>
      </w:pPr>
      <w:r>
        <w:rPr>
          <w:rFonts w:ascii="Times New Roman" w:cs="Times New Roman" w:eastAsia="SimSun" w:hAnsi="Times New Roman"/>
          <w:color w:val="1F2A36"/>
          <w:sz w:val="24"/>
          <w:szCs w:val="24"/>
        </w:rPr>
        <w:t xml:space="preserve">EngD Thesis Revised Submission (V68) — Companion to the Examiner's Review Report (Second Examination) of 3 October 2026</w:t>
      </w:r>
    </w:p>
    <w:p>
      <w:pPr>
        <w:spacing w:after="60"/>
        <w:jc w:val="center"/>
      </w:pPr>
      <w:r>
        <w:rPr>
          <w:rFonts w:ascii="Times New Roman" w:cs="Times New Roman" w:eastAsia="SimSun" w:hAnsi="Times New Roman"/>
          <w:i/>
          <w:iCs/>
          <w:sz w:val="24"/>
          <w:szCs w:val="24"/>
        </w:rPr>
        <w:t xml:space="preserve">Thesis: Gamification as Proactive Approach for Continuous Improvement and Innovation Enhancement — Candidate: Sidney K. T. Tam</w:t>
      </w:r>
    </w:p>
    <w:p>
      <w:pPr>
        <w:spacing w:after="420"/>
        <w:jc w:val="center"/>
      </w:pPr>
      <w:r>
        <w:rPr>
          <w:rFonts w:ascii="Times New Roman" w:cs="Times New Roman" w:eastAsia="SimSun" w:hAnsi="Times New Roman"/>
          <w:sz w:val="24"/>
          <w:szCs w:val="24"/>
        </w:rPr>
        <w:t xml:space="preserve">Document reviewed: Full_V68_EngD_Thesis_Submission_Draft.docx — Schedule date: 3 October 2026</w:t>
      </w:r>
    </w:p>
    <w:p>
      <w:pPr>
        <w:pStyle w:val="Heading1"/>
        <w:spacing w:after="120" w:before="120"/>
      </w:pPr>
      <w:r>
        <w:rPr>
          <w:rFonts w:ascii="Times New Roman" w:cs="Times New Roman" w:eastAsia="SimSun" w:hAnsi="Times New Roman"/>
          <w:b/>
          <w:bCs/>
          <w:color w:val="1F2A36"/>
          <w:sz w:val="26"/>
          <w:szCs w:val="26"/>
        </w:rPr>
        <w:t xml:space="preserve">Contents</w:t>
      </w:r>
    </w:p>
    <w:sdt xmlns:w="http://schemas.openxmlformats.org/wordprocessingml/2006/main">
      <w:sdtPr>
        <w:alias w:val="Contents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How to Use This Schedule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1. Production Item 1 — Delete the Author Completion Checklist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2. Production Item 2 — Regenerate the ToC, List of Figures and List of Tables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3. Production Item 3 — Sign the Certificate of Originality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4. Institutional Follow-Ups (Convenor Verification)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5. Non-Blocking Observations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6. Final Production Pass — Order of Operations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1F2A36"/>
          <w:sz w:val="30"/>
          <w:szCs w:val="30"/>
        </w:rPr>
        <w:t xml:space="preserve">How to Use This Schedule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Every substantive and editorial item from the previous schedules is closed in V68; this closing schedule therefore lists only what still stands between the document and a submittable thesis. Severity grades are unchanged: A = institutional item blocking final acceptance (outside the author's text); C = production item blocking submission (within the author's control). No B-grade items remain. Each entry can be actioned and ticked off independently; the order of operations in Section 6 avoids rework.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1F2A36"/>
          <w:sz w:val="30"/>
          <w:szCs w:val="30"/>
        </w:rPr>
        <w:t xml:space="preserve">1. Production Item 1 — Delete the Author Completion Checklist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Final heading-level section, after Appendix I (approx. 23,000 characters)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internal version history ('Author completion checklist', V44 through V68) remains embedded in the submitted file. It logs the drafting dialogue with the examiner ('examiner review of V66, first batch / second pass'), records internal decisions and pending items, and is the last location where examiner-referential wording survives.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Delete the entire section, including its heading. Do not archive it inside the thesis file. Confirm deletion by searching the final document for 'completion checklist' and for any 'V44'–'V68' token: zero hits expected.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1F2A36"/>
          <w:sz w:val="30"/>
          <w:szCs w:val="30"/>
        </w:rPr>
        <w:t xml:space="preserve">2. Production Item 2 — Regenerate the ToC, List of Figures and List of Tables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Table of Contents, chapter-level entries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Chapter 1 Introduction and Chapter 2 Literature Review (and the early Chapter 2 subsections up to roughly §2.4) still carry the stale roman numeral 'vii' in place of an arabic page number; later entries (from §2.5 onward) are correct. The lists were corrected piecemeal rather than regenerated as fields.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Regenerate the ToC as a Word field after Item 1 is complete. Verify every chapter-level entry shows an arabic number and that long entries (e.g. I.5) are not truncated.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List of Figures / List of Tables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lists are currently correct in content (Figures 2.1 and 7.3 present; Tables 9.1–9.3 in order), but they should be regenerated in the same pass so they stay synchronised with the final pagination after the checklist deletion shifts pages.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Update both fields in the same final pass; spot-check Figures 2.1, 7.3 and I.1–I.3 and Tables 3.1A, 9.1–9.3.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1F2A36"/>
          <w:sz w:val="30"/>
          <w:szCs w:val="30"/>
        </w:rPr>
        <w:t xml:space="preserve">3. Production Item 3 — Sign the Certificate of Originality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Certificate of Originality (front matter)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signature line is blank. Acceptable for review drafts; the University requires a signed certificate in the submitted thesis.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Sign and date the certificate at final submission.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1F2A36"/>
          <w:sz w:val="30"/>
          <w:szCs w:val="30"/>
        </w:rPr>
        <w:t xml:space="preserve">4. Institutional Follow-Ups (Convenor Verification)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These items are correctly recorded as open in the thesis (§3.4; Appendix I.7). They are not revisions to the text; they are record closures that must be verified by the convenor before the degree is recommended.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Item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closure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Ethics record (§3.4; I.7)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Whether the Stage-3B collection (August–September 2026) falls within the approved scope of HSEARS20260805008.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Written determination against the approved protocol, or an amendment, placed on the ethics file.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Ethics record (§3.4)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approval memo is a one-page project-level approval; no itemised determination on the individual consent arrangements is on file.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request made through the Principal Investigator pursued to a written Committee determination and archived.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Supervision record (I.7)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Chief Supervisor's sign-off of the Stage-3B protocol is not recorded as closed.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Sign-off obtained, or a documented decision recorded, and filed.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1F2A36"/>
          <w:sz w:val="30"/>
          <w:szCs w:val="30"/>
        </w:rPr>
        <w:t xml:space="preserve">5. Non-Blocking Observations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Suggested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H.6 / H.7 member-checks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Member-check forms issued 7 September 2026 (Lau) and for Dr Choy were not returned by the cut-off; this is disclosed correctly.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If responses arrive before submission, incorporate them and adjust the record sentences; otherwise no action.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Item G.14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game-state specification workbook behind Table 5.0 is not deposited ('no claim rests on it' — stated).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Consider depositing it, even under restricted access, to strengthen the artefact-based contribution claim.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Appendix I.5 / I.7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Stage-3B Pro derived workbooks and extraction scripts named in the two archived reports are not deposited.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Archive them now if the Pro line is to be developed in future publications.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1F2A36"/>
          <w:sz w:val="30"/>
          <w:szCs w:val="30"/>
        </w:rPr>
        <w:t xml:space="preserve">6. Final Production Pass — Order of Operations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Run the pass in this order so each step absorbs the pagination effects of the previous one: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Step 1. </w:t>
      </w:r>
      <w:r>
        <w:rPr>
          <w:rFonts w:ascii="Times New Roman" w:cs="Times New Roman" w:eastAsia="SimSun" w:hAnsi="Times New Roman"/>
          <w:sz w:val="24"/>
          <w:szCs w:val="24"/>
        </w:rPr>
        <w:t xml:space="preserve">Delete the Author completion checklist (Item 1).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Step 2. </w:t>
      </w:r>
      <w:r>
        <w:rPr>
          <w:rFonts w:ascii="Times New Roman" w:cs="Times New Roman" w:eastAsia="SimSun" w:hAnsi="Times New Roman"/>
          <w:sz w:val="24"/>
          <w:szCs w:val="24"/>
        </w:rPr>
        <w:t xml:space="preserve">Regenerate the Table of Contents, List of Figures and List of Tables as fields (Item 2); verify chapter-level arabic page numbers and the spot-checks listed there.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Step 3. </w:t>
      </w:r>
      <w:r>
        <w:rPr>
          <w:rFonts w:ascii="Times New Roman" w:cs="Times New Roman" w:eastAsia="SimSun" w:hAnsi="Times New Roman"/>
          <w:sz w:val="24"/>
          <w:szCs w:val="24"/>
        </w:rPr>
        <w:t xml:space="preserve">Sign and date the Certificate of Originality (Item 3).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Step 4. </w:t>
      </w:r>
      <w:r>
        <w:rPr>
          <w:rFonts w:ascii="Times New Roman" w:cs="Times New Roman" w:eastAsia="SimSun" w:hAnsi="Times New Roman"/>
          <w:sz w:val="24"/>
          <w:szCs w:val="24"/>
        </w:rPr>
        <w:t xml:space="preserve">Final mechanical sweep: search for 'completion checklist', 'AUTHOR INPUT NEEDED', 'V4'–'V6' version tokens and 's8.' — zero hits expected for each.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Step 5. </w:t>
      </w:r>
      <w:r>
        <w:rPr>
          <w:rFonts w:ascii="Times New Roman" w:cs="Times New Roman" w:eastAsia="SimSun" w:hAnsi="Times New Roman"/>
          <w:sz w:val="24"/>
          <w:szCs w:val="24"/>
        </w:rPr>
        <w:t xml:space="preserve">Export the final PDF and read the front matter, the contents pages and the last page of Appendix I once, end to end. Nothing in this schedule should survive that read.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When Steps 1–5 are complete and the Section 4 closures are verified by the convenor, the thesis is, in this examiner's judgement, ready for acceptance. The programme's honesty about its own record — hard-won across V66 to V68 — is itself part of what the degree examines, and the candidate should be proud of the final document.</w:t>
      </w:r>
    </w:p>
    <w:p>
      <w:pPr>
        <w:spacing w:before="400"/>
        <w:jc w:val="center"/>
      </w:pPr>
      <w:r>
        <w:rPr>
          <w:rFonts w:ascii="Times New Roman" w:cs="Times New Roman" w:eastAsia="SimSun" w:hAnsi="Times New Roman"/>
          <w:i/>
          <w:iCs/>
          <w:color w:val="7A8896"/>
          <w:sz w:val="24"/>
          <w:szCs w:val="24"/>
        </w:rPr>
        <w:t xml:space="preserve">— End of schedule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b/>
        <w:bCs/>
        <w:color w:val="34506B"/>
        <w:sz w:val="18"/>
        <w:szCs w:val="18"/>
      </w:rPr>
      <w:t xml:space="preserve">Closing Comment Schedule — EngD Thesis V68 (S. K. T. Tam, October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2026-10-03T00:09:42.783Z</dcterms:created>
  <dcterms:modified xsi:type="dcterms:W3CDTF">2026-10-03T00:09:42.783Z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