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Times New Roman" w:cs="Times New Roman" w:eastAsia="SimSun" w:hAnsi="Times New Roman"/>
          <w:b/>
          <w:bCs/>
          <w:color w:val="34506B"/>
          <w:sz w:val="24"/>
          <w:szCs w:val="24"/>
        </w:rPr>
        <w:t xml:space="preserve">THE HONG KONG POLYTECHNIC UNIVERSITY</w:t>
      </w:r>
    </w:p>
    <w:p>
      <w:pPr>
        <w:spacing w:after="300"/>
        <w:jc w:val="center"/>
      </w:pPr>
      <w:r>
        <w:rPr>
          <w:rFonts w:ascii="Times New Roman" w:cs="Times New Roman" w:eastAsia="SimSun" w:hAnsi="Times New Roman"/>
          <w:color w:val="34506B"/>
          <w:sz w:val="22"/>
          <w:szCs w:val="22"/>
        </w:rPr>
        <w:t xml:space="preserve">Department of Industrial and Systems Engineering</w:t>
      </w:r>
    </w:p>
    <w:p>
      <w:pPr>
        <w:pStyle w:val="Title"/>
        <w:spacing w:after="120"/>
        <w:jc w:val="center"/>
      </w:pPr>
      <w:r>
        <w:rPr>
          <w:rFonts w:ascii="Times New Roman" w:cs="Times New Roman" w:eastAsia="SimSun" w:hAnsi="Times New Roman"/>
          <w:b/>
          <w:bCs/>
          <w:color w:val="1F2A36"/>
          <w:sz w:val="40"/>
          <w:szCs w:val="40"/>
        </w:rPr>
        <w:t xml:space="preserve">Examiner's Review Report — Second Examination</w:t>
      </w:r>
    </w:p>
    <w:p>
      <w:pPr>
        <w:spacing w:after="300"/>
        <w:jc w:val="center"/>
      </w:pPr>
      <w:r>
        <w:rPr>
          <w:rFonts w:ascii="Times New Roman" w:cs="Times New Roman" w:eastAsia="SimSun" w:hAnsi="Times New Roman"/>
          <w:color w:val="1F2A36"/>
          <w:sz w:val="24"/>
          <w:szCs w:val="24"/>
        </w:rPr>
        <w:t xml:space="preserve">Doctor of Engineering (EngD) Thesis — Review of the Revised Submission (V68)</w:t>
      </w:r>
    </w:p>
    <w:p>
      <w:pPr>
        <w:spacing w:after="60"/>
        <w:jc w:val="center"/>
      </w:pPr>
      <w:r>
        <w:rPr>
          <w:rFonts w:ascii="Times New Roman" w:cs="Times New Roman" w:eastAsia="SimSun" w:hAnsi="Times New Roman"/>
          <w:i/>
          <w:iCs/>
          <w:sz w:val="24"/>
          <w:szCs w:val="24"/>
        </w:rPr>
        <w:t xml:space="preserve">Thesis: Gamification as Proactive Approach for Continuous Improvement and Innovation Enhancement</w:t>
      </w:r>
    </w:p>
    <w:p>
      <w:pPr>
        <w:spacing w:after="60"/>
        <w:jc w:val="center"/>
      </w:pPr>
      <w:r>
        <w:rPr>
          <w:rFonts w:ascii="Times New Roman" w:cs="Times New Roman" w:eastAsia="SimSun" w:hAnsi="Times New Roman"/>
          <w:sz w:val="24"/>
          <w:szCs w:val="24"/>
        </w:rPr>
        <w:t xml:space="preserve">Candidate: Sidney K. T. Tam</w:t>
      </w:r>
    </w:p>
    <w:p>
      <w:pPr>
        <w:spacing w:after="60"/>
        <w:jc w:val="center"/>
      </w:pPr>
      <w:r>
        <w:rPr>
          <w:rFonts w:ascii="Times New Roman" w:cs="Times New Roman" w:eastAsia="SimSun" w:hAnsi="Times New Roman"/>
          <w:sz w:val="24"/>
          <w:szCs w:val="24"/>
        </w:rPr>
        <w:t xml:space="preserve">Document reviewed: Full_V68_EngD_Thesis_Submission_Draft.docx (October 2026; nine chapters, Appendices A–I)</w:t>
      </w:r>
    </w:p>
    <w:p>
      <w:pPr>
        <w:spacing w:after="420"/>
        <w:jc w:val="center"/>
      </w:pPr>
      <w:r>
        <w:rPr>
          <w:rFonts w:ascii="Times New Roman" w:cs="Times New Roman" w:eastAsia="SimSun" w:hAnsi="Times New Roman"/>
          <w:sz w:val="24"/>
          <w:szCs w:val="24"/>
        </w:rPr>
        <w:t xml:space="preserve">Report date: 3 October 2026. This report follows, and should be read with, the Examiner's Review Report of 2 October 2026 on submission V66.</w:t>
      </w:r>
    </w:p>
    <w:p>
      <w:pPr>
        <w:pStyle w:val="Heading1"/>
        <w:spacing w:after="120" w:before="120"/>
      </w:pPr>
      <w:r>
        <w:rPr>
          <w:rFonts w:ascii="Times New Roman" w:cs="Times New Roman" w:eastAsia="SimSun" w:hAnsi="Times New Roman"/>
          <w:b/>
          <w:bCs/>
          <w:color w:val="1F2A36"/>
          <w:sz w:val="26"/>
          <w:szCs w:val="26"/>
        </w:rPr>
        <w:t xml:space="preserve">Contents</w:t>
      </w:r>
    </w:p>
    <w:p>
      <w:pPr>
        <w:spacing w:after="160" w:line="300"/>
      </w:pPr>
      <w:r>
        <w:rPr>
          <w:rFonts w:ascii="Times New Roman" w:cs="Times New Roman" w:eastAsia="SimSun" w:hAnsi="Times New Roman"/>
          <w:i/>
          <w:iCs/>
          <w:color w:val="7A8896"/>
          <w:sz w:val="20"/>
          <w:szCs w:val="20"/>
        </w:rPr>
        <w:t xml:space="preserve">Right-click the table and choose Update Field to refresh page numbers.</w:t>
      </w:r>
    </w:p>
    <w:sdt xmlns:w="http://schemas.openxmlformats.org/wordprocessingml/2006/main">
      <w:sdtPr>
        <w:alias w:val="Contents"/>
      </w:sdtPr>
      <w:sdtContent>
        <w:p>
          <w:r>
            <w:fldChar w:fldCharType="begin" w:dirty="true"/>
            <w:instrText xml:space="preserve"> TOC \o "1-3" \h \z \u </w:instrText>
            <w:fldChar w:fldCharType="separate"/>
          </w:r>
        </w:p>
        <w:p>
          <w:pPr>
            <w:pStyle w:val="TOC1"/>
            <w:tabs>
              <w:tab w:val="right" w:leader="dot" w:pos="9000"/>
            </w:tabs>
            <w:ind w:left="0"/>
          </w:pPr>
          <w:r>
            <w:t>1. Scope of This Second Examination</w:t>
          </w:r>
          <w:r>
            <w:tab/>
          </w:r>
          <w:r>
            <w:t>2</w:t>
          </w:r>
        </w:p>
        <w:p>
          <w:pPr>
            <w:pStyle w:val="TOC1"/>
            <w:tabs>
              <w:tab w:val="right" w:leader="dot" w:pos="9000"/>
            </w:tabs>
            <w:ind w:left="0"/>
          </w:pPr>
          <w:r>
            <w:t>2. Overall Assessment and Revised Recommendation</w:t>
          </w:r>
          <w:r>
            <w:tab/>
          </w:r>
          <w:r>
            <w:t>2</w:t>
          </w:r>
        </w:p>
        <w:p>
          <w:pPr>
            <w:pStyle w:val="TOC1"/>
            <w:tabs>
              <w:tab w:val="right" w:leader="dot" w:pos="9000"/>
            </w:tabs>
            <w:ind w:left="0"/>
          </w:pPr>
          <w:r>
            <w:t>3. Verification of the V66 Required Amendments</w:t>
          </w:r>
          <w:r>
            <w:tab/>
          </w:r>
          <w:r>
            <w:t>3</w:t>
          </w:r>
        </w:p>
        <w:p>
          <w:pPr>
            <w:pStyle w:val="TOC2"/>
            <w:tabs>
              <w:tab w:val="right" w:leader="dot" w:pos="9000"/>
            </w:tabs>
            <w:ind w:left="360"/>
          </w:pPr>
          <w:r>
            <w:t>3.1 Gate A — Ethics, Consent and Governance</w:t>
          </w:r>
          <w:r>
            <w:tab/>
          </w:r>
          <w:r>
            <w:t>3</w:t>
          </w:r>
        </w:p>
        <w:p>
          <w:pPr>
            <w:pStyle w:val="TOC2"/>
            <w:tabs>
              <w:tab w:val="right" w:leader="dot" w:pos="9000"/>
            </w:tabs>
            <w:ind w:left="360"/>
          </w:pPr>
          <w:r>
            <w:t>3.2 Gate B — Data Integrity and Evidential Framing</w:t>
          </w:r>
          <w:r>
            <w:tab/>
          </w:r>
          <w:r>
            <w:t>3</w:t>
          </w:r>
        </w:p>
        <w:p>
          <w:pPr>
            <w:pStyle w:val="TOC2"/>
            <w:tabs>
              <w:tab w:val="right" w:leader="dot" w:pos="9000"/>
            </w:tabs>
            <w:ind w:left="360"/>
          </w:pPr>
          <w:r>
            <w:t>3.3 Gate C — Editorial and Production Matters</w:t>
          </w:r>
          <w:r>
            <w:tab/>
          </w:r>
          <w:r>
            <w:t>4</w:t>
          </w:r>
        </w:p>
        <w:p>
          <w:pPr>
            <w:pStyle w:val="TOC1"/>
            <w:tabs>
              <w:tab w:val="right" w:leader="dot" w:pos="9000"/>
            </w:tabs>
            <w:ind w:left="0"/>
          </w:pPr>
          <w:r>
            <w:t>4. Appraisal of Material New to V68</w:t>
          </w:r>
          <w:r>
            <w:tab/>
          </w:r>
          <w:r>
            <w:t>5</w:t>
          </w:r>
        </w:p>
        <w:p>
          <w:pPr>
            <w:pStyle w:val="TOC1"/>
            <w:tabs>
              <w:tab w:val="right" w:leader="dot" w:pos="9000"/>
            </w:tabs>
            <w:ind w:left="0"/>
          </w:pPr>
          <w:r>
            <w:t>5. Items Still Blocking Final Submission</w:t>
          </w:r>
          <w:r>
            <w:tab/>
          </w:r>
          <w:r>
            <w:t>5</w:t>
          </w:r>
        </w:p>
        <w:p>
          <w:pPr>
            <w:pStyle w:val="TOC1"/>
            <w:tabs>
              <w:tab w:val="right" w:leader="dot" w:pos="9000"/>
            </w:tabs>
            <w:ind w:left="0"/>
          </w:pPr>
          <w:r>
            <w:t>6. Institutional Items Outside the Thesis Text</w:t>
          </w:r>
          <w:r>
            <w:tab/>
          </w:r>
          <w:r>
            <w:t>6</w:t>
          </w:r>
        </w:p>
        <w:p>
          <w:pPr>
            <w:pStyle w:val="TOC1"/>
            <w:tabs>
              <w:tab w:val="right" w:leader="dot" w:pos="9000"/>
            </w:tabs>
            <w:ind w:left="0"/>
          </w:pPr>
          <w:r>
            <w:t>7. Minor Observations (Non-Blocking)</w:t>
          </w:r>
          <w:r>
            <w:tab/>
          </w:r>
          <w:r>
            <w:t>6</w:t>
          </w:r>
        </w:p>
        <w:p>
          <w:pPr>
            <w:pStyle w:val="TOC1"/>
            <w:tabs>
              <w:tab w:val="right" w:leader="dot" w:pos="9000"/>
            </w:tabs>
            <w:ind w:left="0"/>
          </w:pPr>
          <w:r>
            <w:t>8. Formal Recommendation</w:t>
          </w:r>
          <w:r>
            <w:tab/>
          </w:r>
          <w:r>
            <w:t>7</w:t>
          </w:r>
        </w:p>
        <w:p>
          <w:r>
            <w:fldChar w:fldCharType="end"/>
          </w:r>
        </w:p>
      </w:sdtContent>
    </w:sdt>
    <w:p>
      <w:pPr>
        <w:pStyle w:val="Heading1"/>
        <w:spacing w:after="140" w:before="280"/>
      </w:pPr>
      <w:r>
        <w:rPr>
          <w:rFonts w:ascii="Times New Roman" w:cs="Times New Roman" w:eastAsia="SimSun" w:hAnsi="Times New Roman"/>
          <w:b/>
          <w:bCs/>
          <w:color w:val="1F2A36"/>
          <w:sz w:val="30"/>
          <w:szCs w:val="30"/>
        </w:rPr>
        <w:t xml:space="preserve">1. Scope of This Second Examination</w:t>
      </w:r>
    </w:p>
    <w:p>
      <w:pPr>
        <w:spacing w:after="160" w:line="300"/>
        <w:ind w:firstLine="475"/>
      </w:pPr>
      <w:r>
        <w:rPr>
          <w:rFonts w:ascii="Times New Roman" w:cs="Times New Roman" w:eastAsia="SimSun" w:hAnsi="Times New Roman"/>
          <w:sz w:val="24"/>
          <w:szCs w:val="24"/>
        </w:rPr>
        <w:t xml:space="preserve">This report records my second examination of the candidate's thesis, following the revised submission (V68) received after my report of 2 October 2026 on V66. Its purpose is narrower than the first: to verify, item by item, whether the required amendments set out in that report have been made; to appraise the material added in the revision; and to state what, if anything, still stands between this document and a submittable thesis. Every section of V68 was re-read in full; the verification reported in Section 3 is based on direct checking of the revised text, its appendices and its front matter, not on the author's own account of the changes.</w:t>
      </w:r>
    </w:p>
    <w:p>
      <w:pPr>
        <w:spacing w:after="160" w:line="300"/>
        <w:ind w:firstLine="475"/>
      </w:pPr>
      <w:r>
        <w:rPr>
          <w:rFonts w:ascii="Times New Roman" w:cs="Times New Roman" w:eastAsia="SimSun" w:hAnsi="Times New Roman"/>
          <w:sz w:val="24"/>
          <w:szCs w:val="24"/>
        </w:rPr>
        <w:t xml:space="preserve">A companion document — the Closing Comment Schedule — lists the three remaining production items in actionable form and is intended to be the last such schedule needed.</w:t>
      </w:r>
    </w:p>
    <w:p>
      <w:pPr>
        <w:pStyle w:val="Heading1"/>
        <w:spacing w:after="140" w:before="280"/>
      </w:pPr>
      <w:r>
        <w:rPr>
          <w:rFonts w:ascii="Times New Roman" w:cs="Times New Roman" w:eastAsia="SimSun" w:hAnsi="Times New Roman"/>
          <w:b/>
          <w:bCs/>
          <w:color w:val="1F2A36"/>
          <w:sz w:val="30"/>
          <w:szCs w:val="30"/>
        </w:rPr>
        <w:t xml:space="preserve">2. Overall Assessment and Revised Recommendation</w:t>
      </w:r>
    </w:p>
    <w:p>
      <w:pPr>
        <w:spacing w:after="160" w:line="300"/>
        <w:ind w:firstLine="475"/>
      </w:pPr>
      <w:r>
        <w:rPr>
          <w:rFonts w:ascii="Times New Roman" w:cs="Times New Roman" w:eastAsia="SimSun" w:hAnsi="Times New Roman"/>
          <w:sz w:val="24"/>
          <w:szCs w:val="24"/>
        </w:rPr>
        <w:t xml:space="preserve">V68 is a substantial and genuinely responsive revision. Its defining virtue is a change of evidential posture: where the record cannot be produced, the thesis now says so exactly, and states the consequences for the claims that depend on it, instead of asserting compliance it cannot evidence. Section 3.4 no longer reads as a defence; it reads as an institutional record. Appendix G no longer gestures at provenance; it inventories it. The abstract, the contribution chapters and the statistical reporting now carry their own limits. This is precisely the conversion the V66 report asked for, and it has been executed with unusual thoroughness and candour.</w:t>
      </w:r>
    </w:p>
    <w:p>
      <w:pPr>
        <w:spacing w:after="160" w:line="300"/>
        <w:ind w:firstLine="475"/>
      </w:pPr>
      <w:r>
        <w:rPr>
          <w:rFonts w:ascii="Times New Roman" w:cs="Times New Roman" w:eastAsia="SimSun" w:hAnsi="Times New Roman"/>
          <w:sz w:val="24"/>
          <w:szCs w:val="24"/>
        </w:rPr>
        <w:t xml:space="preserve">My recommendation therefore changes. In place of "major revision blocking submission", I now record the thesis as acceptable in substance, subject to (i) a short final production pass of three mechanical items, all within the author's control and none requiring further examiner review, and (ii) two institutional determinations that sit with the Departmental Research Committee and the Chief Supervisor, not with the candidate's text. Provided those close as stated, I see no need for a further round of substantive examination.</w:t>
      </w:r>
    </w:p>
    <w:p>
      <w:pPr>
        <w:spacing w:after="160" w:line="300"/>
      </w:pPr>
      <w:r>
        <w:rPr>
          <w:rFonts w:ascii="Times New Roman" w:cs="Times New Roman" w:eastAsia="SimSun" w:hAnsi="Times New Roman"/>
          <w:i/>
          <w:iCs/>
          <w:color w:val="34506B"/>
          <w:sz w:val="24"/>
          <w:szCs w:val="24"/>
        </w:rPr>
        <w:t xml:space="preserve">In one sentence: the candidate has done everything the text can do; what remains is a final production pass and the closing of an institutional record the thesis now describes honestly.</w:t>
      </w:r>
    </w:p>
    <w:p>
      <w:pPr>
        <w:pStyle w:val="Heading1"/>
        <w:spacing w:after="140" w:before="280"/>
      </w:pPr>
      <w:r>
        <w:rPr>
          <w:rFonts w:ascii="Times New Roman" w:cs="Times New Roman" w:eastAsia="SimSun" w:hAnsi="Times New Roman"/>
          <w:b/>
          <w:bCs/>
          <w:color w:val="1F2A36"/>
          <w:sz w:val="30"/>
          <w:szCs w:val="30"/>
        </w:rPr>
        <w:t xml:space="preserve">3. Verification of the V66 Required Amendments</w:t>
      </w:r>
    </w:p>
    <w:p>
      <w:pPr>
        <w:spacing w:after="160" w:line="300"/>
        <w:ind w:firstLine="475"/>
      </w:pPr>
      <w:r>
        <w:rPr>
          <w:rFonts w:ascii="Times New Roman" w:cs="Times New Roman" w:eastAsia="SimSun" w:hAnsi="Times New Roman"/>
          <w:sz w:val="24"/>
          <w:szCs w:val="24"/>
        </w:rPr>
        <w:t xml:space="preserve">Each amendment required in the V66 report is listed below with its verified status in V68. "Closed" means I located the change in the document and judge it sufficient; no item is marked closed on the author's say-so.</w:t>
      </w:r>
    </w:p>
    <w:p>
      <w:pPr>
        <w:pStyle w:val="Heading2"/>
        <w:spacing w:after="120" w:before="220"/>
      </w:pPr>
      <w:r>
        <w:rPr>
          <w:rFonts w:ascii="Times New Roman" w:cs="Times New Roman" w:eastAsia="SimSun" w:hAnsi="Times New Roman"/>
          <w:b/>
          <w:bCs/>
          <w:color w:val="34506B"/>
          <w:sz w:val="26"/>
          <w:szCs w:val="26"/>
        </w:rPr>
        <w:t xml:space="preserve">3.1 Gate A — Ethics, Consent and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c>
          <w:tcPr>
            <w:tcW w:type="dxa" w:w="15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V66 requirement</w:t>
            </w:r>
          </w:p>
        </w:tc>
        <w:tc>
          <w:tcPr>
            <w:tcW w:type="dxa" w:w="5026"/>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What V68 does</w:t>
            </w:r>
          </w:p>
        </w:tc>
        <w:tc>
          <w:tcPr>
            <w:tcW w:type="dxa" w:w="25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Status</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State the ethics record exactly, including the retrospective approval and the open Stage-3B scope question</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§3.4 now states application HSEARS20260805008 by name: approved 6 August 2026 by the Departmental Research Committee on behalf of the PolyU IRB, approval period 16 June 2024 – 30 October 2026, spanning every stage window. The Stage-3B scope question is recorded as an open item pending determination (§3.4; Appendix I.7); an itemised institutional determination on the consent arrangements has been requested through the Principal Investigator and is reported as not yet on file.</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 (text); see Section 6 for the institutional residue</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Stage-2 incomplete disclosure and retrospective consent: present honestly, with the dropout cohort's status</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§3.4 presents the incomplete disclosure as integral to the design with its rationale stated; retrospective written consent from the sustained participants only, with the 21 dropouts' non-consent stated plainly; limitations examined in §8.7.</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Stage-3 implied consent and unretained returns documented as limitations</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§3.4 states the implied-consent procedure as operated, notes the invitation on file is a 4 August 2026 reconstruction, and records that acceptance of implied consent on this documentation is a matter for the Committee, with no determination on file at the cut-off.</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 (text)</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Expert consultations: consent artefacts, chronology and attribution on record</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Appendix H now carries full records (H.1–H.8) with dated consent instruments and disclosed chronology, including the cases where consent post-dated the consultation (Dr Lau; Expert P dual-dated); member-check status stated for each; the second Lau consultation and the doctoral researcher handled with appropriate elections.</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bl>
    <w:p>
      <w:pPr>
        <w:spacing w:after="160" w:line="300"/>
      </w:pPr>
      <w:r>
        <w:rPr>
          <w:rFonts w:ascii="Times New Roman" w:cs="Times New Roman" w:eastAsia="SimSun" w:hAnsi="Times New Roman"/>
          <w:sz w:val="24"/>
          <w:szCs w:val="24"/>
        </w:rPr>
        <w:t xml:space="preserve"/>
      </w:r>
    </w:p>
    <w:p>
      <w:pPr>
        <w:pStyle w:val="Heading2"/>
        <w:spacing w:after="120" w:before="220"/>
      </w:pPr>
      <w:r>
        <w:rPr>
          <w:rFonts w:ascii="Times New Roman" w:cs="Times New Roman" w:eastAsia="SimSun" w:hAnsi="Times New Roman"/>
          <w:b/>
          <w:bCs/>
          <w:color w:val="34506B"/>
          <w:sz w:val="26"/>
          <w:szCs w:val="26"/>
        </w:rPr>
        <w:t xml:space="preserve">3.2 Gate B — Data Integrity and Evidential Framing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c>
          <w:tcPr>
            <w:tcW w:type="dxa" w:w="15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V66 requirement</w:t>
            </w:r>
          </w:p>
        </w:tc>
        <w:tc>
          <w:tcPr>
            <w:tcW w:type="dxa" w:w="5026"/>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What V68 does</w:t>
            </w:r>
          </w:p>
        </w:tc>
        <w:tc>
          <w:tcPr>
            <w:tcW w:type="dxa" w:w="25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Status</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Replace the G.0 / G.0A manifest stubs with real content; reconcile or quarantine the Stage-3 raw import sheet</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G.0 (source-to-result manifest) and G.0A (build-lineage matrix) are compiled, dated 2 October 2026, with explicit status vocabulary ('not deposited' / 'not retained'). G.3 explains the quarantined raw import sheet, its provenance, and its exclusion; the summary's only checks are stated.</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Stage-1 limits: unverifiable conditional figures and the withdrawn age range</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G.1 states the response file is not archived; Table 4.1's caption carries the limit; §4.2 explicitly withdraws the 65–88 age range as a reporting error inherited from working documents and claims no age range; the abstract carries the provenance limit ('aggregate record; the response file is not archived').</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Stage-2 provenance conflict (satisfaction instrument; symptom entries; S2-P015)</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Resolved via the Stage-2 ID register (received 11 September 2026): satisfaction is participant-reported via the after-game paper questionnaire (completed sheets not held — stated); symptom variables are therapist-observed, researcher-compiled. S2-P015 is flagged as the failed-verification record consistently across §5.5, Table 5.2, the figures and Appendix G, with a sensitivity note.</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Internal consistency of the F4 joint count (§5.5 vs §8.3)</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Both sections now report three of the eight single-session participants with recorded score increase and no reported symptom improvement, two of seven excluding S2-P015. Verified consistent.</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Withdrawn statistics must not stand as results</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The pooled (d = 0.78) and zero-imputation (d = 0.57) estimates, the survival-model row and the odds ratio of 31.5 now appear only as withdrawn, with reasons, in §5.5 and Table 6.5's notes.</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Abstract length and provenance; publications list; positive statement of contribution</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Abstract is 457 words (within the 500-word ceiling) and carries the Stage-1 provenance limit. A Publications and Outputs section lists three companion manuscripts with their statuses. §9.7 adds the requested positive statement: four concrete things an engineering team has that it did not have before, with demonstrated and proposed contributions cleanly separated.</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bl>
    <w:p>
      <w:pPr>
        <w:spacing w:after="160" w:line="300"/>
      </w:pPr>
      <w:r>
        <w:rPr>
          <w:rFonts w:ascii="Times New Roman" w:cs="Times New Roman" w:eastAsia="SimSun" w:hAnsi="Times New Roman"/>
          <w:sz w:val="24"/>
          <w:szCs w:val="24"/>
        </w:rPr>
        <w:t xml:space="preserve"/>
      </w:r>
    </w:p>
    <w:p>
      <w:pPr>
        <w:pStyle w:val="Heading2"/>
        <w:spacing w:after="120" w:before="220"/>
      </w:pPr>
      <w:r>
        <w:rPr>
          <w:rFonts w:ascii="Times New Roman" w:cs="Times New Roman" w:eastAsia="SimSun" w:hAnsi="Times New Roman"/>
          <w:b/>
          <w:bCs/>
          <w:color w:val="34506B"/>
          <w:sz w:val="26"/>
          <w:szCs w:val="26"/>
        </w:rPr>
        <w:t xml:space="preserve">3.3 Gate C — Editorial and Production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c>
          <w:tcPr>
            <w:tcW w:type="dxa" w:w="15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V66 requirement</w:t>
            </w:r>
          </w:p>
        </w:tc>
        <w:tc>
          <w:tcPr>
            <w:tcW w:type="dxa" w:w="5026"/>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What V68 does</w:t>
            </w:r>
          </w:p>
        </w:tc>
        <w:tc>
          <w:tcPr>
            <w:tcW w:type="dxa" w:w="25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Status</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Remove all AUTHOR INPUT NEEDED stubs (§6.12, G.0, G.0A, H.6, H.7)</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Zero occurrences remain; every stub location now carries substantive content (§6.12 is a full panel analysis; Appendix H carries the consultation records).</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Repair broken cross-references '(s8.7, s8.8)' in §4.1A</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Repaired; no occurrences of the broken token remain.</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Figure 1.1 alt text ('V39 revised conceptual figure…'); alt text generally</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All 20 image descriptions in the file are now proper caption sentences; the internal version reference is gone.</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Figure 8.1 captioned in Chapter 7; Figure numbering</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Figure 8.1 is renumbered 7.3 (and 9.2 to 9.1); the List of Figures is updated accordingly; no main-text reference to 'Figure 8.1' remains.</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Future-dated cut-off (15 October 2026)</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The thesis record is closed at 30 September 2026 — a past date — by the author's dated decision of 2 October 2026. The remaining '15 October 2026' mentions describe the frozen edition's clean-run window end, a protocol fact, and are legitimate.</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Examiner-referential wording in the main text</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Neutralised (§3.4, §5.6, I.1, I.2, I.7). The only remaining main-text use is 'accessible to examiners' in the data-availability statement, which is standard and proper.</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Closed</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Delete the embedded V42–V66 completion checklist</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Not done. The checklist survives, extended to V68, as a final heading-level section — see Section 5, item 1.</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OPEN — blocking</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Regenerate ToC / List of Figures / List of Tables</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Partially done: §1.2 and the figure/table lists are corrected, but the Chapter 1 and Chapter 2 contents entries still show stale roman numerals ('vii') — see Section 5, item 2.</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OPEN — blocking</w:t>
            </w:r>
          </w:p>
        </w:tc>
      </w:tr>
      <w:tr>
        <w:tc>
          <w:tcPr>
            <w:tcW w:type="dxa" w:w="1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Sign the Certificate of Originality</w:t>
            </w:r>
          </w:p>
        </w:tc>
        <w:tc>
          <w:tcPr>
            <w:tcW w:type="dxa" w:w="50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The signature line remains blank — acceptable for a review draft; required at final submission (Section 5, item 3).</w:t>
            </w:r>
          </w:p>
        </w:tc>
        <w:tc>
          <w:tcPr>
            <w:tcW w:type="dxa" w:w="25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OPEN — at submission</w:t>
            </w:r>
          </w:p>
        </w:tc>
      </w:tr>
    </w:tbl>
    <w:p>
      <w:pPr>
        <w:pStyle w:val="Heading1"/>
        <w:spacing w:after="140" w:before="280"/>
      </w:pPr>
      <w:r>
        <w:rPr>
          <w:rFonts w:ascii="Times New Roman" w:cs="Times New Roman" w:eastAsia="SimSun" w:hAnsi="Times New Roman"/>
          <w:b/>
          <w:bCs/>
          <w:color w:val="1F2A36"/>
          <w:sz w:val="30"/>
          <w:szCs w:val="30"/>
        </w:rPr>
        <w:t xml:space="preserve">4. Appraisal of Material New to V68</w:t>
      </w:r>
    </w:p>
    <w:p>
      <w:pPr>
        <w:spacing w:after="160" w:line="300"/>
        <w:ind w:firstLine="475"/>
      </w:pPr>
      <w:r>
        <w:rPr>
          <w:rFonts w:ascii="Times New Roman" w:cs="Times New Roman" w:eastAsia="SimSun" w:hAnsi="Times New Roman"/>
          <w:sz w:val="24"/>
          <w:szCs w:val="24"/>
        </w:rPr>
        <w:t xml:space="preserve">The revision adds substantive material, and I checked it as new content rather than taking it on trust. None of it introduces a fresh concern:</w:t>
      </w:r>
    </w:p>
    <w:p>
      <w:pPr>
        <w:pStyle w:val="ListParagraph"/>
        <w:numPr>
          <w:ilvl w:val="0"/>
          <w:numId w:val="2"/>
        </w:numPr>
        <w:spacing w:after="100" w:line="300"/>
      </w:pPr>
      <w:r>
        <w:rPr>
          <w:rFonts w:ascii="Times New Roman" w:cs="Times New Roman" w:eastAsia="SimSun" w:hAnsi="Times New Roman"/>
          <w:b/>
          <w:bCs/>
          <w:sz w:val="24"/>
          <w:szCs w:val="24"/>
        </w:rPr>
        <w:t xml:space="preserve">§6.10 (nested-model comparison plan) and §6.11 (consolidated statistics). </w:t>
      </w:r>
      <w:r>
        <w:rPr>
          <w:rFonts w:ascii="Times New Roman" w:cs="Times New Roman" w:eastAsia="SimSun" w:hAnsi="Times New Roman"/>
          <w:sz w:val="24"/>
          <w:szCs w:val="24"/>
        </w:rPr>
        <w:t xml:space="preserve">The three-tier specification, pre-specified predictions and decision-curve plan are a genuine strengthening. The provisional estimates from the existing datasets are framed correctly — "inputs to the specification, not results of the comparison" — and Table 6.5's notes carry an exemplary account of what each interval does and does not quantify.</w:t>
      </w:r>
    </w:p>
    <w:p>
      <w:pPr>
        <w:pStyle w:val="ListParagraph"/>
        <w:numPr>
          <w:ilvl w:val="0"/>
          <w:numId w:val="2"/>
        </w:numPr>
        <w:spacing w:after="100" w:line="300"/>
      </w:pPr>
      <w:r>
        <w:rPr>
          <w:rFonts w:ascii="Times New Roman" w:cs="Times New Roman" w:eastAsia="SimSun" w:hAnsi="Times New Roman"/>
          <w:b/>
          <w:bCs/>
          <w:sz w:val="24"/>
          <w:szCs w:val="24"/>
        </w:rPr>
        <w:t xml:space="preserve">§6.12 (expert consultation panel). </w:t>
      </w:r>
      <w:r>
        <w:rPr>
          <w:rFonts w:ascii="Times New Roman" w:cs="Times New Roman" w:eastAsia="SimSun" w:hAnsi="Times New Roman"/>
          <w:sz w:val="24"/>
          <w:szCs w:val="24"/>
        </w:rPr>
        <w:t xml:space="preserve">Now a substantive analysis recording convergence, divergence and silence, with the panel's limits stated by the author before an examiner can state them: informed interpretive convergence is not independent replication, and expert views are declared not to be evidence for the hypotheses. The second Lau consultation is integrated with appropriate restraint.</w:t>
      </w:r>
    </w:p>
    <w:p>
      <w:pPr>
        <w:pStyle w:val="ListParagraph"/>
        <w:numPr>
          <w:ilvl w:val="0"/>
          <w:numId w:val="2"/>
        </w:numPr>
        <w:spacing w:after="100" w:line="300"/>
      </w:pPr>
      <w:r>
        <w:rPr>
          <w:rFonts w:ascii="Times New Roman" w:cs="Times New Roman" w:eastAsia="SimSun" w:hAnsi="Times New Roman"/>
          <w:b/>
          <w:bCs/>
          <w:sz w:val="24"/>
          <w:szCs w:val="24"/>
        </w:rPr>
        <w:t xml:space="preserve">§6.8A, §8.6B, §9.8B–9.8C. </w:t>
      </w:r>
      <w:r>
        <w:rPr>
          <w:rFonts w:ascii="Times New Roman" w:cs="Times New Roman" w:eastAsia="SimSun" w:hAnsi="Times New Roman"/>
          <w:sz w:val="24"/>
          <w:szCs w:val="24"/>
        </w:rPr>
        <w:t xml:space="preserve">The group-dynamics consultation, the three-party decision extension and the bounded AI-evaluation implications are all hedged at the level the evidence supports; I found no overclaim.</w:t>
      </w:r>
    </w:p>
    <w:p>
      <w:pPr>
        <w:pStyle w:val="ListParagraph"/>
        <w:numPr>
          <w:ilvl w:val="0"/>
          <w:numId w:val="2"/>
        </w:numPr>
        <w:spacing w:after="100" w:line="300"/>
      </w:pPr>
      <w:r>
        <w:rPr>
          <w:rFonts w:ascii="Times New Roman" w:cs="Times New Roman" w:eastAsia="SimSun" w:hAnsi="Times New Roman"/>
          <w:b/>
          <w:bCs/>
          <w:sz w:val="24"/>
          <w:szCs w:val="24"/>
        </w:rPr>
        <w:t xml:space="preserve">§8.9 (reproducibility and data availability). </w:t>
      </w:r>
      <w:r>
        <w:rPr>
          <w:rFonts w:ascii="Times New Roman" w:cs="Times New Roman" w:eastAsia="SimSun" w:hAnsi="Times New Roman"/>
          <w:sz w:val="24"/>
          <w:szCs w:val="24"/>
        </w:rPr>
        <w:t xml:space="preserve">The two-register statement (bound / not deposited) with three named material boundaries — the vendor calibration black box, the undeposited AI endpoint configuration, and the exact completeness levels of the instrument documentation — is a model of how an artefact-based EngD thesis should state its reproducibility position.</w:t>
      </w:r>
    </w:p>
    <w:p>
      <w:pPr>
        <w:pStyle w:val="Heading1"/>
        <w:spacing w:after="140" w:before="280"/>
      </w:pPr>
      <w:r>
        <w:rPr>
          <w:rFonts w:ascii="Times New Roman" w:cs="Times New Roman" w:eastAsia="SimSun" w:hAnsi="Times New Roman"/>
          <w:b/>
          <w:bCs/>
          <w:color w:val="1F2A36"/>
          <w:sz w:val="30"/>
          <w:szCs w:val="30"/>
        </w:rPr>
        <w:t xml:space="preserve">5. Items Still Blocking Final Submission</w:t>
      </w:r>
    </w:p>
    <w:p>
      <w:pPr>
        <w:spacing w:after="160" w:line="300"/>
        <w:ind w:firstLine="475"/>
      </w:pPr>
      <w:r>
        <w:rPr>
          <w:rFonts w:ascii="Times New Roman" w:cs="Times New Roman" w:eastAsia="SimSun" w:hAnsi="Times New Roman"/>
          <w:sz w:val="24"/>
          <w:szCs w:val="24"/>
        </w:rPr>
        <w:t xml:space="preserve">Three items remain. All are mechanical, all are within the author's control, and none requires further examiner review once done. They are listed in actionable form in the Closing Comment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26"/>
        <w:gridCol w:w="5000"/>
      </w:tblGrid>
      <w:tr>
        <w:tc>
          <w:tcPr>
            <w:tcW w:type="dxa" w:w="7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w:t>
            </w:r>
          </w:p>
        </w:tc>
        <w:tc>
          <w:tcPr>
            <w:tcW w:type="dxa" w:w="3326"/>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Item</w:t>
            </w:r>
          </w:p>
        </w:tc>
        <w:tc>
          <w:tcPr>
            <w:tcW w:type="dxa" w:w="5000"/>
            <w:shd w:fill="EEF2F5" w:val="clear"/>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Required action</w:t>
            </w:r>
          </w:p>
        </w:tc>
      </w:tr>
      <w:tr>
        <w:tc>
          <w:tcPr>
            <w:tcW w:type="dxa" w:w="7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1</w:t>
            </w:r>
          </w:p>
        </w:tc>
        <w:tc>
          <w:tcPr>
            <w:tcW w:type="dxa" w:w="33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Embedded "Author completion checklist" (V44–V68 version history) still present as a final heading-level section</w:t>
            </w:r>
          </w:p>
        </w:tc>
        <w:tc>
          <w:tcPr>
            <w:tcW w:type="dxa" w:w="50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Delete the entire section before submission. It is an internal working log, and it is now the only place where examiner-referential wording ('examiner review of V66') survives in the document. Its presence would disclose the drafting dialogue with the examiner and is not compatible with a submitted thesis.</w:t>
            </w:r>
          </w:p>
        </w:tc>
      </w:tr>
      <w:tr>
        <w:tc>
          <w:tcPr>
            <w:tcW w:type="dxa" w:w="7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2</w:t>
            </w:r>
          </w:p>
        </w:tc>
        <w:tc>
          <w:tcPr>
            <w:tcW w:type="dxa" w:w="33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Table of Contents not fully regenerated (Chapter 1 and Chapter 2 entries, and early Chapter 2 subsections, still carry the stale roman numeral 'vii')</w:t>
            </w:r>
          </w:p>
        </w:tc>
        <w:tc>
          <w:tcPr>
            <w:tcW w:type="dxa" w:w="50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Regenerate the ToC, List of Figures and List of Tables as the final production step, after item 1, so the deleted section's pages are absorbed; verify every chapter-level entry shows an arabic page number and that I.5's entry is not truncated in the field.</w:t>
            </w:r>
          </w:p>
        </w:tc>
      </w:tr>
      <w:tr>
        <w:tc>
          <w:tcPr>
            <w:tcW w:type="dxa" w:w="7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3</w:t>
            </w:r>
          </w:p>
        </w:tc>
        <w:tc>
          <w:tcPr>
            <w:tcW w:type="dxa" w:w="3326"/>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Certificate of Originality unsigned</w:t>
            </w:r>
          </w:p>
        </w:tc>
        <w:tc>
          <w:tcPr>
            <w:tcW w:type="dxa" w:w="5000"/>
            <w:tcMar>
              <w:top w:type="dxa" w:w="90"/>
              <w:left w:type="dxa" w:w="110"/>
              <w:bottom w:type="dxa" w:w="90"/>
              <w:right w:type="dxa" w:w="110"/>
            </w:tcMar>
          </w:tcPr>
          <w:p>
            <w:pPr>
              <w:spacing w:after="40" w:line="264"/>
            </w:pPr>
            <w:r>
              <w:rPr>
                <w:rFonts w:ascii="Times New Roman" w:cs="Times New Roman" w:eastAsia="SimSun" w:hAnsi="Times New Roman"/>
                <w:sz w:val="20"/>
                <w:szCs w:val="20"/>
              </w:rPr>
              <w:t xml:space="preserve">Sign and date the certificate at final submission.</w:t>
            </w:r>
          </w:p>
        </w:tc>
      </w:tr>
    </w:tbl>
    <w:p>
      <w:pPr>
        <w:pStyle w:val="Heading1"/>
        <w:spacing w:after="140" w:before="280"/>
      </w:pPr>
      <w:r>
        <w:rPr>
          <w:rFonts w:ascii="Times New Roman" w:cs="Times New Roman" w:eastAsia="SimSun" w:hAnsi="Times New Roman"/>
          <w:b/>
          <w:bCs/>
          <w:color w:val="1F2A36"/>
          <w:sz w:val="30"/>
          <w:szCs w:val="30"/>
        </w:rPr>
        <w:t xml:space="preserve">6. Institutional Items Outside the Thesis Text</w:t>
      </w:r>
    </w:p>
    <w:p>
      <w:pPr>
        <w:spacing w:after="160" w:line="300"/>
        <w:ind w:firstLine="475"/>
      </w:pPr>
      <w:r>
        <w:rPr>
          <w:rFonts w:ascii="Times New Roman" w:cs="Times New Roman" w:eastAsia="SimSun" w:hAnsi="Times New Roman"/>
          <w:sz w:val="24"/>
          <w:szCs w:val="24"/>
        </w:rPr>
        <w:t xml:space="preserve">The thesis now records the following as open, which is all the text can do. The record itself must close before the degree can be recommended:</w:t>
      </w:r>
    </w:p>
    <w:p>
      <w:pPr>
        <w:pStyle w:val="ListParagraph"/>
        <w:numPr>
          <w:ilvl w:val="0"/>
          <w:numId w:val="2"/>
        </w:numPr>
        <w:spacing w:after="100" w:line="300"/>
      </w:pPr>
      <w:r>
        <w:rPr>
          <w:rFonts w:ascii="Times New Roman" w:cs="Times New Roman" w:eastAsia="SimSun" w:hAnsi="Times New Roman"/>
          <w:b/>
          <w:bCs/>
          <w:sz w:val="24"/>
          <w:szCs w:val="24"/>
        </w:rPr>
        <w:t xml:space="preserve">Stage-3B scope determination. </w:t>
      </w:r>
      <w:r>
        <w:rPr>
          <w:rFonts w:ascii="Times New Roman" w:cs="Times New Roman" w:eastAsia="SimSun" w:hAnsi="Times New Roman"/>
          <w:sz w:val="24"/>
          <w:szCs w:val="24"/>
        </w:rPr>
        <w:t xml:space="preserve">A determination against the approved protocol (or an amendment) on whether the Stage-3B collection of August–September 2026 falls within the approved scope of HSEARS20260805008, to be placed on the ethics file.</w:t>
      </w:r>
    </w:p>
    <w:p>
      <w:pPr>
        <w:pStyle w:val="ListParagraph"/>
        <w:numPr>
          <w:ilvl w:val="0"/>
          <w:numId w:val="2"/>
        </w:numPr>
        <w:spacing w:after="100" w:line="300"/>
      </w:pPr>
      <w:r>
        <w:rPr>
          <w:rFonts w:ascii="Times New Roman" w:cs="Times New Roman" w:eastAsia="SimSun" w:hAnsi="Times New Roman"/>
          <w:b/>
          <w:bCs/>
          <w:sz w:val="24"/>
          <w:szCs w:val="24"/>
        </w:rPr>
        <w:t xml:space="preserve">Itemised determination on the consent arrangements. </w:t>
      </w:r>
      <w:r>
        <w:rPr>
          <w:rFonts w:ascii="Times New Roman" w:cs="Times New Roman" w:eastAsia="SimSun" w:hAnsi="Times New Roman"/>
          <w:sz w:val="24"/>
          <w:szCs w:val="24"/>
        </w:rPr>
        <w:t xml:space="preserve">The one-page project-level approval memo does not itemise determinations on the individual consent arrangements described in the application; the request made through the Principal Investigator should be pursued to a written outcome and archived.</w:t>
      </w:r>
    </w:p>
    <w:p>
      <w:pPr>
        <w:pStyle w:val="ListParagraph"/>
        <w:numPr>
          <w:ilvl w:val="0"/>
          <w:numId w:val="2"/>
        </w:numPr>
        <w:spacing w:after="100" w:line="300"/>
      </w:pPr>
      <w:r>
        <w:rPr>
          <w:rFonts w:ascii="Times New Roman" w:cs="Times New Roman" w:eastAsia="SimSun" w:hAnsi="Times New Roman"/>
          <w:b/>
          <w:bCs/>
          <w:sz w:val="24"/>
          <w:szCs w:val="24"/>
        </w:rPr>
        <w:t xml:space="preserve">Chief Supervisor's Stage-3B protocol sign-off. </w:t>
      </w:r>
      <w:r>
        <w:rPr>
          <w:rFonts w:ascii="Times New Roman" w:cs="Times New Roman" w:eastAsia="SimSun" w:hAnsi="Times New Roman"/>
          <w:sz w:val="24"/>
          <w:szCs w:val="24"/>
        </w:rPr>
        <w:t xml:space="preserve">Recorded in Appendix I.7 as not closed; the sign-off (or a documented decision) should be obtained and filed.</w:t>
      </w:r>
    </w:p>
    <w:p>
      <w:pPr>
        <w:spacing w:after="160" w:line="300"/>
        <w:ind w:firstLine="475"/>
      </w:pPr>
      <w:r>
        <w:rPr>
          <w:rFonts w:ascii="Times New Roman" w:cs="Times New Roman" w:eastAsia="SimSun" w:hAnsi="Times New Roman"/>
          <w:sz w:val="24"/>
          <w:szCs w:val="24"/>
        </w:rPr>
        <w:t xml:space="preserve">These are matters for the Committee and the supervision team, not grounds for further revision of the text. I ask only that the convenor verify them at final acceptance.</w:t>
      </w:r>
    </w:p>
    <w:p>
      <w:pPr>
        <w:pStyle w:val="Heading1"/>
        <w:spacing w:after="140" w:before="280"/>
      </w:pPr>
      <w:r>
        <w:rPr>
          <w:rFonts w:ascii="Times New Roman" w:cs="Times New Roman" w:eastAsia="SimSun" w:hAnsi="Times New Roman"/>
          <w:b/>
          <w:bCs/>
          <w:color w:val="1F2A36"/>
          <w:sz w:val="30"/>
          <w:szCs w:val="30"/>
        </w:rPr>
        <w:t xml:space="preserve">7. Minor Observations (Non-Blocking)</w:t>
      </w:r>
    </w:p>
    <w:p>
      <w:pPr>
        <w:pStyle w:val="ListParagraph"/>
        <w:numPr>
          <w:ilvl w:val="0"/>
          <w:numId w:val="2"/>
        </w:numPr>
        <w:spacing w:after="100" w:line="300"/>
      </w:pPr>
      <w:r>
        <w:rPr>
          <w:rFonts w:ascii="Times New Roman" w:cs="Times New Roman" w:eastAsia="SimSun" w:hAnsi="Times New Roman"/>
          <w:b/>
          <w:bCs/>
          <w:sz w:val="24"/>
          <w:szCs w:val="24"/>
        </w:rPr>
        <w:t xml:space="preserve">Member-checks H.6/H.7. </w:t>
      </w:r>
      <w:r>
        <w:rPr>
          <w:rFonts w:ascii="Times New Roman" w:cs="Times New Roman" w:eastAsia="SimSun" w:hAnsi="Times New Roman"/>
          <w:sz w:val="24"/>
          <w:szCs w:val="24"/>
        </w:rPr>
        <w:t xml:space="preserve">Not returned by the cut-off and disclosed as such — acceptable. If responses arrive before submission, incorporate them and adjust the record sentences accordingly.</w:t>
      </w:r>
    </w:p>
    <w:p>
      <w:pPr>
        <w:pStyle w:val="ListParagraph"/>
        <w:numPr>
          <w:ilvl w:val="0"/>
          <w:numId w:val="2"/>
        </w:numPr>
        <w:spacing w:after="100" w:line="300"/>
      </w:pPr>
      <w:r>
        <w:rPr>
          <w:rFonts w:ascii="Times New Roman" w:cs="Times New Roman" w:eastAsia="SimSun" w:hAnsi="Times New Roman"/>
          <w:b/>
          <w:bCs/>
          <w:sz w:val="24"/>
          <w:szCs w:val="24"/>
        </w:rPr>
        <w:t xml:space="preserve">Item G.14 (game-state specification workbook). </w:t>
      </w:r>
      <w:r>
        <w:rPr>
          <w:rFonts w:ascii="Times New Roman" w:cs="Times New Roman" w:eastAsia="SimSun" w:hAnsi="Times New Roman"/>
          <w:sz w:val="24"/>
          <w:szCs w:val="24"/>
        </w:rPr>
        <w:t xml:space="preserve">Not deposited, with 'no claim rests on it' stated. Since Table 5.0 is extracted from this workbook, depositing it (even under restricted access) would strengthen the artefact-based contribution claim; the present framing is nonetheless defensible.</w:t>
      </w:r>
    </w:p>
    <w:p>
      <w:pPr>
        <w:pStyle w:val="ListParagraph"/>
        <w:numPr>
          <w:ilvl w:val="0"/>
          <w:numId w:val="2"/>
        </w:numPr>
        <w:spacing w:after="100" w:line="300"/>
      </w:pPr>
      <w:r>
        <w:rPr>
          <w:rFonts w:ascii="Times New Roman" w:cs="Times New Roman" w:eastAsia="SimSun" w:hAnsi="Times New Roman"/>
          <w:b/>
          <w:bCs/>
          <w:sz w:val="24"/>
          <w:szCs w:val="24"/>
        </w:rPr>
        <w:t xml:space="preserve">Stage-3B Pro self-test derived workbooks. </w:t>
      </w:r>
      <w:r>
        <w:rPr>
          <w:rFonts w:ascii="Times New Roman" w:cs="Times New Roman" w:eastAsia="SimSun" w:hAnsi="Times New Roman"/>
          <w:sz w:val="24"/>
          <w:szCs w:val="24"/>
        </w:rPr>
        <w:t xml:space="preserve">The derived workbooks and extraction scripts named in the two archived reports are not deposited (I.7). If the Pro line is developed in future publications, these will be wanted; archiving them now costs little.</w:t>
      </w:r>
    </w:p>
    <w:p>
      <w:pPr>
        <w:pStyle w:val="Heading1"/>
        <w:spacing w:after="140" w:before="280"/>
      </w:pPr>
      <w:r>
        <w:rPr>
          <w:rFonts w:ascii="Times New Roman" w:cs="Times New Roman" w:eastAsia="SimSun" w:hAnsi="Times New Roman"/>
          <w:b/>
          <w:bCs/>
          <w:color w:val="1F2A36"/>
          <w:sz w:val="30"/>
          <w:szCs w:val="30"/>
        </w:rPr>
        <w:t xml:space="preserve">8. Formal Recommendation</w:t>
      </w:r>
    </w:p>
    <w:p>
      <w:pPr>
        <w:spacing w:after="160" w:line="300"/>
        <w:ind w:firstLine="475"/>
      </w:pPr>
      <w:r>
        <w:rPr>
          <w:rFonts w:ascii="Times New Roman" w:cs="Times New Roman" w:eastAsia="SimSun" w:hAnsi="Times New Roman"/>
          <w:sz w:val="24"/>
          <w:szCs w:val="24"/>
        </w:rPr>
        <w:t xml:space="preserve">The revised submission V68 has, in my judgement, met every substantive requirement of my report of 2 October 2026. The thesis demonstrates a defensible EngD contribution — problem clarification, iterative design learning and a testable specification, stated positively and honestly at §9.7 — on a record whose limits are now disclosed with a rigour that itself reflects well on the candidate's engineering judgement.</w:t>
      </w:r>
    </w:p>
    <w:p>
      <w:pPr>
        <w:spacing w:after="160" w:line="300"/>
        <w:ind w:firstLine="475"/>
      </w:pPr>
      <w:r>
        <w:rPr>
          <w:rFonts w:ascii="Times New Roman" w:cs="Times New Roman" w:eastAsia="SimSun" w:hAnsi="Times New Roman"/>
          <w:sz w:val="24"/>
          <w:szCs w:val="24"/>
        </w:rPr>
        <w:t xml:space="preserve">I therefore record the thesis as ACCEPTABLE IN SUBSTANCE. Final submission should follow completion of the three production items in Section 5, and final acceptance should be conditional on the convenor's verification of the institutional items in Section 6. No further substantive examination is required from this examiner. The candidate is to be congratulated on a revision that addresses the letter and the spirit of the first report.</w:t>
      </w:r>
    </w:p>
    <w:p>
      <w:pPr>
        <w:spacing w:before="400"/>
        <w:jc w:val="center"/>
      </w:pPr>
      <w:r>
        <w:rPr>
          <w:rFonts w:ascii="Times New Roman" w:cs="Times New Roman" w:eastAsia="SimSun" w:hAnsi="Times New Roman"/>
          <w:i/>
          <w:iCs/>
          <w:color w:val="7A8896"/>
          <w:sz w:val="24"/>
          <w:szCs w:val="24"/>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00"/>
      <w:jc w:val="center"/>
    </w:pPr>
    <w:r>
      <w:rPr>
        <w:rFonts w:ascii="Times New Roman" w:cs="Times New Roman" w:eastAsia="SimSun" w:hAnsi="Times New Roman"/>
        <w:b/>
        <w:bCs/>
        <w:color w:val="34506B"/>
        <w:sz w:val="18"/>
        <w:szCs w:val="18"/>
      </w:rPr>
      <w:t xml:space="preserve">Examiner's Review Report (Second Examination) — EngD Thesis (S. K. T. Tam,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2026-10-03T00:09:36.069Z</dcterms:created>
  <dcterms:modified xsi:type="dcterms:W3CDTF">2026-10-03T00:09:36.077Z</dcterms:modified>
</cp:coreProperties>
</file>

<file path=docProps/custom.xml><?xml version="1.0" encoding="utf-8"?>
<Properties xmlns="http://schemas.openxmlformats.org/officeDocument/2006/custom-properties" xmlns:vt="http://schemas.openxmlformats.org/officeDocument/2006/docPropsVTypes"/>
</file>