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Second Expert Consultation — Dr Gary Lau and Ms Ada Tse (PhD student)</w:t>
      </w:r>
    </w:p>
    <w:p>
      <w:r>
        <w:rPr>
          <w:i/>
        </w:rPr>
        <w:t>DRAFT SUMMARY — from the audio recording (New_Recording_31.m4a, 29.9 min), machine-transcribed (faster-whisper large-v3-turbo, Cantonese→written Chinese) on 7 September 2026. The recording is the primary record; the transcript is an aid. Direct quotations below are translations of transcript passages and should be verified against the audio before any is used verbatim in the thesis.</w:t>
      </w:r>
    </w:p>
    <w:p>
      <w:pPr>
        <w:pStyle w:val="Heading1"/>
      </w:pPr>
      <w:r>
        <w:t>1. Logistics</w:t>
      </w:r>
    </w:p>
    <w:p>
      <w:r>
        <w:t>Date: Monday 8 September 2026 [AUTHOR TO CONFIRM date and mode - in person or video]. Duration: 29 minutes 54 seconds (recorded). Language: Cantonese mixed with English. Participants: the author (interviewer); Dr Gary Lau; Ms Ada Tse, Dr Lau's PhD student - A NEW CONTRIBUTOR whose attribution election (named / anonymised) must be obtained like every panel voice. Recording made [consent for recording TO CONFIRM - was verbal consent captured at the start? The recording opens mid-introduction].</w:t>
      </w:r>
    </w:p>
    <w:p>
      <w:pPr>
        <w:pStyle w:val="Heading1"/>
      </w:pPr>
      <w:r>
        <w:t>2. Ada's observations (exhibition-booth experience)</w:t>
      </w:r>
    </w:p>
    <w:p>
      <w:r>
        <w:t>2.1 Two types of older adults approach health-tech assessment: (a) health-engaged - actively interested, want risk information, when to see a doctor, what to eat; (b) resistant - afraid of discovering body problems and of not knowing what to do about them. (~04:00)</w:t>
      </w:r>
    </w:p>
    <w:p>
      <w:r>
        <w:t>2.2 Assessment framing creates performance pressure: once told the activity relates to their body, older adults become nervous, want to perform well and want higher scores - 'a little pressure on them.' (~04:45) [Independent corroboration of the performance-under-verdict mechanism.]</w:t>
      </w:r>
    </w:p>
    <w:p>
      <w:r>
        <w:t>2.3 Games as assessment: relaxed, low-pressure setting; games can embed daily-life tasks, so performance may reflect real functional ability (ecological validity). (~19:00)</w:t>
      </w:r>
    </w:p>
    <w:p>
      <w:r>
        <w:t>2.4 VALIDATION REQUIREMENT: game scores must be validated against traditional therapist-administered assessments before accuracy claims - 'a lot of validation' needed. (~19:28)</w:t>
      </w:r>
    </w:p>
    <w:p>
      <w:r>
        <w:t>2.5 Deployment: community centres and NGOs during normal activities; training games on the elder's own phone remove the need to travel. (~19:50)</w:t>
      </w:r>
    </w:p>
    <w:p>
      <w:r>
        <w:t>2.6 SELF-REFERENCED BASELINE (Ada's strongest contribution, ~26:25): with no pass/fail standard, the player 'uses themselves as the standard' - replaying after an interval against their own baseline. An independent articulation of the learning-trajectory appraisal the framework formalises (§7.3).</w:t>
      </w:r>
    </w:p>
    <w:p>
      <w:pPr>
        <w:pStyle w:val="Heading1"/>
      </w:pPr>
      <w:r>
        <w:t>3. Dr Lau's clinical observations</w:t>
      </w:r>
    </w:p>
    <w:p>
      <w:r>
        <w:t>3.1 Fear of knowing: some patients refuse even free assessments - they do not want to know what they have. (~05:20)</w:t>
      </w:r>
    </w:p>
    <w:p>
      <w:r>
        <w:t>3.2 Information overload: tens of thousands of health apps; every venue asks the elder to install another; confusion results. Simplicity wins - cites a Singapore company running everything through WhatsApp and YouTube only, and HA Go as a platform consolidation trend. 'The simpler the better.' (~05:55-07:20)</w:t>
      </w:r>
    </w:p>
    <w:p>
      <w:r>
        <w:t>3.3 The incidental-findings problem, worse in the AI era: modern imaging and AI reporting surface probabilistic findings (lung nodules, brain atrophy, genetic risk percentages) that frighten people who have no disease - 'scaring themselves' over a probability. Some genuinely prefer not to know; knowing creates worry. (~08:40-11:05)</w:t>
      </w:r>
    </w:p>
    <w:p>
      <w:r>
        <w:t>3.4 Reporting principle: 'Less is more.' For older adults the report should say healthy / not healthy / when to see a doctor, and route the detail to the clinician. Too many indices do not help. (~11:10-12:25)</w:t>
      </w:r>
    </w:p>
    <w:p>
      <w:r>
        <w:t>3.5 Actionability over information (response to the author's adaptive-learning scenario): knowledge alone is depressing ('your stroke risk is X%'); what works is DYNAMIC RISK framing with small achievable goals - 'lower blood pressure five to ten points and your risk falls from 15% to 10%; walk 4,000 steps a day' - because nearly all risk is dynamic. (~14:45-15:45)</w:t>
      </w:r>
    </w:p>
    <w:p>
      <w:r>
        <w:t>3.6 The trusted messenger: the guidance must come from a figure the elder trusts - their doctor, a medical institution, 'their KOL.' (~15:50-16:12)</w:t>
      </w:r>
    </w:p>
    <w:p>
      <w:r>
        <w:t>3.7 Culturally embedded assessment exemplar (~16:35-18:55): cites a Hong Kong product [name heard as 'Mac Minor' - VERIFY; plausibly MedMind 醫念科技] using calligraphy and mahjong to screen cognitive decline: the elder relaxes into a culturally familiar game while the system analyses slow tile play, tile memory, writing anomalies - a screening triage, not a diagnosis, extensible to longitudinal group tracking and follow-on training. Dr Lau rates it 'very well done': assessment embedded in engagement with light training.</w:t>
      </w:r>
    </w:p>
    <w:p>
      <w:r>
        <w:t>3.8 The longitudinal gap (voiced by Ada with Dr Lau assenting, ~20:11-21:10): Hong Kong's current pathway (district health stations, exhibitions, primary care) produces point-in-time results and verbal advice with NO continuity mechanism - no goal setting, no tracked risk reduction. [The gap the programme's trajectory design addresses.]</w:t>
      </w:r>
    </w:p>
    <w:p>
      <w:pPr>
        <w:pStyle w:val="Heading1"/>
      </w:pPr>
      <w:r>
        <w:t>4. The Mirror project - group-play design intent (Dr Lau, ~27:35)</w:t>
      </w:r>
    </w:p>
    <w:p>
      <w:r>
        <w:t>In the exchange on group play, Dr Lau explained the Mirror's intent: placed in elderly centres for GROUP use - one elder performs facing it while others watch, which eases engagement; one camera can monitor several participants. Both visitors endorsed group over individual games for rehabilitation engagement. [SENSITIVITY: the Mirror remains an unreleased product; the A2 clearance question from the interview guide was NOT explicitly asked in this session - the options (full/partial/no inclusion) still need Dr Lau's election before any Mirror content is cited.]</w:t>
      </w:r>
    </w:p>
    <w:p>
      <w:pPr>
        <w:pStyle w:val="Heading1"/>
      </w:pPr>
      <w:r>
        <w:t>5. Convergence with the programme's positions</w:t>
      </w:r>
    </w:p>
    <w:p>
      <w:r>
        <w:t>(a) Verdict-fear corroborated by both visitors (fear of knowing; performance anxiety under assessment framing) - independent of difficulty. (b) Assessment-through-play endorsed by both, with Ada's validation caveat. (c) Group play superior for engagement - consistent with §6.8A (Yuan) and the §8.8 group-form proposition. (d) Ada's self-referenced baseline = the learning-trajectory appraisal, independently stated. (e) 'Less is more' reporting and metrics-not-shown converge with the zero-failure no-score presentation the author closed with. (f) Dr Lau's dynamic-risk/small-goals framing is an actionability requirement for the coaching layer (§7.5.3). (g) Cross-panel convergence: Dr Yuan's group-play observation (§6.8A), relayed in this session, was independently endorsed by both Dr Lau (the Mirror's group-use intent) and Ms Tse.</w:t>
      </w:r>
    </w:p>
    <w:p>
      <w:pPr>
        <w:pStyle w:val="Heading1"/>
      </w:pPr>
      <w:r>
        <w:t>6. Items from the interview guide NOT covered in this session</w:t>
      </w:r>
    </w:p>
    <w:p>
      <w:r>
        <w:t>Part A validation of the first-interview record: not asked. A2 Mirror clearance election: not explicitly asked (see §4). Part B - Dr Lau's own played-the-game feedback (date/build/words) for the record: not asked. Q2 attribution question and Q4 human-boundary question: not directly posed. Member-check of the first-consultation summary: not done. RECOMMENDATION: close these by a short follow-up message or call; they are consent/record items, not new content items.</w:t>
      </w:r>
    </w:p>
    <w:p>
      <w:pPr>
        <w:pStyle w:val="Heading1"/>
      </w:pPr>
      <w:r>
        <w:t>7. Integration cautions</w:t>
      </w:r>
    </w:p>
    <w:p>
      <w:r>
        <w:t>(1) The author's own presentations (opening ~00:00-03:44; scenario ~12:27-14:30; programme description ~21:11-25:57) are interviewer framing, not expert data - only the visitors' responses enter the consultation record, and their agreement to presented scenarios ('sounds interesting - yes') is weaker evidence than their spontaneous observations. (2) TRANSCRIPTION CORRECTION (author, 8 Sep 2026): the passage machine-heard as '100+ people over 3+ months' (~24:00) actually described the 30-elderly Stage-2 deployment; the habituation count as transcribed ('60+') is therefore also unreliable - verify against the audio. Either way the passage is the author's own account, NOT expert corroboration, and enters the thesis only through the Stage-2 record, never through this consultation. (3) A Cambridge sociologist interview (Jockey Club elderly-rehabilitation fieldwork) was mentioned by the author (~28:55) - if that consultation is to be used anywhere, it needs the same consent-and-record process; otherwise it stays out. (4) Ada's attribution election is outstanding; until obtained, treat her contributions as 'Dr Lau's PhD student' pseudonymously. (5) The product name in 3.7 must be verified before citation.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