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xii</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xiv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70</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75</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76</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77</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78</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80</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83</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83</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90</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94</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97</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98</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98</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101</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101</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101</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102</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107</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111</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112</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112</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114</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115</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116</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116</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117</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118</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118</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119</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119</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121</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124</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124</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124</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125</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125</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128</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129</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130</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132</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133</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133</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133</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134</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134</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135</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136</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136</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144</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147</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147</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147</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148</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148</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148</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148</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149</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149</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149</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150</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151</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151</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152</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153</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154</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154</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155</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155</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155</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156</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156</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162</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164</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164</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164</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166</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172</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173</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176</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177</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179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181</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185</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186</w:t>
      </w:r>
    </w:p>
    <w:p>
      <w:pPr>
        <w:pStyle w:val="TOC1"/>
        <w:keepNext w:val="0"/>
        <w:keepLines/>
        <w:tabs>
          <w:tab w:pos="8496" w:val="right" w:leader="dot"/>
        </w:tabs>
        <w:spacing w:before="0" w:after="80" w:line="276" w:lineRule="auto"/>
        <w:ind w:right="374"/>
      </w:pPr>
      <w:r>
        <w:rPr>
          <w:rFonts w:ascii="Times New Roman" w:hAnsi="Times New Roman"/>
          <w:sz w:val="22"/>
        </w:rPr>
        <w:t>References</w:t>
        <w:tab/>
        <w:t>189</w:t>
      </w:r>
    </w:p>
    <w:p>
      <w:pPr>
        <w:pStyle w:val="TOC1"/>
        <w:keepNext w:val="0"/>
        <w:keepLines/>
        <w:tabs>
          <w:tab w:pos="8496" w:val="right" w:leader="dot"/>
        </w:tabs>
        <w:spacing w:before="0" w:after="80" w:line="276" w:lineRule="auto"/>
        <w:ind w:right="374"/>
      </w:pPr>
      <w:r>
        <w:rPr>
          <w:rFonts w:ascii="Times New Roman" w:hAnsi="Times New Roman"/>
          <w:sz w:val="22"/>
        </w:rPr>
        <w:t>Appendices</w:t>
        <w:tab/>
        <w:t>197</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198</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198</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199</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200</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201</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203</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203</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204</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205</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205</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206</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206</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207</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209</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217</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221</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221</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222</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225</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228</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231</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240</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242</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 as specified</w:t>
        <w:tab/>
        <w:t>74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82</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89</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90</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98</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110</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111</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114</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130</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139</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143</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184</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199</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228</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237</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238</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67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76</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87</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92</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107</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108</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109</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117</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119</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127</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129</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132</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144</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167</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173</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183</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221</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223</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225</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229</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233</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234</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235</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236</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237</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238</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239</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241</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a request for such a determination is being made through the Principal Investigator, and the thesis will report the Committee's determination when it is received.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Configurations compared across Stages 2 and 3."/>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'after' FRA index reported in §5.5 is computed from this silent pipeline;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its build generations engineered from 2025 onward used Anthropic Claude Code as the engineering assistant (§5.3.9), and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COP stream is polled by the game at 60 Hz, §5.2A, and the calibration function is treated as a black-box vendor component, §8.9).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COP traces,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Five-layer architecture of the gamified FRA system as specified."/>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w:t>
      </w:r>
      <w:r>
        <w:rPr/>
        <w:t>Per-generation development dates and tooling are stated in the build-lineage matrix (Appendix G, item G.0A); the Claude Code account in this section applies only to the generations engineered from 2025 onward, and no tooling claim is made for any earlier generation beyond the dated 2024 demonstration recorded in item G.10.</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by the author's count, between the first runnable prototype and the version deployed in Stage 2; this count is author-reported and is not verified by any repository artifact, since no Stage-2 build file is deposited (Appendix G, item G.0A).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Proposed dynamic game-state architecture for the FRA skiing gam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recorded the balance-test indexes on the clinician-side terminal (§5.2A; not on the play screen)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mechanic in which one centre-of-pressure stream drives play and a silent assessment pipeline, so that measurement is carried inside play without clinical numbers on the play screen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keyboard arrow or A/D keys;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on the InBody pressure panel)</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w:t>
            </w:r>
          </w:p>
        </w:tc>
        <w:tc>
          <w:tcPr>
            <w:tcW w:type="dxa" w:w="1310"/>
          </w:tcPr>
          <w:p>
            <w:r>
              <w:rPr>
                <w:sz w:val="15"/>
              </w:rPr>
              <w:t>InBody FRA510S pressure panel (COP stream); clinician-side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the game software's electronic session records were not kept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