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270</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270</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77</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80</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83</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90</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164</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164</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164</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166</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172</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173</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176</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177</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179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181</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185</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186</w:t>
      </w:r>
    </w:p>
    <w:p>
      <w:pPr>
        <w:pStyle w:val="TOC1"/>
        <w:keepNext w:val="0"/>
        <w:keepLines/>
        <w:tabs>
          <w:tab w:pos="8496" w:val="right" w:leader="dot"/>
        </w:tabs>
        <w:spacing w:before="0" w:after="80" w:line="276" w:lineRule="auto"/>
        <w:ind w:right="374"/>
      </w:pPr>
      <w:r>
        <w:rPr>
          <w:rFonts w:ascii="Times New Roman" w:hAnsi="Times New Roman"/>
          <w:sz w:val="22"/>
        </w:rPr>
        <w:t>References</w:t>
        <w:tab/>
        <w:t>268</w:t>
      </w:r>
    </w:p>
    <w:p>
      <w:pPr>
        <w:pStyle w:val="TOC1"/>
        <w:keepNext w:val="0"/>
        <w:keepLines/>
        <w:tabs>
          <w:tab w:pos="8496" w:val="right" w:leader="dot"/>
        </w:tabs>
        <w:spacing w:before="0" w:after="80" w:line="276" w:lineRule="auto"/>
        <w:ind w:right="374"/>
      </w:pPr>
      <w:r>
        <w:rPr>
          <w:rFonts w:ascii="Times New Roman" w:hAnsi="Times New Roman"/>
          <w:sz w:val="22"/>
        </w:rPr>
        <w:t>Appendices</w:t>
        <w:tab/>
        <w:t>270</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198</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198</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199</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200</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201</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203</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203</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204</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205</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205</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206</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207</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209</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217</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221</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221</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222</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225</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228</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231</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240</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242</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89</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184</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199</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228</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237</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238</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76</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167</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173</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183</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221</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223</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225</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229</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233</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234</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235</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236</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237</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238</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239</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241</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'after' FRA index reported in §5.5 is computed from this silent pipeline;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COP stream is polled by the game at 60 Hz, §5.2A, and the calibration function is treated as a black-box vendor component, §8.9).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recorded the balance-test indexes on the clinician-side terminal (§5.2A; not on the play screen)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mechanic in which one centre-of-pressure stream drives play and a silent assessment pipeline, so that measurement is carried inside play without clinical numbers on the play screen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keyboard arrow or A/D keys;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on the InBody pressure panel)</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InBody FRA510S pressure panel (COP stream); clinician-side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