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Examination Report on V39 (AI-Assisted Revision)</w:t>
      </w:r>
    </w:p>
    <w:p>
      <w:r>
        <w:rPr>
          <w:b/>
        </w:rPr>
        <w:t>Prepared in the supervisor-examiner register requested by the candidate. Basis: full-document examination by a 38-agent panel (five integrity checkers including live web verification of every newly inserted reference; four examiner chairs; independent adversarial verification of all 29 high-severity findings — every one CONFIRMED). 130 findings total: 29 high, 52 medium, 49 low. Machine record archived; V39 archived as received, 9 September 2026.</w:t>
      </w:r>
    </w:p>
    <w:p>
      <w:pPr>
        <w:pStyle w:val="Heading1"/>
      </w:pPr>
      <w:r>
        <w:t>Provisional judgement</w:t>
      </w:r>
    </w:p>
    <w:p>
      <w:r>
        <w:rPr>
          <w:b w:val="0"/>
        </w:rPr>
        <w:t>The AI-assisted revision is, in its calibration work, a genuine advance: it addresses most of the text-level points of the 5 September examiner review, and it does so without fabricating content — the reference and fact checks below give it a clean bill on the risks that matter most with AI assistance. But it was made on a stale copy, it reintroduces the exact class of chronology violations this thesis spent August removing, it leaks one gated consent item, and the retitle currently exchanges the thesis's distinctive identity for an ungrammatical slogan the text does not yet operationalise. None of this is fatal; all of it is fixable; the fix list at the end is ordered. V39 must not circulate further until Part B is applied.</w:t>
      </w:r>
    </w:p>
    <w:p>
      <w:pPr>
        <w:pStyle w:val="Heading1"/>
      </w:pPr>
      <w:r>
        <w:t>Part A — AI-content verification: the clean bill, with three exceptions</w:t>
      </w:r>
    </w:p>
    <w:p>
      <w:pPr>
        <w:pStyle w:val="ListBullet"/>
      </w:pPr>
      <w:r>
        <w:t>References: all seven newly inserted references are REAL, bibliographically correct, and the claims attached to each match the actual source content (verified against the live web): Beerda 2015 (Octalysis Group post, exists at the cited URL, content matches); Cruz Rivera et al. 2020 and Liu et al. 2020 (SPIRIT-AI/CONSORT-AI, Nature Medicine 26); Howell &amp; Shepperd 2012; IHI Model for Improvement; OECD/Eurostat Oslo Manual 2018; Plott &amp; Zeiler 2005; Soderstrom &amp; Bjork 2015. No invented citations.</w:t>
      </w:r>
    </w:p>
    <w:p>
      <w:pPr>
        <w:pStyle w:val="ListBullet"/>
      </w:pPr>
      <w:r>
        <w:t>Facts: every Stage-1/2/3 number in the rewritten text reproduces the archived record exactly (N=200/280; 39%; N=30, 21/9/8, 0/21, +4.0/+6.9/+2.8, Welch p=.13, Fisher p=.013; N=120, 23/120, 15/23, 85.4%, 62.5%, 56.1%, 29.3pp). No number drift, no hallucinated statistics.</w:t>
      </w:r>
    </w:p>
    <w:p>
      <w:pPr>
        <w:pStyle w:val="ListBullet"/>
      </w:pPr>
      <w:r>
        <w:t>Consent and withdrawals: Ada Tse never named; Expert P's record byte-identical to V38; withdrawn statistics stay withdrawn; F4 'designed, not administered' intact; no Stage-3B results claimed.</w:t>
      </w:r>
    </w:p>
    <w:p>
      <w:r>
        <w:rPr>
          <w:b w:val="0"/>
        </w:rPr>
        <w:t>The three exceptions: (1) the reverted §6.12 placeholder leaks Mirror product detail (Part B); (2) one reference was 'corrected' into error — Tsai et al. 2020's actual title reads 'cardiac warming system', which the revision changed to 'warning system'; restore the original (verified via PubMed); (3) one yellow flag was silently dropped and one checklist pointer (§8.5A) dangles.</w:t>
      </w:r>
    </w:p>
    <w:p>
      <w:pPr>
        <w:pStyle w:val="Heading1"/>
      </w:pPr>
      <w:r>
        <w:t>Part B — Mandatory corrections before anything else (apply as a block)</w:t>
      </w:r>
    </w:p>
    <w:p>
      <w:r>
        <w:rPr>
          <w:b/>
        </w:rPr>
        <w:t>B1. Stale-base regressions — re-merge the second consultation.</w:t>
      </w:r>
    </w:p>
    <w:p>
      <w:r>
        <w:rPr>
          <w:b w:val="0"/>
        </w:rPr>
        <w:t>V39 was revised from a copy predating 8 September. It reverted: the §6.12 heading and intro to 'March–August 2026'; §3.2's doctoral-researcher clause; the full second-consultation paragraph (verdict-fear corroboration, less-is-more and dynamic-risk design requirements, the self-referenced baseline, the cross-panel group-play convergence); and the Table 3.1A and Table 9.1 period cells. Restore all of it from V38, preserving the consent gates (researcher pseudonymous; Mirror withheld; member-check status disclosed as issued, not returned). The panel window is March–September 2026.</w:t>
      </w:r>
    </w:p>
    <w:p>
      <w:r>
        <w:rPr>
          <w:b/>
        </w:rPr>
        <w:t>B2. Consent leak — delete the Mirror parenthetical.</w:t>
      </w:r>
    </w:p>
    <w:p>
      <w:r>
        <w:rPr>
          <w:b w:val="0"/>
        </w:rPr>
        <w:t>The reverted placeholder itself names the gated product mechanism: '(avatar coaching; self-awareness and self-engagement as the key mechanism)'. This is precisely the detail Dr Lau's sensitivity election must precede. Delete the parenthetical wherever it appears; the H.6 placeholder (para 1050) is already clean and is the model.</w:t>
      </w:r>
    </w:p>
    <w:p>
      <w:r>
        <w:rPr>
          <w:b/>
        </w:rPr>
        <w:t>B3. New chronology violations — the revision reintroduced what August removed.</w:t>
      </w:r>
    </w:p>
    <w:p>
      <w:pPr>
        <w:pStyle w:val="ListBullet"/>
      </w:pPr>
      <w:r>
        <w:t>FIAS now appears in Chapter 1 (§1.12 contributions, para 323) and three times in Chapter 2 (paras 337, 346, 388) — two of which also mis-state its origin as 'introduced in Chapter 5' when Chapter 4 is titled 'From FIDS to FIAS'. Replace with 'failure-associated non-return' in Ch1–2 and correct the chapter pointers.</w:t>
      </w:r>
    </w:p>
    <w:p>
      <w:pPr>
        <w:pStyle w:val="ListBullet"/>
      </w:pPr>
      <w:r>
        <w:t>Stage results are stated ahead of their chapters: §2.6.4 (para 406) carries 0/21 and 10/16; §3.2 (para 434) carries 0/38 vs 16/41 with p&lt;0.0001. De-result both (the V38 wording was compliant and can be restored).</w:t>
      </w:r>
    </w:p>
    <w:p>
      <w:pPr>
        <w:pStyle w:val="ListBullet"/>
      </w:pPr>
      <w:r>
        <w:t>FIDS is now used before it is defined — the revision cut §1.5's naming sentence but §1.6 still opens with 'the FIDS conjecture'. Restore the naming sentence.</w:t>
      </w:r>
    </w:p>
    <w:p>
      <w:pPr>
        <w:pStyle w:val="Heading1"/>
      </w:pPr>
      <w:r>
        <w:t>Part C — The title decision (yours and the supervisor's, but decide with open eyes)</w:t>
      </w:r>
    </w:p>
    <w:p>
      <w:pPr>
        <w:pStyle w:val="ListBullet"/>
      </w:pPr>
      <w:r>
        <w:t>Grammar: the retitle drops the article — 'Gamification as Proactive Approach…' is ungrammatical on the title page and everywhere it is quoted (paras 4, 808, 874). If the registered topic requires this exact wording, quote the registration; otherwise 'as a Proactive Approach'.</w:t>
      </w:r>
    </w:p>
    <w:p>
      <w:pPr>
        <w:pStyle w:val="ListBullet"/>
      </w:pPr>
      <w:r>
        <w:t>Identity: the V38 title named the problem (failure-induced abandonment), the setting (gamified FRA) and the journey (FIDS to FIAS). The retitle names none of them. Strong recommendation: keep the registered topic as the main title if required, and retain the distinctive line as a SUBTITLE — e.g. 'Gamification as a Proactive Approach for Continuous Improvement and Innovation Enhancement: From FIDS to FIAS in Gamified Fall-Risk Assessment for Older Adults'.</w:t>
      </w:r>
    </w:p>
    <w:p>
      <w:pPr>
        <w:pStyle w:val="ListBullet"/>
      </w:pPr>
      <w:r>
        <w:t>Operationalisation: 'continuous improvement' and 'innovation enhancement' function as slogans until Chapter 3 and Chapter 7 define them; the aim (para 317) is stated in vocabulary the thesis has not yet made examinable, and §2.8 itself concedes that neither is demonstrated beyond the programme's own iterative design practice. This is now the single most predictable viva attack: 'your title promises continuous improvement and innovation enhancement — where is each demonstrated?' The defence must be built into §1.11 (define both terms operationally at first use, with the two-loop reading of §7.9) rather than improvised at the viva.</w:t>
      </w:r>
    </w:p>
    <w:p>
      <w:pPr>
        <w:pStyle w:val="Heading1"/>
      </w:pPr>
      <w:r>
        <w:t>Part D — Substantive defects the examination surfaced (largely carried over from V38)</w:t>
      </w:r>
    </w:p>
    <w:p>
      <w:r>
        <w:rPr>
          <w:b w:val="0"/>
        </w:rPr>
        <w:t>These were latent in earlier versions; the panel caught them and every one is confirmed:</w:t>
      </w:r>
    </w:p>
    <w:p>
      <w:pPr>
        <w:pStyle w:val="ListBullet"/>
      </w:pPr>
      <w:r>
        <w:t>D1. §1.10 (para 314) claims Stage-3 'staff scripts' — Stage 3 was remote, unsupervised, e-mailed HTML with no staff — and 'questions asked of the F4 cluster' implies interviews that the record says were never administered. Rewrite the sentence to what the record supports (the experience informed the decoupling package's wording and the designed-but-not-administered F4 protocol).</w:t>
      </w:r>
    </w:p>
    <w:p>
      <w:pPr>
        <w:pStyle w:val="ListBullet"/>
      </w:pPr>
      <w:r>
        <w:t>D2. Stage-1 denominators: the blanket claim that 'all Stage-1 percentages are computed on 200' is false for the two flagship figures (~74% is of prior users, ~82% of adverse-experience reporters). State each denominator explicitly (V37 point 6, still open).</w:t>
      </w:r>
    </w:p>
    <w:p>
      <w:pPr>
        <w:pStyle w:val="ListBullet"/>
      </w:pPr>
      <w:r>
        <w:t>D3. Three of the six survey items (awareness, discomfort/discouragement, willingness to try a friendlier version) have no reported results anywhere. Report them or state why not.</w:t>
      </w:r>
    </w:p>
    <w:p>
      <w:pPr>
        <w:pStyle w:val="ListBullet"/>
      </w:pPr>
      <w:r>
        <w:t>D4. Measurement provenance is now internally contradictory: §5.9 says the index was measured 'once before and once after the window' while §5.6 gives single-session participants recorded post-values. State when and how post-values were obtained for non-returners (V37 point 5 — the FRA_32 dataset makes this answerable; one sentence from you closes it).</w:t>
      </w:r>
    </w:p>
    <w:p>
      <w:pPr>
        <w:pStyle w:val="ListBullet"/>
      </w:pPr>
      <w:r>
        <w:t>D5. Build chronology: §5.3 still flatly says the deployed Pygame build was 'generated through Anthropic Claude Code' while development runs from 2023 and Claude Code exists only from February 2025. The §5.3.9 chronology note exists but §5.3 contradicts it. Resolve via the build-lineage matrix (G.0A) and align §5.3's wording.</w:t>
      </w:r>
    </w:p>
    <w:p>
      <w:pPr>
        <w:pStyle w:val="ListBullet"/>
      </w:pPr>
      <w:r>
        <w:t>D6. The G.8 collision is still live: four artifacts (vendor brochure, development videos, expert guide, control-person consent) cite an appendix slot whose entry is the synthetic test dataset — so citations resolve to fictitious data. Renumber into distinct G-items (V37 point 3; tracked since PENDING).</w:t>
      </w:r>
    </w:p>
    <w:p>
      <w:pPr>
        <w:pStyle w:val="ListBullet"/>
      </w:pPr>
      <w:r>
        <w:t>D7. Stage-2 dropout data consent basis: §3.4 says dropouts 'did not sign and were not interviewed', yet satisfaction and self-report values exist for all 30. State the documented basis (operational records? proxy? aggregate-only use?) — this is the ethics chronology question an examiner will press hardest, and the approval memo package must answer it (V37 point 1).</w:t>
      </w:r>
    </w:p>
    <w:p>
      <w:pPr>
        <w:pStyle w:val="ListBullet"/>
      </w:pPr>
      <w:r>
        <w:t>D8. Two internal contradictions to resolve by decision: §8.9 promises 'the complete FIAS codebook' bound in appendices while Appendix B defers it to the confirmatory study; and the conclusion excludes Stage-3B results while the §8.8 stub promises to insert them — with the window closing in October, decide now which way both go and make text and checklist agree.</w:t>
      </w:r>
    </w:p>
    <w:p>
      <w:pPr>
        <w:pStyle w:val="ListBullet"/>
      </w:pPr>
      <w:r>
        <w:t>D9. §8.1's theoretical contribution is now an UNDERCLAIM: 'a contextual problem formulation' concedes more than the evidence requires. The 5 September review itself accepted the candidate boundary condition and the design framework as defensible. Restore the four-register statement at candidate strength — an EngD must still claim its contribution.</w:t>
      </w:r>
    </w:p>
    <w:p>
      <w:pPr>
        <w:pStyle w:val="Heading1"/>
      </w:pPr>
      <w:r>
        <w:t>Part E — V37 review scorecard after V39</w:t>
      </w:r>
    </w:p>
    <w:p>
      <w:pPr>
        <w:pStyle w:val="ListBullet"/>
      </w:pPr>
      <w:r>
        <w:t>ADDRESSED in text: pt 7 (H0 as retrospectively formalised design expectation), pt 8 (no scope-law/attribution-experiment language), pt 9 (rivals incl. continuance, consequence-avoidance, discontinuance), pt 10 (adaptive learning no longer sole solution), pt 12 (QFD relabelled), plus broad register calibration across Ch5–9.</w:t>
      </w:r>
    </w:p>
    <w:p>
      <w:pPr>
        <w:pStyle w:val="ListBullet"/>
      </w:pPr>
      <w:r>
        <w:t>STILL OPEN (mostly record-dependent, due mid-September): pt 1 ethics documentary set incl. the dropout-consent basis (D7); pt 2 source-to-result manifest (G.0 stub); pt 3 archive repairs (G.8 = D6; G.4 photos; evidence cut-off declaration); pt 4 participant-journey reconstruction; pt 5 measurement provenance (= D4); pt 6 denominators/instruments (= D2, D3); pt 11 build-lineage matrix (= D5).</w:t>
      </w:r>
    </w:p>
    <w:p>
      <w:pPr>
        <w:pStyle w:val="Heading1"/>
      </w:pPr>
      <w:r>
        <w:t>Part F — Viva questions to prepare (from the confirmed viva-risk findings)</w:t>
      </w:r>
    </w:p>
    <w:p>
      <w:pPr>
        <w:pStyle w:val="ListBullet"/>
      </w:pPr>
      <w:r>
        <w:t>Your title promises continuous improvement and innovation enhancement; §2.8 concedes neither is demonstrated. What exactly does the title claim, and where is it delivered?</w:t>
      </w:r>
    </w:p>
    <w:p>
      <w:pPr>
        <w:pStyle w:val="ListBullet"/>
      </w:pPr>
      <w:r>
        <w:t>Your ethics approval is dated August 2026; the Stage-2 deployment predates it. Walk me through the institutional coverage of each stage, with documents.</w:t>
      </w:r>
    </w:p>
    <w:p>
      <w:pPr>
        <w:pStyle w:val="ListBullet"/>
      </w:pPr>
      <w:r>
        <w:t>Dropouts neither signed nor were interviewed — where did their satisfaction data come from?</w:t>
      </w:r>
    </w:p>
    <w:p>
      <w:pPr>
        <w:pStyle w:val="ListBullet"/>
      </w:pPr>
      <w:r>
        <w:t>What was measured 'after' for a participant who came once and never returned?</w:t>
      </w:r>
    </w:p>
    <w:p>
      <w:pPr>
        <w:pStyle w:val="ListBullet"/>
      </w:pPr>
      <w:r>
        <w:t>Which build generations used which tools, and can you show me the lineage?</w:t>
      </w:r>
    </w:p>
    <w:p>
      <w:pPr>
        <w:pStyle w:val="ListBullet"/>
      </w:pPr>
      <w:r>
        <w:t>If FIAS is provisional and non-diagnostic, state your contribution without it — then state why FIAS still earns its place.</w:t>
      </w:r>
    </w:p>
    <w:p>
      <w:pPr>
        <w:pStyle w:val="Heading1"/>
      </w:pPr>
      <w:r>
        <w:t>Part G — Priority order of work</w:t>
      </w:r>
    </w:p>
    <w:p>
      <w:r>
        <w:rPr>
          <w:b w:val="0"/>
        </w:rPr>
        <w:t>1. Apply Part B as one block (mechanical; can be executed immediately on your word). 2. Decide the title/subtitle with Prof. Cheung and fix the article. 3. Answer D4 and D7 in one sitting from the facility records (both are one-paragraph answers you already possess). 4. Repair G.8 numbering and align §5.3 chronology. 5. Restore the contribution claim (D9) and resolve the two D8 decisions. 6. When the mid-September records arrive: manifest, build-lineage matrix, ethics documentary set, instrument reproduction. 7. Re-run the consistency sweep and refresh ToC/LoF/LoT at final production.</w:t>
      </w:r>
    </w:p>
    <w:p>
      <w:pPr>
        <w:pStyle w:val="Heading1"/>
      </w:pPr>
      <w:r>
        <w:t>Appendix — full verified findings register</w:t>
      </w:r>
    </w:p>
    <w:p>
      <w:r>
        <w:rPr>
          <w:b w:val="0"/>
        </w:rPr>
        <w:t>29 confirmed high-severity findings; 52 medium; 49 low. High findings tabulated below; the complete machine-readable register (all 130 with locations, quotes and fixes) is archived in the project records.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7"/>
              </w:rPr>
              <w:t>#</w:t>
            </w:r>
          </w:p>
        </w:tc>
        <w:tc>
          <w:tcPr>
            <w:tcW w:type="dxa" w:w="2412"/>
          </w:tcPr>
          <w:p>
            <w:r>
              <w:rPr>
                <w:b/>
                <w:sz w:val="17"/>
              </w:rPr>
              <w:t>Category</w:t>
            </w:r>
          </w:p>
        </w:tc>
        <w:tc>
          <w:tcPr>
            <w:tcW w:type="dxa" w:w="2412"/>
          </w:tcPr>
          <w:p>
            <w:r>
              <w:rPr>
                <w:b/>
                <w:sz w:val="17"/>
              </w:rPr>
              <w:t>Where</w:t>
            </w:r>
          </w:p>
        </w:tc>
        <w:tc>
          <w:tcPr>
            <w:tcW w:type="dxa" w:w="2412"/>
          </w:tcPr>
          <w:p>
            <w:r>
              <w:rPr>
                <w:b/>
                <w:sz w:val="17"/>
              </w:rPr>
              <w:t>Required fix</w:t>
            </w:r>
          </w:p>
        </w:tc>
      </w:tr>
      <w:tr>
        <w:tc>
          <w:tcPr>
            <w:tcW w:type="dxa" w:w="2412"/>
          </w:tcPr>
          <w:p>
            <w:r>
              <w:rPr>
                <w:sz w:val="17"/>
              </w:rPr>
              <w:t>1</w:t>
            </w:r>
          </w:p>
        </w:tc>
        <w:tc>
          <w:tcPr>
            <w:tcW w:type="dxa" w:w="2412"/>
          </w:tcPr>
          <w:p>
            <w:r>
              <w:rPr>
                <w:sz w:val="17"/>
              </w:rPr>
              <w:t>stale-base regression / panel facts</w:t>
            </w:r>
          </w:p>
        </w:tc>
        <w:tc>
          <w:tcPr>
            <w:tcW w:type="dxa" w:w="2412"/>
          </w:tcPr>
          <w:p>
            <w:r>
              <w:rPr>
                <w:sz w:val="17"/>
              </w:rPr>
              <w:t>para 435 (s3.2); paras 661-662, 666-667 (s6.12); Table 3.1A (v39_tables t5, row 'Expert co</w:t>
            </w:r>
          </w:p>
        </w:tc>
        <w:tc>
          <w:tcPr>
            <w:tcW w:type="dxa" w:w="2412"/>
          </w:tcPr>
          <w:p>
            <w:r>
              <w:rPr>
                <w:sz w:val="17"/>
              </w:rPr>
              <w:t>Confirmed as stated, with two precision refinements to the proposed fix: (1) V38's own s6.12 intro paragraph ([657], V39 [662]) also said "between March and August 2026" for the four consultations — the September window was carried only by the heading, the s3.2 clause and the second-consultation paragraph [661] — so changing para 662 to "March–Sept</w:t>
            </w:r>
          </w:p>
        </w:tc>
      </w:tr>
      <w:tr>
        <w:tc>
          <w:tcPr>
            <w:tcW w:type="dxa" w:w="2412"/>
          </w:tcPr>
          <w:p>
            <w:r>
              <w:rPr>
                <w:sz w:val="17"/>
              </w:rPr>
              <w:t>2</w:t>
            </w:r>
          </w:p>
        </w:tc>
        <w:tc>
          <w:tcPr>
            <w:tcW w:type="dxa" w:w="2412"/>
          </w:tcPr>
          <w:p>
            <w:r>
              <w:rPr>
                <w:sz w:val="17"/>
              </w:rPr>
              <w:t>consent gate / gated content leak</w:t>
            </w:r>
          </w:p>
        </w:tc>
        <w:tc>
          <w:tcPr>
            <w:tcW w:type="dxa" w:w="2412"/>
          </w:tcPr>
          <w:p>
            <w:r>
              <w:rPr>
                <w:sz w:val="17"/>
              </w:rPr>
              <w:t>para 666 (s6.12 placeholder)</w:t>
            </w:r>
          </w:p>
        </w:tc>
        <w:tc>
          <w:tcPr>
            <w:tcW w:type="dxa" w:w="2412"/>
          </w:tcPr>
          <w:p>
            <w:r>
              <w:rPr>
                <w:sz w:val="17"/>
              </w:rPr>
              <w:t>Confirmed with one precision: the placeholder is "new" only relative to V38 — per the context brief, V39's s6.12 reverted to a stale pre-V38 base ("old placeholder"), so the parenthetical is most plausibly resurrected stale text (a merge regression) rather than freshly authored in V39. The violation stands regardless: V39 para 666 (s6.12) writes th</w:t>
            </w:r>
          </w:p>
        </w:tc>
      </w:tr>
      <w:tr>
        <w:tc>
          <w:tcPr>
            <w:tcW w:type="dxa" w:w="2412"/>
          </w:tcPr>
          <w:p>
            <w:r>
              <w:rPr>
                <w:sz w:val="17"/>
              </w:rPr>
              <w:t>3</w:t>
            </w:r>
          </w:p>
        </w:tc>
        <w:tc>
          <w:tcPr>
            <w:tcW w:type="dxa" w:w="2412"/>
          </w:tcPr>
          <w:p>
            <w:r>
              <w:rPr>
                <w:sz w:val="17"/>
              </w:rPr>
              <w:t>stale-base reversion / missing record content</w:t>
            </w:r>
          </w:p>
        </w:tc>
        <w:tc>
          <w:tcPr>
            <w:tcW w:type="dxa" w:w="2412"/>
          </w:tcPr>
          <w:p>
            <w:r>
              <w:rPr>
                <w:sz w:val="17"/>
              </w:rPr>
              <w:t>V39 s6.12: header [661], intro [662], placeholder [666]; s3.2 [435]; ToC [143]; Table 3.1A</w:t>
            </w:r>
          </w:p>
        </w:tc>
        <w:tc>
          <w:tcPr>
            <w:tcW w:type="dxa" w:w="2412"/>
          </w:tcPr>
          <w:p>
            <w:r>
              <w:rPr>
                <w:sz w:val="17"/>
              </w:rPr>
              <w:t>Confirmed as stated, with two precision notes: (1) V39 [662]'s "between March and August 2026" is not itself a reverted sentence — V38's parallel intro [657] also read "between March and August 2026" (dating the four initial consultations, consistent in V38 because the header and the [661] paragraph carried the September follow-up); the defect is t</w:t>
            </w:r>
          </w:p>
        </w:tc>
      </w:tr>
      <w:tr>
        <w:tc>
          <w:tcPr>
            <w:tcW w:type="dxa" w:w="2412"/>
          </w:tcPr>
          <w:p>
            <w:r>
              <w:rPr>
                <w:sz w:val="17"/>
              </w:rPr>
              <w:t>4</w:t>
            </w:r>
          </w:p>
        </w:tc>
        <w:tc>
          <w:tcPr>
            <w:tcW w:type="dxa" w:w="2412"/>
          </w:tcPr>
          <w:p>
            <w:r>
              <w:rPr>
                <w:sz w:val="17"/>
              </w:rPr>
              <w:t>consent gate — Mirror product detail</w:t>
            </w:r>
          </w:p>
        </w:tc>
        <w:tc>
          <w:tcPr>
            <w:tcW w:type="dxa" w:w="2412"/>
          </w:tcPr>
          <w:p>
            <w:r>
              <w:rPr>
                <w:sz w:val="17"/>
              </w:rPr>
              <w:t>V39 paragraph [666] (s6.12 placeholder)</w:t>
            </w:r>
          </w:p>
        </w:tc>
        <w:tc>
          <w:tcPr>
            <w:tcW w:type="dxa" w:w="2412"/>
          </w:tcPr>
          <w:p>
            <w:r>
              <w:rPr>
                <w:sz w:val="17"/>
              </w:rPr>
              <w:t>Replace [666] with the V38-style withholding flag: state that the second-consultation record and a product-development convergence are withheld pending Dr Lau's clearance, without naming the project's mechanism or features. Remove "(avatar coaching; self-awareness and self-engagement as the key mechanism)".</w:t>
            </w:r>
          </w:p>
        </w:tc>
      </w:tr>
      <w:tr>
        <w:tc>
          <w:tcPr>
            <w:tcW w:type="dxa" w:w="2412"/>
          </w:tcPr>
          <w:p>
            <w:r>
              <w:rPr>
                <w:sz w:val="17"/>
              </w:rPr>
              <w:t>5</w:t>
            </w:r>
          </w:p>
        </w:tc>
        <w:tc>
          <w:tcPr>
            <w:tcW w:type="dxa" w:w="2412"/>
          </w:tcPr>
          <w:p>
            <w:r>
              <w:rPr>
                <w:sz w:val="17"/>
              </w:rPr>
              <w:t>fias-placement</w:t>
            </w:r>
          </w:p>
        </w:tc>
        <w:tc>
          <w:tcPr>
            <w:tcW w:type="dxa" w:w="2412"/>
          </w:tcPr>
          <w:p>
            <w:r>
              <w:rPr>
                <w:sz w:val="17"/>
              </w:rPr>
              <w:t>para 323 (Ch1, s1.12 Original Contributions)</w:t>
            </w:r>
          </w:p>
        </w:tc>
        <w:tc>
          <w:tcPr>
            <w:tcW w:type="dxa" w:w="2412"/>
          </w:tcPr>
          <w:p>
            <w:r>
              <w:rPr>
                <w:sz w:val="17"/>
              </w:rPr>
              <w:t>Confirmed with corrections: V39 para 323 (Ch1 s1.12 Original Contributions) newly introduces the bare FIAS acronym in Chapter 1 — a regression from V38 para 318, which used the neutral "failure-associated non-return / newly named abandonment construct" phrasing (V38's Ch1 deliberately excluded the name, per its Figure 1.1 AUTHOR CHECK). Proposed fi</w:t>
            </w:r>
          </w:p>
        </w:tc>
      </w:tr>
      <w:tr>
        <w:tc>
          <w:tcPr>
            <w:tcW w:type="dxa" w:w="2412"/>
          </w:tcPr>
          <w:p>
            <w:r>
              <w:rPr>
                <w:sz w:val="17"/>
              </w:rPr>
              <w:t>6</w:t>
            </w:r>
          </w:p>
        </w:tc>
        <w:tc>
          <w:tcPr>
            <w:tcW w:type="dxa" w:w="2412"/>
          </w:tcPr>
          <w:p>
            <w:r>
              <w:rPr>
                <w:sz w:val="17"/>
              </w:rPr>
              <w:t>fias-placement</w:t>
            </w:r>
          </w:p>
        </w:tc>
        <w:tc>
          <w:tcPr>
            <w:tcW w:type="dxa" w:w="2412"/>
          </w:tcPr>
          <w:p>
            <w:r>
              <w:rPr>
                <w:sz w:val="17"/>
              </w:rPr>
              <w:t>paras 337, 346, 388 (Ch2, s2.1, s2.2.3, s2.5.6)</w:t>
            </w:r>
          </w:p>
        </w:tc>
        <w:tc>
          <w:tcPr>
            <w:tcW w:type="dxa" w:w="2412"/>
          </w:tcPr>
          <w:p>
            <w:r>
              <w:rPr>
                <w:sz w:val="17"/>
              </w:rPr>
              <w:t>Three FIAS-acronym appearances in V39 Chapter 2 (paras 337/s2.1, 346/s2.2.3, 388/s2.5.6; v38 counterparts 332/341/383), all violating the A0 rule that FIAS first appears in Chapter 4 (renamed in Ch4 s4.6, paras 486-488; cf. Ch4 title para 456 and paras 301/315). Corrections to the finding: (1) not all three are wholly new — V38 para 341 already car</w:t>
            </w:r>
          </w:p>
        </w:tc>
      </w:tr>
      <w:tr>
        <w:tc>
          <w:tcPr>
            <w:tcW w:type="dxa" w:w="2412"/>
          </w:tcPr>
          <w:p>
            <w:r>
              <w:rPr>
                <w:sz w:val="17"/>
              </w:rPr>
              <w:t>7</w:t>
            </w:r>
          </w:p>
        </w:tc>
        <w:tc>
          <w:tcPr>
            <w:tcW w:type="dxa" w:w="2412"/>
          </w:tcPr>
          <w:p>
            <w:r>
              <w:rPr>
                <w:sz w:val="17"/>
              </w:rPr>
              <w:t>forward-result</w:t>
            </w:r>
          </w:p>
        </w:tc>
        <w:tc>
          <w:tcPr>
            <w:tcW w:type="dxa" w:w="2412"/>
          </w:tcPr>
          <w:p>
            <w:r>
              <w:rPr>
                <w:sz w:val="17"/>
              </w:rPr>
              <w:t>para 406 (Ch2, s2.6.4)</w:t>
            </w:r>
          </w:p>
        </w:tc>
        <w:tc>
          <w:tcPr>
            <w:tcW w:type="dxa" w:w="2412"/>
          </w:tcPr>
          <w:p>
            <w:r>
              <w:rPr>
                <w:sz w:val="17"/>
              </w:rPr>
              <w:t>Minor enrichment only: beyond the results sentence, V39 para 406 also front-runs Chapter 6 methodological detail (HTML port, e-mail distribution, trackpad/foot-pad input, separate Hong Kong cohort, between-cohort quasi-experimental design), so the A0 repair should rephrase the whole paragraph prospectively (deferring both the Stage-3 design descrip</w:t>
            </w:r>
          </w:p>
        </w:tc>
      </w:tr>
      <w:tr>
        <w:tc>
          <w:tcPr>
            <w:tcW w:type="dxa" w:w="2412"/>
          </w:tcPr>
          <w:p>
            <w:r>
              <w:rPr>
                <w:sz w:val="17"/>
              </w:rPr>
              <w:t>8</w:t>
            </w:r>
          </w:p>
        </w:tc>
        <w:tc>
          <w:tcPr>
            <w:tcW w:type="dxa" w:w="2412"/>
          </w:tcPr>
          <w:p>
            <w:r>
              <w:rPr>
                <w:sz w:val="17"/>
              </w:rPr>
              <w:t>forward-result</w:t>
            </w:r>
          </w:p>
        </w:tc>
        <w:tc>
          <w:tcPr>
            <w:tcW w:type="dxa" w:w="2412"/>
          </w:tcPr>
          <w:p>
            <w:r>
              <w:rPr>
                <w:sz w:val="17"/>
              </w:rPr>
              <w:t>para 434 (Ch3, s3.2)</w:t>
            </w:r>
          </w:p>
        </w:tc>
        <w:tc>
          <w:tcPr>
            <w:tcW w:type="dxa" w:w="2412"/>
          </w:tcPr>
          <w:p>
            <w:r>
              <w:rPr>
                <w:sz w:val="17"/>
              </w:rPr>
              <w:t>Confirmed as stated, with two refinements: (1) the V38 source sentence was reworded in V39 ("initial engagement differs sharply by age" → "Initial dropout differed by age") — it is the parenthetical result (0/38 vs 16/41; Fisher's exact p &lt; 0.0001) that carried verbatim from V38 para 429; (2) the immediately following sentence ("Because every age b</w:t>
            </w:r>
          </w:p>
        </w:tc>
      </w:tr>
      <w:tr>
        <w:tc>
          <w:tcPr>
            <w:tcW w:type="dxa" w:w="2412"/>
          </w:tcPr>
          <w:p>
            <w:r>
              <w:rPr>
                <w:sz w:val="17"/>
              </w:rPr>
              <w:t>9</w:t>
            </w:r>
          </w:p>
        </w:tc>
        <w:tc>
          <w:tcPr>
            <w:tcW w:type="dxa" w:w="2412"/>
          </w:tcPr>
          <w:p>
            <w:r>
              <w:rPr>
                <w:sz w:val="17"/>
              </w:rPr>
              <w:t>withdrawn-claim</w:t>
            </w:r>
          </w:p>
        </w:tc>
        <w:tc>
          <w:tcPr>
            <w:tcW w:type="dxa" w:w="2412"/>
          </w:tcPr>
          <w:p>
            <w:r>
              <w:rPr>
                <w:sz w:val="17"/>
              </w:rPr>
              <w:t>para 314 (Ch1, s1.10)</w:t>
            </w:r>
          </w:p>
        </w:tc>
        <w:tc>
          <w:tcPr>
            <w:tcW w:type="dxa" w:w="2412"/>
          </w:tcPr>
          <w:p>
            <w:r>
              <w:rPr>
                <w:sz w:val="17"/>
              </w:rPr>
              <w:t>Finding stands as written. One optional addition for completeness: "F4" also appears undefined in Ch2 (para 372, §2.4.4), so the A0 forward-reference issue extends beyond para 314; and the para-434/445 citations are Ch3 methods/consent paragraphs that independently confirm Stage 3 had no staff and no administered scripts.</w:t>
            </w:r>
          </w:p>
        </w:tc>
      </w:tr>
      <w:tr>
        <w:tc>
          <w:tcPr>
            <w:tcW w:type="dxa" w:w="2412"/>
          </w:tcPr>
          <w:p>
            <w:r>
              <w:rPr>
                <w:sz w:val="17"/>
              </w:rPr>
              <w:t>10</w:t>
            </w:r>
          </w:p>
        </w:tc>
        <w:tc>
          <w:tcPr>
            <w:tcW w:type="dxa" w:w="2412"/>
          </w:tcPr>
          <w:p>
            <w:r>
              <w:rPr>
                <w:sz w:val="17"/>
              </w:rPr>
              <w:t>improvement</w:t>
            </w:r>
          </w:p>
        </w:tc>
        <w:tc>
          <w:tcPr>
            <w:tcW w:type="dxa" w:w="2412"/>
          </w:tcPr>
          <w:p>
            <w:r>
              <w:rPr>
                <w:sz w:val="17"/>
              </w:rPr>
              <w:t>para 4 (title page); also TOC para 162 and paras 808/874 echo it</w:t>
            </w:r>
          </w:p>
        </w:tc>
        <w:tc>
          <w:tcPr>
            <w:tcW w:type="dxa" w:w="2412"/>
          </w:tcPr>
          <w:p>
            <w:r>
              <w:rPr>
                <w:sz w:val="17"/>
              </w:rPr>
              <w:t>As stated, with one addition: the syntaxless s7.9 heading is not merely a TOC artifact — the body section heading at para 723 reads identically ("7.9 Gamification Continuous Improvement and Innovation Enhancement"), so the fix must change the heading at para 723 (the TOC at para 162 then follows on field refresh). Full fix set: restore "a" in the t</w:t>
            </w:r>
          </w:p>
        </w:tc>
      </w:tr>
      <w:tr>
        <w:tc>
          <w:tcPr>
            <w:tcW w:type="dxa" w:w="2412"/>
          </w:tcPr>
          <w:p>
            <w:r>
              <w:rPr>
                <w:sz w:val="17"/>
              </w:rPr>
              <w:t>11</w:t>
            </w:r>
          </w:p>
        </w:tc>
        <w:tc>
          <w:tcPr>
            <w:tcW w:type="dxa" w:w="2412"/>
          </w:tcPr>
          <w:p>
            <w:r>
              <w:rPr>
                <w:sz w:val="17"/>
              </w:rPr>
              <w:t>regression</w:t>
            </w:r>
          </w:p>
        </w:tc>
        <w:tc>
          <w:tcPr>
            <w:tcW w:type="dxa" w:w="2412"/>
          </w:tcPr>
          <w:p>
            <w:r>
              <w:rPr>
                <w:sz w:val="17"/>
              </w:rPr>
              <w:t>para 4 vs V38 paras 7-8; para 16 vs V38 para 20</w:t>
            </w:r>
          </w:p>
        </w:tc>
        <w:tc>
          <w:tcPr>
            <w:tcW w:type="dxa" w:w="2412"/>
          </w:tcPr>
          <w:p>
            <w:r>
              <w:rPr>
                <w:sz w:val="17"/>
              </w:rPr>
              <w:t>Confirmed with two precision notes: (1) V39's actual title is "Gamification as Proactive Approach for Continuous Improvement and Innovation Enhancement" — it drops the article "a" present in V38's programme-topic line, a grammar wart the proposed subtitle fix should also repair; (2) the V39 abstract's first paragraph does still state a problem in i</w:t>
            </w:r>
          </w:p>
        </w:tc>
      </w:tr>
      <w:tr>
        <w:tc>
          <w:tcPr>
            <w:tcW w:type="dxa" w:w="2412"/>
          </w:tcPr>
          <w:p>
            <w:r>
              <w:rPr>
                <w:sz w:val="17"/>
              </w:rPr>
              <w:t>12</w:t>
            </w:r>
          </w:p>
        </w:tc>
        <w:tc>
          <w:tcPr>
            <w:tcW w:type="dxa" w:w="2412"/>
          </w:tcPr>
          <w:p>
            <w:r>
              <w:rPr>
                <w:sz w:val="17"/>
              </w:rPr>
              <w:t>improvement</w:t>
            </w:r>
          </w:p>
        </w:tc>
        <w:tc>
          <w:tcPr>
            <w:tcW w:type="dxa" w:w="2412"/>
          </w:tcPr>
          <w:p>
            <w:r>
              <w:rPr>
                <w:sz w:val="17"/>
              </w:rPr>
              <w:t>paras 16-19 (abstract), 317 (aim); first real definitions only at para 430 (s3.1) and para</w:t>
            </w:r>
          </w:p>
        </w:tc>
        <w:tc>
          <w:tcPr>
            <w:tcW w:type="dxa" w:w="2412"/>
          </w:tcPr>
          <w:p>
            <w:r>
              <w:rPr>
                <w:sz w:val="17"/>
              </w:rPr>
              <w:t>Confirmed with three small precision fixes: (1) "proactive" is first defined only at s7.9 para 725 (timing: intervention when difficulty emerges, before a pattern of non-use is established), not at s3.1 — para 430 defines only continuous improvement and innovation enhancement, and does not cite the Oslo Manual; (2) the s7.9 definitional cluster spa</w:t>
            </w:r>
          </w:p>
        </w:tc>
      </w:tr>
      <w:tr>
        <w:tc>
          <w:tcPr>
            <w:tcW w:type="dxa" w:w="2412"/>
          </w:tcPr>
          <w:p>
            <w:r>
              <w:rPr>
                <w:sz w:val="17"/>
              </w:rPr>
              <w:t>13</w:t>
            </w:r>
          </w:p>
        </w:tc>
        <w:tc>
          <w:tcPr>
            <w:tcW w:type="dxa" w:w="2412"/>
          </w:tcPr>
          <w:p>
            <w:r>
              <w:rPr>
                <w:sz w:val="17"/>
              </w:rPr>
              <w:t>improvement</w:t>
            </w:r>
          </w:p>
        </w:tc>
        <w:tc>
          <w:tcPr>
            <w:tcW w:type="dxa" w:w="2412"/>
          </w:tcPr>
          <w:p>
            <w:r>
              <w:rPr>
                <w:sz w:val="17"/>
              </w:rPr>
              <w:t>paras 295-301 (s1.5-1.6); diff block 10 removed the V38 naming sentence</w:t>
            </w:r>
          </w:p>
        </w:tc>
        <w:tc>
          <w:tcPr>
            <w:tcW w:type="dxa" w:w="2412"/>
          </w:tcPr>
          <w:p>
            <w:r>
              <w:rPr>
                <w:sz w:val="17"/>
              </w:rPr>
              <w:t>V39 diff block 10 deleted V38's s1.5 naming paragraph ("The author initially named the conjecture Failure-Induced Dropout Syndrome (FIDS)...") in the course of the H0-reframing rewrite, so s1.5 (paras 295-297) now states the three-part conjecture without naming it. The acronym FIDS then appears unexpanded in narrative prose at paras 299, 301, 315 a</w:t>
            </w:r>
          </w:p>
        </w:tc>
      </w:tr>
      <w:tr>
        <w:tc>
          <w:tcPr>
            <w:tcW w:type="dxa" w:w="2412"/>
          </w:tcPr>
          <w:p>
            <w:r>
              <w:rPr>
                <w:sz w:val="17"/>
              </w:rPr>
              <w:t>14</w:t>
            </w:r>
          </w:p>
        </w:tc>
        <w:tc>
          <w:tcPr>
            <w:tcW w:type="dxa" w:w="2412"/>
          </w:tcPr>
          <w:p>
            <w:r>
              <w:rPr>
                <w:sz w:val="17"/>
              </w:rPr>
              <w:t>improvement</w:t>
            </w:r>
          </w:p>
        </w:tc>
        <w:tc>
          <w:tcPr>
            <w:tcW w:type="dxa" w:w="2412"/>
          </w:tcPr>
          <w:p>
            <w:r>
              <w:rPr>
                <w:sz w:val="17"/>
              </w:rPr>
              <w:t>para 314 (s1.10)</w:t>
            </w:r>
          </w:p>
        </w:tc>
        <w:tc>
          <w:tcPr>
            <w:tcW w:type="dxa" w:w="2412"/>
          </w:tcPr>
          <w:p>
            <w:r>
              <w:rPr>
                <w:sz w:val="17"/>
              </w:rPr>
              <w:t>V39 para 314 (s1.10) states, carried verbatim from V38 para 309: "This experience informed the wording of every staff script in the Stage-3 decoupling condition and shaped the questions asked of the F4 cluster." Both halves contradict the thesis's own record: Stage 3 was a remote, unsupervised e-mailed HTML deployment with no staff present (para 31</w:t>
            </w:r>
          </w:p>
        </w:tc>
      </w:tr>
      <w:tr>
        <w:tc>
          <w:tcPr>
            <w:tcW w:type="dxa" w:w="2412"/>
          </w:tcPr>
          <w:p>
            <w:r>
              <w:rPr>
                <w:sz w:val="17"/>
              </w:rPr>
              <w:t>15</w:t>
            </w:r>
          </w:p>
        </w:tc>
        <w:tc>
          <w:tcPr>
            <w:tcW w:type="dxa" w:w="2412"/>
          </w:tcPr>
          <w:p>
            <w:r>
              <w:rPr>
                <w:sz w:val="17"/>
              </w:rPr>
              <w:t>viva-risk</w:t>
            </w:r>
          </w:p>
        </w:tc>
        <w:tc>
          <w:tcPr>
            <w:tcW w:type="dxa" w:w="2412"/>
          </w:tcPr>
          <w:p>
            <w:r>
              <w:rPr>
                <w:sz w:val="17"/>
              </w:rPr>
              <w:t>paras 317, 421 (aim; s2.8)</w:t>
            </w:r>
          </w:p>
        </w:tc>
        <w:tc>
          <w:tcPr>
            <w:tcW w:type="dxa" w:w="2412"/>
          </w:tcPr>
          <w:p>
            <w:r>
              <w:rPr>
                <w:sz w:val="17"/>
              </w:rPr>
              <w:t>Para 421 (s2.8) concedes, correctly and verbatim as quoted, that continuous improvement is demonstrated only at the level of problem understanding and iterative design development, while the aim (para 317, s1.11) promises continuous improvement and innovation enhancement — so the central viva challenge ("what distinguishes this from a well-document</w:t>
            </w:r>
          </w:p>
        </w:tc>
      </w:tr>
      <w:tr>
        <w:tc>
          <w:tcPr>
            <w:tcW w:type="dxa" w:w="2412"/>
          </w:tcPr>
          <w:p>
            <w:r>
              <w:rPr>
                <w:sz w:val="17"/>
              </w:rPr>
              <w:t>16</w:t>
            </w:r>
          </w:p>
        </w:tc>
        <w:tc>
          <w:tcPr>
            <w:tcW w:type="dxa" w:w="2412"/>
          </w:tcPr>
          <w:p>
            <w:r>
              <w:rPr>
                <w:sz w:val="17"/>
              </w:rPr>
              <w:t>regression</w:t>
            </w:r>
          </w:p>
        </w:tc>
        <w:tc>
          <w:tcPr>
            <w:tcW w:type="dxa" w:w="2412"/>
          </w:tcPr>
          <w:p>
            <w:r>
              <w:rPr>
                <w:sz w:val="17"/>
              </w:rPr>
              <w:t>§3.2 [436] and Table 3.1A (t5, expert-panel row)</w:t>
            </w:r>
          </w:p>
        </w:tc>
        <w:tc>
          <w:tcPr>
            <w:tcW w:type="dxa" w:w="2412"/>
          </w:tcPr>
          <w:p>
            <w:r>
              <w:rPr>
                <w:sz w:val="17"/>
              </w:rPr>
              <w:t>V39's stale-base merge dropped the second Lau consultation (Sept 2026, with his doctoral researcher — Ada Tse, pseudonymous until her attribution election is received). §3.2 at v39_body.txt index [435] (file line 436) now states the panel was "conducted from March to August 2026", contradicting the established record window of March–September 2026.</w:t>
            </w:r>
          </w:p>
        </w:tc>
      </w:tr>
      <w:tr>
        <w:tc>
          <w:tcPr>
            <w:tcW w:type="dxa" w:w="2412"/>
          </w:tcPr>
          <w:p>
            <w:r>
              <w:rPr>
                <w:sz w:val="17"/>
              </w:rPr>
              <w:t>17</w:t>
            </w:r>
          </w:p>
        </w:tc>
        <w:tc>
          <w:tcPr>
            <w:tcW w:type="dxa" w:w="2412"/>
          </w:tcPr>
          <w:p>
            <w:r>
              <w:rPr>
                <w:sz w:val="17"/>
              </w:rPr>
              <w:t>improvement</w:t>
            </w:r>
          </w:p>
        </w:tc>
        <w:tc>
          <w:tcPr>
            <w:tcW w:type="dxa" w:w="2412"/>
          </w:tcPr>
          <w:p>
            <w:r>
              <w:rPr>
                <w:sz w:val="17"/>
              </w:rPr>
              <w:t>§3.2 [433], §4.1A [470] vs Table 4.1 (t6)</w:t>
            </w:r>
          </w:p>
        </w:tc>
        <w:tc>
          <w:tcPr>
            <w:tcW w:type="dxa" w:w="2412"/>
          </w:tcPr>
          <w:p>
            <w:r>
              <w:rPr>
                <w:sz w:val="17"/>
              </w:rPr>
              <w:t>V39 retains, unchanged from V38, a blanket denominator claim stated three times — [432] §3.2, [469] §4.1A, [473] §4.2 — that "200 is the denominator for every Stage-1 result," yet Table 4.1's two flagship rows (~74% adverse first experience, ~82% non-return) are conditional on prior users (~78 of 200) and on adverse-experience reporters respectivel</w:t>
            </w:r>
          </w:p>
        </w:tc>
      </w:tr>
      <w:tr>
        <w:tc>
          <w:tcPr>
            <w:tcW w:type="dxa" w:w="2412"/>
          </w:tcPr>
          <w:p>
            <w:r>
              <w:rPr>
                <w:sz w:val="17"/>
              </w:rPr>
              <w:t>18</w:t>
            </w:r>
          </w:p>
        </w:tc>
        <w:tc>
          <w:tcPr>
            <w:tcW w:type="dxa" w:w="2412"/>
          </w:tcPr>
          <w:p>
            <w:r>
              <w:rPr>
                <w:sz w:val="17"/>
              </w:rPr>
              <w:t>improvement</w:t>
            </w:r>
          </w:p>
        </w:tc>
        <w:tc>
          <w:tcPr>
            <w:tcW w:type="dxa" w:w="2412"/>
          </w:tcPr>
          <w:p>
            <w:r>
              <w:rPr>
                <w:sz w:val="17"/>
              </w:rPr>
              <w:t>§4.2 / Table 4.1 (t6) vs §4.1A [470]</w:t>
            </w:r>
          </w:p>
        </w:tc>
        <w:tc>
          <w:tcPr>
            <w:tcW w:type="dxa" w:w="2412"/>
          </w:tcPr>
          <w:p>
            <w:r>
              <w:rPr>
                <w:sz w:val="17"/>
              </w:rPr>
              <w:t>Corrected statement: §4.1A (v39 index [469]) describes the archived six-item instrument, and Appendix A reproduces all six items, but Table 4.1 (four rows) reports results for only three of them — Item 2 prior use (39%/61%), Item 3 adverse/unacceptable first experience (~74% of prior users), Item 4 non-return (~82%). Results for Item 1 (awareness),</w:t>
            </w:r>
          </w:p>
        </w:tc>
      </w:tr>
      <w:tr>
        <w:tc>
          <w:tcPr>
            <w:tcW w:type="dxa" w:w="2412"/>
          </w:tcPr>
          <w:p>
            <w:r>
              <w:rPr>
                <w:sz w:val="17"/>
              </w:rPr>
              <w:t>19</w:t>
            </w:r>
          </w:p>
        </w:tc>
        <w:tc>
          <w:tcPr>
            <w:tcW w:type="dxa" w:w="2412"/>
          </w:tcPr>
          <w:p>
            <w:r>
              <w:rPr>
                <w:sz w:val="17"/>
              </w:rPr>
              <w:t>improvement</w:t>
            </w:r>
          </w:p>
        </w:tc>
        <w:tc>
          <w:tcPr>
            <w:tcW w:type="dxa" w:w="2412"/>
          </w:tcPr>
          <w:p>
            <w:r>
              <w:rPr>
                <w:sz w:val="17"/>
              </w:rPr>
              <w:t>§5.9 [594] vs §5.5 [569] and §5.6 [583]</w:t>
            </w:r>
          </w:p>
        </w:tc>
        <w:tc>
          <w:tcPr>
            <w:tcW w:type="dxa" w:w="2412"/>
          </w:tcPr>
          <w:p>
            <w:r>
              <w:rPr>
                <w:sz w:val="17"/>
              </w:rPr>
              <w:t>§5.9 [594] ("recorded index was measured once before and once after the window") and §5.5 [564] ("before and after the deployment window") conflict with §5.6 [583] (F4 positive change recorded "during their single session") and §5.5 [569] (five of eight single-session exits with positive index change, none returning), and with the stated measuremen</w:t>
            </w:r>
          </w:p>
        </w:tc>
      </w:tr>
      <w:tr>
        <w:tc>
          <w:tcPr>
            <w:tcW w:type="dxa" w:w="2412"/>
          </w:tcPr>
          <w:p>
            <w:r>
              <w:rPr>
                <w:sz w:val="17"/>
              </w:rPr>
              <w:t>20</w:t>
            </w:r>
          </w:p>
        </w:tc>
        <w:tc>
          <w:tcPr>
            <w:tcW w:type="dxa" w:w="2412"/>
          </w:tcPr>
          <w:p>
            <w:r>
              <w:rPr>
                <w:sz w:val="17"/>
              </w:rPr>
              <w:t>improvement</w:t>
            </w:r>
          </w:p>
        </w:tc>
        <w:tc>
          <w:tcPr>
            <w:tcW w:type="dxa" w:w="2412"/>
          </w:tcPr>
          <w:p>
            <w:r>
              <w:rPr>
                <w:sz w:val="17"/>
              </w:rPr>
              <w:t>§5.3 [515], §5.3.9 [548-551], §5.3.8 [543-544], Fig 5.1A [526]</w:t>
            </w:r>
          </w:p>
        </w:tc>
        <w:tc>
          <w:tcPr>
            <w:tcW w:type="dxa" w:w="2412"/>
          </w:tcPr>
          <w:p>
            <w:r>
              <w:rPr>
                <w:sz w:val="17"/>
              </w:rPr>
              <w:t>§5.3 [515] and §5.3.9 [551] attribute the deployed Stage-2 build's engine, prompt template and logging schema to Claude Code without qualification, even though the §5.3.9 chronology note [548] itself limits the AI-assisted workflow to build generations engineered from 2025 onward and flags the deployed build's generation/tooling as unconfirmed, and</w:t>
            </w:r>
          </w:p>
        </w:tc>
      </w:tr>
      <w:tr>
        <w:tc>
          <w:tcPr>
            <w:tcW w:type="dxa" w:w="2412"/>
          </w:tcPr>
          <w:p>
            <w:r>
              <w:rPr>
                <w:sz w:val="17"/>
              </w:rPr>
              <w:t>21</w:t>
            </w:r>
          </w:p>
        </w:tc>
        <w:tc>
          <w:tcPr>
            <w:tcW w:type="dxa" w:w="2412"/>
          </w:tcPr>
          <w:p>
            <w:r>
              <w:rPr>
                <w:sz w:val="17"/>
              </w:rPr>
              <w:t>improvement</w:t>
            </w:r>
          </w:p>
        </w:tc>
        <w:tc>
          <w:tcPr>
            <w:tcW w:type="dxa" w:w="2412"/>
          </w:tcPr>
          <w:p>
            <w:r>
              <w:rPr>
                <w:sz w:val="17"/>
              </w:rPr>
              <w:t>§4.1A [463], Fig 5.1A [526], §5.3.9 [549], H.5 [1048] vs Appendix G [1042]</w:t>
            </w:r>
          </w:p>
        </w:tc>
        <w:tc>
          <w:tcPr>
            <w:tcW w:type="dxa" w:w="2412"/>
          </w:tcPr>
          <w:p>
            <w:r>
              <w:rPr>
                <w:sz w:val="17"/>
              </w:rPr>
              <w:t>Appendix G's item list ends at G.8, which it defines as the synthetic pipeline-test dataset ([1042]). Five in-text pointers plus one checklist item nonetheless cite G.8 for real evidentiary artefacts: the vendor brochure (§4.1A, [462] — not [463]), the Fig 5.1A video frame ([526]), the two 27-Aug-2024 coupling videos (§5.3.9, [549]), the H.5 interv</w:t>
            </w:r>
          </w:p>
        </w:tc>
      </w:tr>
      <w:tr>
        <w:tc>
          <w:tcPr>
            <w:tcW w:type="dxa" w:w="2412"/>
          </w:tcPr>
          <w:p>
            <w:r>
              <w:rPr>
                <w:sz w:val="17"/>
              </w:rPr>
              <w:t>22</w:t>
            </w:r>
          </w:p>
        </w:tc>
        <w:tc>
          <w:tcPr>
            <w:tcW w:type="dxa" w:w="2412"/>
          </w:tcPr>
          <w:p>
            <w:r>
              <w:rPr>
                <w:sz w:val="17"/>
              </w:rPr>
              <w:t>improvement</w:t>
            </w:r>
          </w:p>
        </w:tc>
        <w:tc>
          <w:tcPr>
            <w:tcW w:type="dxa" w:w="2412"/>
          </w:tcPr>
          <w:p>
            <w:r>
              <w:rPr>
                <w:sz w:val="17"/>
              </w:rPr>
              <w:t>§3.4 [445] vs §5.2A [513], §5.5 [569], §5.6 [586]</w:t>
            </w:r>
          </w:p>
        </w:tc>
        <w:tc>
          <w:tcPr>
            <w:tcW w:type="dxa" w:w="2412"/>
          </w:tcPr>
          <w:p>
            <w:r>
              <w:rPr>
                <w:sz w:val="17"/>
              </w:rPr>
              <w:t>Corrected finding (still high severity, category improvement; locations §3.4 [444], §5.2A [513], §5.5 [564]/[569], §5.6 [586], Appendix C [990]): (1) The Q3 sentence at [513] is a stale V38 leftover and V39's only Q3 mention: no Q3 results are reported anywhere, its "Appendix B" reference is broken (V39 Appendix B is the FIAS coding scheme; Stage-2</w:t>
            </w:r>
          </w:p>
        </w:tc>
      </w:tr>
      <w:tr>
        <w:tc>
          <w:tcPr>
            <w:tcW w:type="dxa" w:w="2412"/>
          </w:tcPr>
          <w:p>
            <w:r>
              <w:rPr>
                <w:sz w:val="17"/>
              </w:rPr>
              <w:t>23</w:t>
            </w:r>
          </w:p>
        </w:tc>
        <w:tc>
          <w:tcPr>
            <w:tcW w:type="dxa" w:w="2412"/>
          </w:tcPr>
          <w:p>
            <w:r>
              <w:rPr>
                <w:sz w:val="17"/>
              </w:rPr>
              <w:t>viva-risk</w:t>
            </w:r>
          </w:p>
        </w:tc>
        <w:tc>
          <w:tcPr>
            <w:tcW w:type="dxa" w:w="2412"/>
          </w:tcPr>
          <w:p>
            <w:r>
              <w:rPr>
                <w:sz w:val="17"/>
              </w:rPr>
              <w:t>§3.4, §5.5, §5.9 (Ch3-5 generally)</w:t>
            </w:r>
          </w:p>
        </w:tc>
        <w:tc>
          <w:tcPr>
            <w:tcW w:type="dxa" w:w="2412"/>
          </w:tcPr>
          <w:p>
            <w:r>
              <w:rPr>
                <w:sz w:val="17"/>
              </w:rPr>
              <w:t>Likely viva questions on ethics timing and measurement provenance remain inadequately defended in V39. (1) Ethics: §3.4 already gives a partial prepared answer (gatekeeper consent recorded at research start; incomplete-disclosure rationale; arrangements stated in the approved HSEARS20260805008 application) — but it never states plainly that the Aug</w:t>
            </w:r>
          </w:p>
        </w:tc>
      </w:tr>
      <w:tr>
        <w:tc>
          <w:tcPr>
            <w:tcW w:type="dxa" w:w="2412"/>
          </w:tcPr>
          <w:p>
            <w:r>
              <w:rPr>
                <w:sz w:val="17"/>
              </w:rPr>
              <w:t>24</w:t>
            </w:r>
          </w:p>
        </w:tc>
        <w:tc>
          <w:tcPr>
            <w:tcW w:type="dxa" w:w="2412"/>
          </w:tcPr>
          <w:p>
            <w:r>
              <w:rPr>
                <w:sz w:val="17"/>
              </w:rPr>
              <w:t>improvement</w:t>
            </w:r>
          </w:p>
        </w:tc>
        <w:tc>
          <w:tcPr>
            <w:tcW w:type="dxa" w:w="2412"/>
          </w:tcPr>
          <w:p>
            <w:r>
              <w:rPr>
                <w:sz w:val="17"/>
              </w:rPr>
              <w:t>s6.12, paras [661]-[667] (heading, panel description, placeholder)</w:t>
            </w:r>
          </w:p>
        </w:tc>
        <w:tc>
          <w:tcPr>
            <w:tcW w:type="dxa" w:w="2412"/>
          </w:tcPr>
          <w:p>
            <w:r>
              <w:rPr>
                <w:sz w:val="17"/>
              </w:rPr>
              <w:t xml:space="preserve">Confirmed with two refinements. (1) The "s8.5A" dangling pointer is inherited, not introduced by V39: V38's checklist [1] item 12 carried the identical "(s8.5A, H.6)" citation and V38 also had no §8.5A (its second-consultation material sat at §6.12 [661]) — so it is a pre-existing error the fix should still correct to §6.12/H.6, but it is not part </w:t>
            </w:r>
          </w:p>
        </w:tc>
      </w:tr>
      <w:tr>
        <w:tc>
          <w:tcPr>
            <w:tcW w:type="dxa" w:w="2412"/>
          </w:tcPr>
          <w:p>
            <w:r>
              <w:rPr>
                <w:sz w:val="17"/>
              </w:rPr>
              <w:t>25</w:t>
            </w:r>
          </w:p>
        </w:tc>
        <w:tc>
          <w:tcPr>
            <w:tcW w:type="dxa" w:w="2412"/>
          </w:tcPr>
          <w:p>
            <w:r>
              <w:rPr>
                <w:sz w:val="17"/>
              </w:rPr>
              <w:t>improvement</w:t>
            </w:r>
          </w:p>
        </w:tc>
        <w:tc>
          <w:tcPr>
            <w:tcW w:type="dxa" w:w="2412"/>
          </w:tcPr>
          <w:p>
            <w:r>
              <w:rPr>
                <w:sz w:val="17"/>
              </w:rPr>
              <w:t>para [666] (s6.12 placeholder); also Appendix H placeholder [1050]</w:t>
            </w:r>
          </w:p>
        </w:tc>
        <w:tc>
          <w:tcPr>
            <w:tcW w:type="dxa" w:w="2412"/>
          </w:tcPr>
          <w:p>
            <w:r>
              <w:rPr>
                <w:sz w:val="17"/>
              </w:rPr>
              <w:t>Consent-gate breach at [666], introduced by the stale-base merge: V39 dropped V38's full second-consultation paragraph (V38 [661]), whose author-input note correctly withheld Dr Lau's product-development convergence without name or detail, and reinstated an older placeholder that both names the Mirror project and describes its mechanism ("avatar co</w:t>
            </w:r>
          </w:p>
        </w:tc>
      </w:tr>
      <w:tr>
        <w:tc>
          <w:tcPr>
            <w:tcW w:type="dxa" w:w="2412"/>
          </w:tcPr>
          <w:p>
            <w:r>
              <w:rPr>
                <w:sz w:val="17"/>
              </w:rPr>
              <w:t>26</w:t>
            </w:r>
          </w:p>
        </w:tc>
        <w:tc>
          <w:tcPr>
            <w:tcW w:type="dxa" w:w="2412"/>
          </w:tcPr>
          <w:p>
            <w:r>
              <w:rPr>
                <w:sz w:val="17"/>
              </w:rPr>
              <w:t>improvement</w:t>
            </w:r>
          </w:p>
        </w:tc>
        <w:tc>
          <w:tcPr>
            <w:tcW w:type="dxa" w:w="2412"/>
          </w:tcPr>
          <w:p>
            <w:r>
              <w:rPr>
                <w:sz w:val="17"/>
              </w:rPr>
              <w:t>para 737 (s8.1); cf. para 735 and t21 (Table 8.0)</w:t>
            </w:r>
          </w:p>
        </w:tc>
        <w:tc>
          <w:tcPr>
            <w:tcW w:type="dxa" w:w="2412"/>
          </w:tcPr>
          <w:p>
            <w:r>
              <w:rPr>
                <w:sz w:val="17"/>
              </w:rPr>
              <w:t>Para 737 (s8.1) opens with a V39-introduced headline - "The theoretical contribution is a contextual problem formulation that supports the engineering synthesis" - that undersells the section relative to the register the record sanctions. The V37 review (per PENDING_ITEMS A8) demanded recalibration of the theoretical claims to candidate strength ("</w:t>
            </w:r>
          </w:p>
        </w:tc>
      </w:tr>
      <w:tr>
        <w:tc>
          <w:tcPr>
            <w:tcW w:type="dxa" w:w="2412"/>
          </w:tcPr>
          <w:p>
            <w:r>
              <w:rPr>
                <w:sz w:val="17"/>
              </w:rPr>
              <w:t>27</w:t>
            </w:r>
          </w:p>
        </w:tc>
        <w:tc>
          <w:tcPr>
            <w:tcW w:type="dxa" w:w="2412"/>
          </w:tcPr>
          <w:p>
            <w:r>
              <w:rPr>
                <w:sz w:val="17"/>
              </w:rPr>
              <w:t>improvement</w:t>
            </w:r>
          </w:p>
        </w:tc>
        <w:tc>
          <w:tcPr>
            <w:tcW w:type="dxa" w:w="2412"/>
          </w:tcPr>
          <w:p>
            <w:r>
              <w:rPr>
                <w:sz w:val="17"/>
              </w:rPr>
              <w:t>para 805 (s8.9) vs para 987 (Appendix B) and checklist items 5-7 (para 1055)</w:t>
            </w:r>
          </w:p>
        </w:tc>
        <w:tc>
          <w:tcPr>
            <w:tcW w:type="dxa" w:w="2412"/>
          </w:tcPr>
          <w:p>
            <w:r>
              <w:rPr>
                <w:sz w:val="17"/>
              </w:rPr>
              <w:t>Para 804 (s8.9, not 805) promises the appendices bind "the complete FIAS codebook with inter-coder reliability" (plus verbatim instrument language versions), but Appendix B (para 987) states the item-level specification is a confirmatory-study deliverable "not reproduced here", the checklist (para 1055, items 5-7) lists the coding table + kappa and</w:t>
            </w:r>
          </w:p>
        </w:tc>
      </w:tr>
      <w:tr>
        <w:tc>
          <w:tcPr>
            <w:tcW w:type="dxa" w:w="2412"/>
          </w:tcPr>
          <w:p>
            <w:r>
              <w:rPr>
                <w:sz w:val="17"/>
              </w:rPr>
              <w:t>28</w:t>
            </w:r>
          </w:p>
        </w:tc>
        <w:tc>
          <w:tcPr>
            <w:tcW w:type="dxa" w:w="2412"/>
          </w:tcPr>
          <w:p>
            <w:r>
              <w:rPr>
                <w:sz w:val="17"/>
              </w:rPr>
              <w:t>improvement</w:t>
            </w:r>
          </w:p>
        </w:tc>
        <w:tc>
          <w:tcPr>
            <w:tcW w:type="dxa" w:w="2412"/>
          </w:tcPr>
          <w:p>
            <w:r>
              <w:rPr>
                <w:sz w:val="17"/>
              </w:rPr>
              <w:t>para 1043 (G.8) vs paras 462, 526, 549, 1049 (H.5) and checklist item 9</w:t>
            </w:r>
          </w:p>
        </w:tc>
        <w:tc>
          <w:tcPr>
            <w:tcW w:type="dxa" w:w="2412"/>
          </w:tcPr>
          <w:p>
            <w:r>
              <w:rPr>
                <w:sz w:val="17"/>
              </w:rPr>
              <w:t>Confirmed with two precision fixes. (1) Locations: the G.8 appendix entry is para index [1042] (file line 1043) and H.5 is para index [1048] (file line 1049); the body cross-references are at para indices [462], [526], [549] — the finding mixed file-line and index conventions, but all five locations resolve correctly. (2) Genealogy: per PENDING_ITE</w:t>
            </w:r>
          </w:p>
        </w:tc>
      </w:tr>
      <w:tr>
        <w:tc>
          <w:tcPr>
            <w:tcW w:type="dxa" w:w="2412"/>
          </w:tcPr>
          <w:p>
            <w:r>
              <w:rPr>
                <w:sz w:val="17"/>
              </w:rPr>
              <w:t>29</w:t>
            </w:r>
          </w:p>
        </w:tc>
        <w:tc>
          <w:tcPr>
            <w:tcW w:type="dxa" w:w="2412"/>
          </w:tcPr>
          <w:p>
            <w:r>
              <w:rPr>
                <w:sz w:val="17"/>
              </w:rPr>
              <w:t>improvement</w:t>
            </w:r>
          </w:p>
        </w:tc>
        <w:tc>
          <w:tcPr>
            <w:tcW w:type="dxa" w:w="2412"/>
          </w:tcPr>
          <w:p>
            <w:r>
              <w:rPr>
                <w:sz w:val="17"/>
              </w:rPr>
              <w:t>paras 793-795 (s8.8) vs t5 row 'Stage 3B' and t24; checklist item 11</w:t>
            </w:r>
          </w:p>
        </w:tc>
        <w:tc>
          <w:tcPr>
            <w:tcW w:type="dxa" w:w="2412"/>
          </w:tcPr>
          <w:p>
            <w:r>
              <w:rPr>
                <w:sz w:val="17"/>
              </w:rPr>
              <w:t>As stated, with two precision refinements: (1) the promise to insert Stage 3B results is carried not only by the para-795 stub and checklist item 11 but also by Table 9.1 itself — its Stage 3B cell reads "[TO BE REPORTED when the Stage 3B window closes]" and its caption (para 819) says yellow cells await the close of the Stage 3B window — so the co</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